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024B22" w14:paraId="5745ADEC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8DCEB21" w14:textId="77777777" w:rsidR="00751A4A" w:rsidRPr="00024B22" w:rsidRDefault="002141BE" w:rsidP="0010095E">
            <w:pPr>
              <w:pStyle w:val="EPName"/>
            </w:pPr>
            <w:r w:rsidRPr="00024B22">
              <w:t>Parlement européen</w:t>
            </w:r>
          </w:p>
          <w:p w14:paraId="1E351061" w14:textId="77777777" w:rsidR="00751A4A" w:rsidRPr="00024B22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24B22">
              <w:t>2024</w:t>
            </w:r>
            <w:r w:rsidR="00817416" w:rsidRPr="00024B22">
              <w:t>-202</w:t>
            </w:r>
            <w:r w:rsidRPr="00024B22">
              <w:t>9</w:t>
            </w:r>
          </w:p>
        </w:tc>
        <w:tc>
          <w:tcPr>
            <w:tcW w:w="2268" w:type="dxa"/>
            <w:shd w:val="clear" w:color="auto" w:fill="auto"/>
          </w:tcPr>
          <w:p w14:paraId="74C22656" w14:textId="77777777" w:rsidR="00751A4A" w:rsidRPr="00024B22" w:rsidRDefault="00187494" w:rsidP="0010095E">
            <w:pPr>
              <w:pStyle w:val="EPLogo"/>
            </w:pPr>
            <w:r w:rsidRPr="00024B22">
              <w:rPr>
                <w:noProof/>
                <w:lang w:eastAsia="ja-JP"/>
              </w:rPr>
              <w:drawing>
                <wp:inline distT="0" distB="0" distL="0" distR="0" wp14:anchorId="0CC4BF25" wp14:editId="72E5B0AD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72E1A2B" w14:textId="77777777" w:rsidR="00D058B8" w:rsidRPr="00024B22" w:rsidRDefault="00D058B8" w:rsidP="004C5D52">
      <w:pPr>
        <w:pStyle w:val="LineTop"/>
      </w:pPr>
    </w:p>
    <w:p w14:paraId="2EAE9886" w14:textId="77777777" w:rsidR="00680577" w:rsidRPr="00024B22" w:rsidRDefault="002141BE" w:rsidP="00680577">
      <w:pPr>
        <w:pStyle w:val="EPBodyTA1"/>
      </w:pPr>
      <w:r w:rsidRPr="00024B22">
        <w:t>TEXTES ADOPTÉS</w:t>
      </w:r>
    </w:p>
    <w:p w14:paraId="7B1E094B" w14:textId="77777777" w:rsidR="00D058B8" w:rsidRPr="00024B22" w:rsidRDefault="00D058B8" w:rsidP="00D058B8">
      <w:pPr>
        <w:pStyle w:val="LineBottom"/>
      </w:pPr>
    </w:p>
    <w:p w14:paraId="4A57806D" w14:textId="29DE8ED3" w:rsidR="002141BE" w:rsidRPr="00024B22" w:rsidRDefault="002141BE" w:rsidP="002141BE">
      <w:pPr>
        <w:pStyle w:val="ATHeading1"/>
      </w:pPr>
      <w:bookmarkStart w:id="0" w:name="TANumber"/>
      <w:r w:rsidRPr="00024B22">
        <w:t>P10_TA(2025)</w:t>
      </w:r>
      <w:bookmarkEnd w:id="0"/>
      <w:r w:rsidR="001D677A" w:rsidRPr="00024B22">
        <w:t>0</w:t>
      </w:r>
      <w:r w:rsidR="001D677A">
        <w:t>320</w:t>
      </w:r>
    </w:p>
    <w:p w14:paraId="19E6AAF2" w14:textId="633229E1" w:rsidR="002141BE" w:rsidRPr="00024B22" w:rsidRDefault="00D10470" w:rsidP="002141BE">
      <w:pPr>
        <w:pStyle w:val="ATHeading2"/>
      </w:pPr>
      <w:bookmarkStart w:id="1" w:name="title"/>
      <w:r w:rsidRPr="00D10470">
        <w:t>Incitation aux investissements liés à la défense dans le budget de l’UE pour mettre en œuvre le plan «</w:t>
      </w:r>
      <w:proofErr w:type="spellStart"/>
      <w:r w:rsidRPr="00D10470">
        <w:t>ReArm</w:t>
      </w:r>
      <w:proofErr w:type="spellEnd"/>
      <w:r w:rsidRPr="00D10470">
        <w:t xml:space="preserve"> Europe»</w:t>
      </w:r>
      <w:bookmarkEnd w:id="1"/>
    </w:p>
    <w:p w14:paraId="4138B51F" w14:textId="77777777" w:rsidR="002141BE" w:rsidRPr="00024B22" w:rsidRDefault="002141BE" w:rsidP="002141BE">
      <w:pPr>
        <w:rPr>
          <w:i/>
          <w:vanish/>
        </w:rPr>
      </w:pPr>
      <w:r w:rsidRPr="00024B22">
        <w:rPr>
          <w:i/>
        </w:rPr>
        <w:fldChar w:fldCharType="begin"/>
      </w:r>
      <w:r w:rsidRPr="00024B22">
        <w:rPr>
          <w:i/>
        </w:rPr>
        <w:instrText xml:space="preserve"> TC"(</w:instrText>
      </w:r>
      <w:bookmarkStart w:id="2" w:name="DocNumber"/>
      <w:r w:rsidRPr="00024B22">
        <w:rPr>
          <w:i/>
        </w:rPr>
        <w:instrText>A10-0172/2025</w:instrText>
      </w:r>
      <w:bookmarkEnd w:id="2"/>
      <w:r w:rsidRPr="00024B22">
        <w:rPr>
          <w:i/>
        </w:rPr>
        <w:instrText xml:space="preserve"> - Rapporteur: Rihards Kols)"\l3 \n&gt; \* MERGEFORMAT </w:instrText>
      </w:r>
      <w:r w:rsidRPr="00024B22">
        <w:rPr>
          <w:i/>
        </w:rPr>
        <w:fldChar w:fldCharType="end"/>
      </w:r>
    </w:p>
    <w:p w14:paraId="37892A5F" w14:textId="77777777" w:rsidR="002141BE" w:rsidRPr="00024B22" w:rsidRDefault="002141BE" w:rsidP="002141BE">
      <w:pPr>
        <w:rPr>
          <w:vanish/>
        </w:rPr>
      </w:pPr>
      <w:bookmarkStart w:id="3" w:name="Commission"/>
      <w:r w:rsidRPr="00024B22">
        <w:rPr>
          <w:vanish/>
        </w:rPr>
        <w:t>Commission de l’industrie, de la recherche et de l’énergie</w:t>
      </w:r>
      <w:bookmarkEnd w:id="3"/>
    </w:p>
    <w:p w14:paraId="242B5CA0" w14:textId="77777777" w:rsidR="002141BE" w:rsidRPr="00024B22" w:rsidRDefault="002141BE" w:rsidP="002141BE">
      <w:pPr>
        <w:rPr>
          <w:vanish/>
        </w:rPr>
      </w:pPr>
      <w:bookmarkStart w:id="4" w:name="PE"/>
      <w:r w:rsidRPr="00024B22">
        <w:rPr>
          <w:vanish/>
        </w:rPr>
        <w:t>PE774.253</w:t>
      </w:r>
      <w:bookmarkEnd w:id="4"/>
    </w:p>
    <w:p w14:paraId="2E8D1EFF" w14:textId="3BE288D7" w:rsidR="002141BE" w:rsidRPr="00024B22" w:rsidRDefault="002141BE" w:rsidP="002141BE">
      <w:pPr>
        <w:pStyle w:val="ATHeading3"/>
      </w:pPr>
      <w:bookmarkStart w:id="5" w:name="Sujet"/>
      <w:r w:rsidRPr="00024B22">
        <w:t xml:space="preserve">Résolution législative du Parlement européen du </w:t>
      </w:r>
      <w:r w:rsidR="00D10470">
        <w:t>16</w:t>
      </w:r>
      <w:r w:rsidR="00872B67">
        <w:t xml:space="preserve"> décembre</w:t>
      </w:r>
      <w:r w:rsidRPr="00024B22">
        <w:t xml:space="preserve"> 2025 sur la proposition de règlement du Parlement européen et du Conseil modifiant les règlements (UE) 2021/694, (UE) 2021/695, (UE) 2021/697, (UE) 2021/1153, (UE) 2023/1525 et (UE) 2024/795 en ce qui concerne l’incitation aux investissements liés à la défense dans le budget de l’UE pour mettre en œuvre le plan «</w:t>
      </w:r>
      <w:proofErr w:type="spellStart"/>
      <w:r w:rsidRPr="00024B22">
        <w:t>ReArm</w:t>
      </w:r>
      <w:proofErr w:type="spellEnd"/>
      <w:r w:rsidRPr="00024B22">
        <w:t xml:space="preserve"> Europe»</w:t>
      </w:r>
      <w:bookmarkEnd w:id="5"/>
      <w:r w:rsidRPr="00024B22">
        <w:t xml:space="preserve"> </w:t>
      </w:r>
      <w:bookmarkStart w:id="6" w:name="References"/>
      <w:r w:rsidRPr="00024B22">
        <w:t>(COM(2025)0188 – C10-0070/2025 – 2025/0103(COD))</w:t>
      </w:r>
      <w:bookmarkEnd w:id="6"/>
    </w:p>
    <w:p w14:paraId="52210428" w14:textId="77777777" w:rsidR="00652ABB" w:rsidRPr="00024B22" w:rsidRDefault="00652ABB" w:rsidP="00652ABB">
      <w:pPr>
        <w:pStyle w:val="NormalBold"/>
      </w:pPr>
      <w:r w:rsidRPr="00024B22">
        <w:t>(Procédure législative ordinaire: première lecture)</w:t>
      </w:r>
    </w:p>
    <w:p w14:paraId="57A94FE4" w14:textId="77777777" w:rsidR="00652ABB" w:rsidRPr="00024B22" w:rsidRDefault="00652ABB" w:rsidP="00652ABB">
      <w:pPr>
        <w:pStyle w:val="EPComma"/>
      </w:pPr>
      <w:r w:rsidRPr="00024B22">
        <w:rPr>
          <w:i/>
        </w:rPr>
        <w:t>Le Parlement européen</w:t>
      </w:r>
      <w:r w:rsidRPr="00024B22">
        <w:t>,</w:t>
      </w:r>
    </w:p>
    <w:p w14:paraId="156ACF92" w14:textId="77777777" w:rsidR="00652ABB" w:rsidRPr="00024B22" w:rsidRDefault="00652ABB" w:rsidP="00652ABB">
      <w:pPr>
        <w:pStyle w:val="NormalHanging12a"/>
      </w:pPr>
      <w:r w:rsidRPr="00024B22">
        <w:t>–</w:t>
      </w:r>
      <w:r w:rsidRPr="00024B22">
        <w:tab/>
        <w:t>vu la proposition de la Commission au Parlement européen et au Conseil (COM(2025)0188),</w:t>
      </w:r>
    </w:p>
    <w:p w14:paraId="3DA9E38A" w14:textId="5350BDA2" w:rsidR="00652ABB" w:rsidRDefault="00652ABB" w:rsidP="00652ABB">
      <w:pPr>
        <w:pStyle w:val="NormalHanging12a"/>
      </w:pPr>
      <w:r w:rsidRPr="00024B22">
        <w:t>–</w:t>
      </w:r>
      <w:r w:rsidRPr="00024B22">
        <w:tab/>
        <w:t xml:space="preserve">vu l’article 294, paragraphe 2, </w:t>
      </w:r>
      <w:r w:rsidR="00180996">
        <w:t xml:space="preserve">et </w:t>
      </w:r>
      <w:r w:rsidRPr="00024B22">
        <w:t>les articles 114, 164, 172</w:t>
      </w:r>
      <w:r w:rsidR="00DC56FF">
        <w:t xml:space="preserve"> et</w:t>
      </w:r>
      <w:r w:rsidRPr="00024B22">
        <w:t xml:space="preserve"> 173, l’article 175, troisième alinéa, les articles 176, 177, 178, 182, 183</w:t>
      </w:r>
      <w:r w:rsidR="00DC56FF">
        <w:t xml:space="preserve"> et</w:t>
      </w:r>
      <w:r w:rsidRPr="00024B22">
        <w:t xml:space="preserve"> 188, et l’article 192, paragraphe 1, du traité sur le fonctionnement de l’Union européenne, conformément auxquels la proposition lui a été présentée par la Commission (C10-0070/2025),</w:t>
      </w:r>
    </w:p>
    <w:p w14:paraId="1B8255F0" w14:textId="22520004" w:rsidR="00471F7E" w:rsidRPr="00024B22" w:rsidRDefault="00471F7E" w:rsidP="00652ABB">
      <w:pPr>
        <w:pStyle w:val="NormalHanging12a"/>
      </w:pPr>
      <w:r w:rsidRPr="00024B22">
        <w:t>–</w:t>
      </w:r>
      <w:r w:rsidRPr="00024B22">
        <w:tab/>
      </w:r>
      <w:r>
        <w:t>vu l’avis de la commission des affaires juridiques</w:t>
      </w:r>
      <w:r w:rsidR="00FF7A3A">
        <w:t xml:space="preserve"> </w:t>
      </w:r>
      <w:r w:rsidR="00FF7A3A" w:rsidRPr="00901FB6">
        <w:t>sur la base juridique proposée</w:t>
      </w:r>
      <w:r>
        <w:t>,</w:t>
      </w:r>
    </w:p>
    <w:p w14:paraId="398AF442" w14:textId="4AE27C33" w:rsidR="00652ABB" w:rsidRPr="00024B22" w:rsidRDefault="00652ABB" w:rsidP="00652ABB">
      <w:pPr>
        <w:pStyle w:val="NormalHanging12a"/>
      </w:pPr>
      <w:r w:rsidRPr="00024B22">
        <w:t>–</w:t>
      </w:r>
      <w:r w:rsidRPr="00024B22">
        <w:tab/>
        <w:t xml:space="preserve">vu l’article 294, paragraphe 3, </w:t>
      </w:r>
      <w:r w:rsidR="00DC56FF">
        <w:t xml:space="preserve">et </w:t>
      </w:r>
      <w:r w:rsidR="00FF7A3A">
        <w:t xml:space="preserve">les </w:t>
      </w:r>
      <w:r w:rsidR="00FF7A3A" w:rsidRPr="00024B22">
        <w:t>articles 164</w:t>
      </w:r>
      <w:r w:rsidR="00FF7A3A">
        <w:t xml:space="preserve"> et</w:t>
      </w:r>
      <w:r w:rsidR="00FF7A3A" w:rsidRPr="00024B22">
        <w:t xml:space="preserve"> 172, l’article 173</w:t>
      </w:r>
      <w:r w:rsidR="00FF7A3A">
        <w:t>, paragraphe 3</w:t>
      </w:r>
      <w:r w:rsidR="00FF7A3A" w:rsidRPr="00024B22">
        <w:t>, l’article 175, troisième alinéa, les articles 177</w:t>
      </w:r>
      <w:r w:rsidR="00FF7A3A">
        <w:t xml:space="preserve"> et</w:t>
      </w:r>
      <w:r w:rsidR="00FF7A3A" w:rsidRPr="00024B22">
        <w:t xml:space="preserve"> 178, </w:t>
      </w:r>
      <w:r w:rsidR="00FF7A3A">
        <w:t xml:space="preserve">l’article </w:t>
      </w:r>
      <w:r w:rsidR="00FF7A3A" w:rsidRPr="00024B22">
        <w:t>182</w:t>
      </w:r>
      <w:r w:rsidR="00FF7A3A">
        <w:t>, paragraphes 1 et 4</w:t>
      </w:r>
      <w:r w:rsidR="00FF7A3A" w:rsidRPr="00024B22">
        <w:t xml:space="preserve">, </w:t>
      </w:r>
      <w:r w:rsidR="00FF7A3A">
        <w:t xml:space="preserve">l’article </w:t>
      </w:r>
      <w:r w:rsidR="00FF7A3A" w:rsidRPr="00024B22">
        <w:t xml:space="preserve">183, </w:t>
      </w:r>
      <w:r w:rsidR="00FF7A3A">
        <w:t xml:space="preserve">l’article </w:t>
      </w:r>
      <w:r w:rsidR="00FF7A3A" w:rsidRPr="00024B22">
        <w:t xml:space="preserve">188, </w:t>
      </w:r>
      <w:r w:rsidR="00FF7A3A">
        <w:t xml:space="preserve">deuxième alinéa </w:t>
      </w:r>
      <w:r w:rsidR="00FF7A3A" w:rsidRPr="00024B22">
        <w:t xml:space="preserve">et l’article 192, paragraphe 1, </w:t>
      </w:r>
      <w:r w:rsidRPr="00024B22">
        <w:t>du traité sur le fonctionnement de l’Union européenne,</w:t>
      </w:r>
    </w:p>
    <w:p w14:paraId="22C95AA0" w14:textId="77777777" w:rsidR="00652ABB" w:rsidRPr="00024B22" w:rsidRDefault="00652ABB" w:rsidP="00652ABB">
      <w:pPr>
        <w:pStyle w:val="NormalHanging12a"/>
      </w:pPr>
      <w:r w:rsidRPr="00024B22">
        <w:t>–</w:t>
      </w:r>
      <w:r w:rsidRPr="00024B22">
        <w:tab/>
        <w:t>vu l’évaluation budgétaire par la commission des budgets,</w:t>
      </w:r>
    </w:p>
    <w:p w14:paraId="21A66D04" w14:textId="77777777" w:rsidR="00652ABB" w:rsidRPr="00024B22" w:rsidRDefault="00652ABB" w:rsidP="00652ABB">
      <w:pPr>
        <w:pStyle w:val="NormalHanging12a"/>
      </w:pPr>
      <w:r w:rsidRPr="00024B22">
        <w:t>–</w:t>
      </w:r>
      <w:r w:rsidRPr="00024B22">
        <w:tab/>
        <w:t>vu l’avis du Comité économique et social européen du 18 septembre 2025</w:t>
      </w:r>
      <w:r w:rsidRPr="00024B22">
        <w:rPr>
          <w:rStyle w:val="FootnoteReference"/>
        </w:rPr>
        <w:footnoteReference w:id="1"/>
      </w:r>
      <w:r w:rsidRPr="00024B22">
        <w:t>,</w:t>
      </w:r>
    </w:p>
    <w:p w14:paraId="08B0F179" w14:textId="0D965817" w:rsidR="00652ABB" w:rsidRDefault="00652ABB" w:rsidP="00652ABB">
      <w:pPr>
        <w:pStyle w:val="NormalHanging12a"/>
      </w:pPr>
      <w:r w:rsidRPr="00024B22">
        <w:t>–</w:t>
      </w:r>
      <w:r w:rsidRPr="00024B22">
        <w:tab/>
      </w:r>
      <w:r w:rsidR="00D10470" w:rsidRPr="00024B22">
        <w:t>vu l’avis</w:t>
      </w:r>
      <w:r w:rsidRPr="00024B22">
        <w:t xml:space="preserve"> du Comité des régions</w:t>
      </w:r>
      <w:r w:rsidR="00D10470">
        <w:t xml:space="preserve"> du 15 octobre 2025</w:t>
      </w:r>
      <w:r w:rsidR="00D10470">
        <w:rPr>
          <w:rStyle w:val="FootnoteReference"/>
        </w:rPr>
        <w:footnoteReference w:id="2"/>
      </w:r>
      <w:r w:rsidRPr="00024B22">
        <w:t>,</w:t>
      </w:r>
    </w:p>
    <w:p w14:paraId="1C347620" w14:textId="7956E074" w:rsidR="00471F7E" w:rsidRPr="00024B22" w:rsidRDefault="00471F7E" w:rsidP="001D677A">
      <w:pPr>
        <w:spacing w:after="240"/>
        <w:ind w:left="567" w:hanging="567"/>
      </w:pPr>
      <w:bookmarkStart w:id="7" w:name="_Hlk208304882"/>
      <w:r w:rsidRPr="0070765D">
        <w:t>–</w:t>
      </w:r>
      <w:r w:rsidRPr="0070765D">
        <w:tab/>
        <w:t xml:space="preserve">vu </w:t>
      </w:r>
      <w:r w:rsidRPr="00471F7E">
        <w:t xml:space="preserve">l’accord provisoire approuvé en vertu de l’article 75, paragraphe 4, de son règlement intérieur par </w:t>
      </w:r>
      <w:r w:rsidRPr="001D677A">
        <w:t>la commission compétente</w:t>
      </w:r>
      <w:r w:rsidRPr="00471F7E">
        <w:t xml:space="preserve"> et l’engagement pris par le représentant du Conseil, par lettre du 10 novembre 2025, d’approuver la </w:t>
      </w:r>
      <w:r w:rsidRPr="001D677A">
        <w:t xml:space="preserve">position du Parlement </w:t>
      </w:r>
      <w:r w:rsidRPr="001D677A">
        <w:lastRenderedPageBreak/>
        <w:t>européen</w:t>
      </w:r>
      <w:r w:rsidRPr="00471F7E">
        <w:t>, conformément à l’article 294, paragraphe 4, du traité sur le fonctionnement de l’Union européenne,</w:t>
      </w:r>
      <w:bookmarkEnd w:id="7"/>
    </w:p>
    <w:p w14:paraId="072C5938" w14:textId="083F9DFF" w:rsidR="00652ABB" w:rsidRPr="00024B22" w:rsidRDefault="00652ABB" w:rsidP="00652ABB">
      <w:pPr>
        <w:pStyle w:val="NormalHanging12a"/>
      </w:pPr>
      <w:r w:rsidRPr="00024B22">
        <w:t>–</w:t>
      </w:r>
      <w:r w:rsidRPr="00024B22">
        <w:tab/>
        <w:t>vu les articles 60</w:t>
      </w:r>
      <w:r w:rsidR="00471F7E">
        <w:t>, 41</w:t>
      </w:r>
      <w:r w:rsidRPr="00024B22">
        <w:t xml:space="preserve"> et 58 de son règlement intérieur,</w:t>
      </w:r>
    </w:p>
    <w:p w14:paraId="4B677DE7" w14:textId="77777777" w:rsidR="00652ABB" w:rsidRPr="00024B22" w:rsidRDefault="00652ABB" w:rsidP="00652ABB">
      <w:pPr>
        <w:pStyle w:val="NormalHanging12a"/>
      </w:pPr>
      <w:r w:rsidRPr="00024B22">
        <w:t>–</w:t>
      </w:r>
      <w:r w:rsidRPr="00024B22">
        <w:tab/>
        <w:t>vu les avis de la commission de la sécurité et de la défense et de la commission des transports et du tourisme,</w:t>
      </w:r>
    </w:p>
    <w:p w14:paraId="5C55E879" w14:textId="77777777" w:rsidR="00652ABB" w:rsidRPr="00024B22" w:rsidRDefault="00652ABB" w:rsidP="00652ABB">
      <w:pPr>
        <w:pStyle w:val="NormalHanging12a"/>
      </w:pPr>
      <w:r w:rsidRPr="00024B22">
        <w:t>–</w:t>
      </w:r>
      <w:r w:rsidRPr="00024B22">
        <w:tab/>
        <w:t>vu le rapport de la commission de l’industrie, de la recherche et de l’énergie (A10</w:t>
      </w:r>
      <w:r w:rsidRPr="00024B22">
        <w:noBreakHyphen/>
        <w:t>0172/2025),</w:t>
      </w:r>
    </w:p>
    <w:p w14:paraId="66C456D3" w14:textId="77777777" w:rsidR="00652ABB" w:rsidRPr="00024B22" w:rsidRDefault="00652ABB" w:rsidP="00652ABB">
      <w:pPr>
        <w:pStyle w:val="NormalHanging12a"/>
      </w:pPr>
      <w:r w:rsidRPr="00024B22">
        <w:t>1.</w:t>
      </w:r>
      <w:r w:rsidRPr="00024B22">
        <w:tab/>
        <w:t>arrête la position en première lecture figurant ci-après;</w:t>
      </w:r>
    </w:p>
    <w:p w14:paraId="1543D9EF" w14:textId="77777777" w:rsidR="00652ABB" w:rsidRPr="00024B22" w:rsidRDefault="00652ABB" w:rsidP="00652ABB">
      <w:pPr>
        <w:pStyle w:val="NormalHanging12a"/>
      </w:pPr>
      <w:r w:rsidRPr="00024B22">
        <w:t>2.</w:t>
      </w:r>
      <w:r w:rsidRPr="00024B22">
        <w:tab/>
        <w:t>demande à la Commission de le saisir à nouveau, si elle remplace, modifie de manière substantielle ou entend modifier de manière substantielle sa proposition;</w:t>
      </w:r>
    </w:p>
    <w:p w14:paraId="670C7446" w14:textId="3E33E1B8" w:rsidR="00471F7E" w:rsidRDefault="00652ABB" w:rsidP="00652ABB">
      <w:pPr>
        <w:pStyle w:val="NormalHanging12a"/>
      </w:pPr>
      <w:r w:rsidRPr="00024B22">
        <w:t>3.</w:t>
      </w:r>
      <w:r w:rsidRPr="00024B22">
        <w:tab/>
        <w:t>charge sa Présidente de transmettre la position du Parlement au Conseil et à la Commission ainsi qu’aux parlements nationaux.</w:t>
      </w:r>
    </w:p>
    <w:p w14:paraId="279A679F" w14:textId="77777777" w:rsidR="0003353E" w:rsidRDefault="0003353E">
      <w:pPr>
        <w:widowControl/>
        <w:sectPr w:rsidR="0003353E" w:rsidSect="00024B22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74C66602" w14:textId="77777777" w:rsidR="00471F7E" w:rsidRPr="00763275" w:rsidRDefault="00471F7E" w:rsidP="00471F7E">
      <w:pPr>
        <w:autoSpaceDE w:val="0"/>
        <w:autoSpaceDN w:val="0"/>
        <w:adjustRightInd w:val="0"/>
        <w:spacing w:after="240"/>
        <w:rPr>
          <w:b/>
          <w:bCs/>
          <w:color w:val="000000"/>
        </w:rPr>
      </w:pPr>
      <w:r w:rsidRPr="00763275">
        <w:rPr>
          <w:b/>
          <w:bCs/>
          <w:color w:val="000000"/>
        </w:rPr>
        <w:lastRenderedPageBreak/>
        <w:t>P10_TC1-COD(2025)0103</w:t>
      </w:r>
    </w:p>
    <w:p w14:paraId="1678EF63" w14:textId="13428BA9" w:rsidR="00471F7E" w:rsidRDefault="00471F7E" w:rsidP="00471F7E">
      <w:pPr>
        <w:spacing w:after="240"/>
        <w:rPr>
          <w:rFonts w:eastAsia="Calibri"/>
          <w:b/>
          <w:szCs w:val="22"/>
          <w:lang w:eastAsia="en-US"/>
        </w:rPr>
      </w:pPr>
      <w:r w:rsidRPr="0070765D">
        <w:rPr>
          <w:b/>
        </w:rPr>
        <w:t xml:space="preserve">Position du Parlement européen arrêtée en première lecture le </w:t>
      </w:r>
      <w:r w:rsidR="00C83200">
        <w:rPr>
          <w:b/>
        </w:rPr>
        <w:t xml:space="preserve">16 </w:t>
      </w:r>
      <w:r w:rsidRPr="00471F7E">
        <w:rPr>
          <w:b/>
        </w:rPr>
        <w:t xml:space="preserve">décembre 2025 en vue de l’adoption du règlement (UE) 2025/... du Parlement européen et du Conseil </w:t>
      </w:r>
      <w:r w:rsidRPr="00471F7E">
        <w:rPr>
          <w:rFonts w:eastAsia="Calibri"/>
          <w:b/>
          <w:szCs w:val="22"/>
          <w:lang w:eastAsia="en-US"/>
        </w:rPr>
        <w:t>modifiant les règlements (UE) 2021/694, (UE) 2021/695, (UE) 2021/697, (UE) 2021/1153</w:t>
      </w:r>
      <w:r w:rsidR="00464F76">
        <w:rPr>
          <w:rFonts w:eastAsia="Calibri"/>
          <w:b/>
          <w:szCs w:val="22"/>
          <w:lang w:eastAsia="en-US"/>
        </w:rPr>
        <w:t xml:space="preserve"> </w:t>
      </w:r>
      <w:r w:rsidRPr="00471F7E">
        <w:rPr>
          <w:rFonts w:eastAsia="Calibri"/>
          <w:b/>
          <w:szCs w:val="22"/>
          <w:lang w:eastAsia="en-US"/>
        </w:rPr>
        <w:t>et (UE) 2024/795 en ce qui concerne l’incitation aux investissements liés à la défense dans le budget de l’Union pour mettre en œuvre le plan «</w:t>
      </w:r>
      <w:proofErr w:type="spellStart"/>
      <w:r w:rsidRPr="00471F7E">
        <w:rPr>
          <w:rFonts w:eastAsia="Calibri"/>
          <w:b/>
          <w:szCs w:val="22"/>
          <w:lang w:eastAsia="en-US"/>
        </w:rPr>
        <w:t>ReArm</w:t>
      </w:r>
      <w:proofErr w:type="spellEnd"/>
      <w:r w:rsidRPr="00471F7E">
        <w:rPr>
          <w:rFonts w:eastAsia="Calibri"/>
          <w:b/>
          <w:szCs w:val="22"/>
          <w:lang w:eastAsia="en-US"/>
        </w:rPr>
        <w:t xml:space="preserve"> Europe»</w:t>
      </w:r>
    </w:p>
    <w:p w14:paraId="1118E652" w14:textId="4588C35D" w:rsidR="00464F76" w:rsidRPr="00471F7E" w:rsidRDefault="00464F76" w:rsidP="00464F76">
      <w:pPr>
        <w:pStyle w:val="Datedadoption"/>
        <w:spacing w:after="240" w:line="240" w:lineRule="auto"/>
        <w:jc w:val="left"/>
        <w:rPr>
          <w:rFonts w:eastAsia="Calibri"/>
          <w:b w:val="0"/>
          <w:szCs w:val="22"/>
        </w:rPr>
      </w:pPr>
      <w:r w:rsidRPr="0070765D">
        <w:rPr>
          <w:b w:val="0"/>
          <w:i/>
          <w:szCs w:val="24"/>
        </w:rPr>
        <w:t>(Étant donné l'accord intervenu entre le Parlement et le Conseil, la position du Parlement correspond à l'acte législatif final, le règlement (UE) 2025/</w:t>
      </w:r>
      <w:r>
        <w:rPr>
          <w:b w:val="0"/>
          <w:i/>
          <w:szCs w:val="24"/>
        </w:rPr>
        <w:t>2653</w:t>
      </w:r>
      <w:r w:rsidRPr="0070765D">
        <w:rPr>
          <w:b w:val="0"/>
          <w:i/>
          <w:szCs w:val="24"/>
        </w:rPr>
        <w:t>.)</w:t>
      </w:r>
    </w:p>
    <w:sectPr w:rsidR="00464F76" w:rsidRPr="00471F7E" w:rsidSect="00024B22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D08DF0" w14:textId="77777777" w:rsidR="002141BE" w:rsidRPr="00024B22" w:rsidRDefault="002141BE">
      <w:r w:rsidRPr="00024B22">
        <w:separator/>
      </w:r>
    </w:p>
  </w:endnote>
  <w:endnote w:type="continuationSeparator" w:id="0">
    <w:p w14:paraId="3A575ADB" w14:textId="77777777" w:rsidR="002141BE" w:rsidRPr="00024B22" w:rsidRDefault="002141BE">
      <w:r w:rsidRPr="00024B2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7602D2" w14:textId="77777777" w:rsidR="00064002" w:rsidRPr="00024B22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1FD828" w14:textId="77777777" w:rsidR="00064002" w:rsidRPr="00024B22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BCDDE3" w14:textId="77777777" w:rsidR="00064002" w:rsidRPr="00024B22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2FA9EC" w14:textId="77777777" w:rsidR="002141BE" w:rsidRPr="00024B22" w:rsidRDefault="002141BE">
      <w:r w:rsidRPr="00024B22">
        <w:separator/>
      </w:r>
    </w:p>
  </w:footnote>
  <w:footnote w:type="continuationSeparator" w:id="0">
    <w:p w14:paraId="14E21202" w14:textId="77777777" w:rsidR="002141BE" w:rsidRPr="00024B22" w:rsidRDefault="002141BE">
      <w:r w:rsidRPr="00024B22">
        <w:continuationSeparator/>
      </w:r>
    </w:p>
  </w:footnote>
  <w:footnote w:id="1">
    <w:p w14:paraId="32FE130F" w14:textId="2AA741C1" w:rsidR="00652ABB" w:rsidRPr="00D10470" w:rsidRDefault="00652ABB" w:rsidP="00D10470">
      <w:pPr>
        <w:pStyle w:val="FootnoteText"/>
        <w:ind w:left="567" w:hanging="567"/>
        <w:rPr>
          <w:sz w:val="24"/>
          <w:szCs w:val="24"/>
        </w:rPr>
      </w:pPr>
      <w:r w:rsidRPr="00D10470">
        <w:rPr>
          <w:rStyle w:val="FootnoteReference"/>
          <w:sz w:val="24"/>
          <w:szCs w:val="24"/>
        </w:rPr>
        <w:footnoteRef/>
      </w:r>
      <w:r w:rsidR="00024B22" w:rsidRPr="00D10470">
        <w:rPr>
          <w:color w:val="1E1E1F"/>
          <w:sz w:val="24"/>
          <w:szCs w:val="24"/>
          <w:shd w:val="clear" w:color="auto" w:fill="FFFFFF"/>
        </w:rPr>
        <w:t xml:space="preserve"> </w:t>
      </w:r>
      <w:r w:rsidR="00024B22" w:rsidRPr="00D10470">
        <w:rPr>
          <w:color w:val="1E1E1F"/>
          <w:sz w:val="24"/>
          <w:szCs w:val="24"/>
          <w:shd w:val="clear" w:color="auto" w:fill="FFFFFF"/>
        </w:rPr>
        <w:tab/>
      </w:r>
      <w:r w:rsidRPr="00D10470">
        <w:rPr>
          <w:color w:val="1E1E1F"/>
          <w:sz w:val="24"/>
          <w:szCs w:val="24"/>
          <w:shd w:val="clear" w:color="auto" w:fill="FFFFFF"/>
        </w:rPr>
        <w:t>Non encore paru au Journal officiel.</w:t>
      </w:r>
    </w:p>
  </w:footnote>
  <w:footnote w:id="2">
    <w:p w14:paraId="345E1FE7" w14:textId="3610B1E6" w:rsidR="00D10470" w:rsidRPr="001D677A" w:rsidRDefault="00D10470" w:rsidP="00D10470">
      <w:pPr>
        <w:pStyle w:val="FootnoteText"/>
        <w:ind w:left="567" w:hanging="567"/>
        <w:rPr>
          <w:sz w:val="24"/>
          <w:szCs w:val="24"/>
          <w:lang w:val="fi-FI"/>
        </w:rPr>
      </w:pPr>
      <w:r w:rsidRPr="00D10470">
        <w:rPr>
          <w:rStyle w:val="FootnoteReference"/>
          <w:sz w:val="24"/>
          <w:szCs w:val="24"/>
        </w:rPr>
        <w:footnoteRef/>
      </w:r>
      <w:r w:rsidRPr="001D677A">
        <w:rPr>
          <w:sz w:val="24"/>
          <w:szCs w:val="24"/>
          <w:lang w:val="fi-FI"/>
        </w:rPr>
        <w:t xml:space="preserve"> </w:t>
      </w:r>
      <w:r w:rsidRPr="001D677A">
        <w:rPr>
          <w:sz w:val="24"/>
          <w:szCs w:val="24"/>
          <w:lang w:val="fi-FI"/>
        </w:rPr>
        <w:tab/>
        <w:t>J</w:t>
      </w:r>
      <w:r w:rsidRPr="00D10470">
        <w:rPr>
          <w:sz w:val="24"/>
          <w:szCs w:val="24"/>
          <w:lang w:val="fi-FI"/>
        </w:rPr>
        <w:t>O</w:t>
      </w:r>
      <w:r w:rsidRPr="001D677A">
        <w:rPr>
          <w:sz w:val="24"/>
          <w:szCs w:val="24"/>
          <w:lang w:val="fi-FI"/>
        </w:rPr>
        <w:t xml:space="preserve"> C, C/2025/6325, 3.12.2025, ELI: http://data.europa.eu/eli/C/2025/6325/oj.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C95BF8" w14:textId="77777777" w:rsidR="00064002" w:rsidRPr="00024B22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748AC2" w14:textId="77777777" w:rsidR="00064002" w:rsidRPr="00024B22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D76C14" w14:textId="77777777" w:rsidR="00064002" w:rsidRPr="00024B22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926841613">
    <w:abstractNumId w:val="9"/>
  </w:num>
  <w:num w:numId="2" w16cid:durableId="209466865">
    <w:abstractNumId w:val="9"/>
  </w:num>
  <w:num w:numId="3" w16cid:durableId="2064716450">
    <w:abstractNumId w:val="7"/>
  </w:num>
  <w:num w:numId="4" w16cid:durableId="510602418">
    <w:abstractNumId w:val="7"/>
  </w:num>
  <w:num w:numId="5" w16cid:durableId="645932951">
    <w:abstractNumId w:val="6"/>
  </w:num>
  <w:num w:numId="6" w16cid:durableId="558058257">
    <w:abstractNumId w:val="6"/>
  </w:num>
  <w:num w:numId="7" w16cid:durableId="369914385">
    <w:abstractNumId w:val="5"/>
  </w:num>
  <w:num w:numId="8" w16cid:durableId="654379973">
    <w:abstractNumId w:val="5"/>
  </w:num>
  <w:num w:numId="9" w16cid:durableId="231742867">
    <w:abstractNumId w:val="4"/>
  </w:num>
  <w:num w:numId="10" w16cid:durableId="1610550070">
    <w:abstractNumId w:val="4"/>
  </w:num>
  <w:num w:numId="11" w16cid:durableId="359866634">
    <w:abstractNumId w:val="8"/>
  </w:num>
  <w:num w:numId="12" w16cid:durableId="2006861577">
    <w:abstractNumId w:val="8"/>
  </w:num>
  <w:num w:numId="13" w16cid:durableId="1342581546">
    <w:abstractNumId w:val="3"/>
  </w:num>
  <w:num w:numId="14" w16cid:durableId="2029213963">
    <w:abstractNumId w:val="3"/>
  </w:num>
  <w:num w:numId="15" w16cid:durableId="1024013099">
    <w:abstractNumId w:val="2"/>
  </w:num>
  <w:num w:numId="16" w16cid:durableId="461927935">
    <w:abstractNumId w:val="2"/>
  </w:num>
  <w:num w:numId="17" w16cid:durableId="2045473929">
    <w:abstractNumId w:val="1"/>
  </w:num>
  <w:num w:numId="18" w16cid:durableId="1363046391">
    <w:abstractNumId w:val="1"/>
  </w:num>
  <w:num w:numId="19" w16cid:durableId="1203514892">
    <w:abstractNumId w:val="0"/>
  </w:num>
  <w:num w:numId="20" w16cid:durableId="1599681045">
    <w:abstractNumId w:val="0"/>
  </w:num>
  <w:num w:numId="21" w16cid:durableId="149177961">
    <w:abstractNumId w:val="9"/>
  </w:num>
  <w:num w:numId="22" w16cid:durableId="1208646580">
    <w:abstractNumId w:val="7"/>
  </w:num>
  <w:num w:numId="23" w16cid:durableId="821853009">
    <w:abstractNumId w:val="6"/>
  </w:num>
  <w:num w:numId="24" w16cid:durableId="1020623712">
    <w:abstractNumId w:val="5"/>
  </w:num>
  <w:num w:numId="25" w16cid:durableId="1090157182">
    <w:abstractNumId w:val="4"/>
  </w:num>
  <w:num w:numId="26" w16cid:durableId="333533568">
    <w:abstractNumId w:val="8"/>
  </w:num>
  <w:num w:numId="27" w16cid:durableId="286548090">
    <w:abstractNumId w:val="3"/>
  </w:num>
  <w:num w:numId="28" w16cid:durableId="1509517741">
    <w:abstractNumId w:val="2"/>
  </w:num>
  <w:num w:numId="29" w16cid:durableId="489906761">
    <w:abstractNumId w:val="1"/>
  </w:num>
  <w:num w:numId="30" w16cid:durableId="706609996">
    <w:abstractNumId w:val="0"/>
  </w:num>
  <w:num w:numId="31" w16cid:durableId="1549880889">
    <w:abstractNumId w:val="9"/>
  </w:num>
  <w:num w:numId="32" w16cid:durableId="1737850274">
    <w:abstractNumId w:val="7"/>
  </w:num>
  <w:num w:numId="33" w16cid:durableId="866405520">
    <w:abstractNumId w:val="6"/>
  </w:num>
  <w:num w:numId="34" w16cid:durableId="1850291166">
    <w:abstractNumId w:val="5"/>
  </w:num>
  <w:num w:numId="35" w16cid:durableId="679310939">
    <w:abstractNumId w:val="4"/>
  </w:num>
  <w:num w:numId="36" w16cid:durableId="116610843">
    <w:abstractNumId w:val="8"/>
  </w:num>
  <w:num w:numId="37" w16cid:durableId="2065718652">
    <w:abstractNumId w:val="3"/>
  </w:num>
  <w:num w:numId="38" w16cid:durableId="1461679613">
    <w:abstractNumId w:val="2"/>
  </w:num>
  <w:num w:numId="39" w16cid:durableId="905994227">
    <w:abstractNumId w:val="1"/>
  </w:num>
  <w:num w:numId="40" w16cid:durableId="1706053889">
    <w:abstractNumId w:val="0"/>
  </w:num>
  <w:num w:numId="41" w16cid:durableId="1424493082">
    <w:abstractNumId w:val="10"/>
  </w:num>
  <w:num w:numId="42" w16cid:durableId="1472550485">
    <w:abstractNumId w:val="10"/>
  </w:num>
  <w:num w:numId="43" w16cid:durableId="16546266">
    <w:abstractNumId w:val="10"/>
  </w:num>
  <w:num w:numId="44" w16cid:durableId="2945807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72/2025"/>
    <w:docVar w:name="dvlangue" w:val="FR"/>
    <w:docVar w:name="dvnumam" w:val="0"/>
    <w:docVar w:name="dvpe" w:val="774.253"/>
    <w:docVar w:name="dvrapporteur" w:val="Rapporteur: "/>
    <w:docVar w:name="dvstar" w:val="***I"/>
    <w:docVar w:name="dvtitre" w:val="Résolution législative du Parlement européen du ... 2025 sur la proposition de règlement du Parlement européen et du Conseil modifiant les règlements (UE) 2021/694, (UE) 2021/695, (UE) 2021/697, (UE) 2021/1153, (UE) 2023/1525 et (UE) 2024/795 en ce qui concerne l’incitation aux investissements liés à la défense dans le budget de l’UE pour mettre en œuvre le plan «ReArm Europe»(COM(2025)0188 – C10-0070/2025 – 2025/0103(COD))"/>
  </w:docVars>
  <w:rsids>
    <w:rsidRoot w:val="002141BE"/>
    <w:rsid w:val="00002272"/>
    <w:rsid w:val="00024B22"/>
    <w:rsid w:val="0003353E"/>
    <w:rsid w:val="00054295"/>
    <w:rsid w:val="00064002"/>
    <w:rsid w:val="000677B9"/>
    <w:rsid w:val="000831BA"/>
    <w:rsid w:val="000A42CC"/>
    <w:rsid w:val="000E7DD9"/>
    <w:rsid w:val="0010095E"/>
    <w:rsid w:val="00125B37"/>
    <w:rsid w:val="00180996"/>
    <w:rsid w:val="00187494"/>
    <w:rsid w:val="001D677A"/>
    <w:rsid w:val="001F32AE"/>
    <w:rsid w:val="002141BE"/>
    <w:rsid w:val="002767FF"/>
    <w:rsid w:val="002B18FE"/>
    <w:rsid w:val="002B5493"/>
    <w:rsid w:val="002E716C"/>
    <w:rsid w:val="00343214"/>
    <w:rsid w:val="00361C00"/>
    <w:rsid w:val="00395FA1"/>
    <w:rsid w:val="003E15D4"/>
    <w:rsid w:val="00411CCE"/>
    <w:rsid w:val="0041666E"/>
    <w:rsid w:val="00421060"/>
    <w:rsid w:val="00464F76"/>
    <w:rsid w:val="00471C19"/>
    <w:rsid w:val="00471F7E"/>
    <w:rsid w:val="00472C9E"/>
    <w:rsid w:val="004867E3"/>
    <w:rsid w:val="00494A28"/>
    <w:rsid w:val="004A4D7F"/>
    <w:rsid w:val="004C0004"/>
    <w:rsid w:val="004C5D52"/>
    <w:rsid w:val="0050519A"/>
    <w:rsid w:val="005072A1"/>
    <w:rsid w:val="00514517"/>
    <w:rsid w:val="00545827"/>
    <w:rsid w:val="00560270"/>
    <w:rsid w:val="005B4B01"/>
    <w:rsid w:val="005C2568"/>
    <w:rsid w:val="005F1B17"/>
    <w:rsid w:val="006037C0"/>
    <w:rsid w:val="00652ABB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72B67"/>
    <w:rsid w:val="00881A7B"/>
    <w:rsid w:val="008840E5"/>
    <w:rsid w:val="0088482E"/>
    <w:rsid w:val="00887B3E"/>
    <w:rsid w:val="008903CB"/>
    <w:rsid w:val="008C2AC6"/>
    <w:rsid w:val="00930C23"/>
    <w:rsid w:val="0093193B"/>
    <w:rsid w:val="00931C5B"/>
    <w:rsid w:val="009509D8"/>
    <w:rsid w:val="00950B64"/>
    <w:rsid w:val="00981893"/>
    <w:rsid w:val="00A1687D"/>
    <w:rsid w:val="00A243D0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B1189"/>
    <w:rsid w:val="00BD48FE"/>
    <w:rsid w:val="00BD7BD8"/>
    <w:rsid w:val="00BE065A"/>
    <w:rsid w:val="00BE6ADC"/>
    <w:rsid w:val="00C05BFE"/>
    <w:rsid w:val="00C23CD4"/>
    <w:rsid w:val="00C46029"/>
    <w:rsid w:val="00C61C0C"/>
    <w:rsid w:val="00C83200"/>
    <w:rsid w:val="00C941CB"/>
    <w:rsid w:val="00CC2357"/>
    <w:rsid w:val="00CE4964"/>
    <w:rsid w:val="00CF071A"/>
    <w:rsid w:val="00D058B8"/>
    <w:rsid w:val="00D10470"/>
    <w:rsid w:val="00D56C11"/>
    <w:rsid w:val="00D64923"/>
    <w:rsid w:val="00D725C4"/>
    <w:rsid w:val="00D834A0"/>
    <w:rsid w:val="00D872DF"/>
    <w:rsid w:val="00D91E21"/>
    <w:rsid w:val="00DA7FCD"/>
    <w:rsid w:val="00DC56FF"/>
    <w:rsid w:val="00E365E1"/>
    <w:rsid w:val="00E820A4"/>
    <w:rsid w:val="00EB006A"/>
    <w:rsid w:val="00EB0601"/>
    <w:rsid w:val="00EB4772"/>
    <w:rsid w:val="00ED169E"/>
    <w:rsid w:val="00ED4235"/>
    <w:rsid w:val="00EE0F2F"/>
    <w:rsid w:val="00F04346"/>
    <w:rsid w:val="00F075DC"/>
    <w:rsid w:val="00F149E9"/>
    <w:rsid w:val="00F45A6D"/>
    <w:rsid w:val="00F5134D"/>
    <w:rsid w:val="00F61065"/>
    <w:rsid w:val="00F74202"/>
    <w:rsid w:val="00F87713"/>
    <w:rsid w:val="00FB4360"/>
    <w:rsid w:val="00FD0C70"/>
    <w:rsid w:val="00FF7A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7857F03"/>
  <w15:chartTrackingRefBased/>
  <w15:docId w15:val="{B6BD57E4-52E4-4FA9-9255-A4FEE754A9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fr-F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652ABB"/>
    <w:pPr>
      <w:spacing w:before="480" w:after="240"/>
    </w:pPr>
  </w:style>
  <w:style w:type="paragraph" w:customStyle="1" w:styleId="NormalBold">
    <w:name w:val="NormalBold"/>
    <w:basedOn w:val="Normal"/>
    <w:link w:val="NormalBoldChar"/>
    <w:rsid w:val="00652ABB"/>
    <w:rPr>
      <w:b/>
    </w:rPr>
  </w:style>
  <w:style w:type="paragraph" w:customStyle="1" w:styleId="NormalHanging12a">
    <w:name w:val="NormalHanging12a"/>
    <w:basedOn w:val="Normal"/>
    <w:uiPriority w:val="99"/>
    <w:rsid w:val="00652ABB"/>
    <w:pPr>
      <w:spacing w:after="240"/>
      <w:ind w:left="567" w:hanging="567"/>
    </w:pPr>
  </w:style>
  <w:style w:type="paragraph" w:customStyle="1" w:styleId="NormalCenter12a">
    <w:name w:val="NormalCenter12a"/>
    <w:basedOn w:val="Normal"/>
    <w:rsid w:val="00652ABB"/>
    <w:pPr>
      <w:spacing w:after="240"/>
      <w:jc w:val="center"/>
    </w:pPr>
  </w:style>
  <w:style w:type="paragraph" w:customStyle="1" w:styleId="AmNumberTabs">
    <w:name w:val="AmNumberTabs"/>
    <w:basedOn w:val="Normal"/>
    <w:rsid w:val="00652ABB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AmHeadingConsam">
    <w:name w:val="AmHeadingConsam"/>
    <w:basedOn w:val="Normal"/>
    <w:next w:val="NormalCenter12a"/>
    <w:rsid w:val="00652ABB"/>
    <w:pPr>
      <w:spacing w:before="720" w:after="240"/>
      <w:jc w:val="center"/>
    </w:pPr>
  </w:style>
  <w:style w:type="character" w:customStyle="1" w:styleId="NormalBoldChar">
    <w:name w:val="NormalBold Char"/>
    <w:basedOn w:val="DefaultParagraphFont"/>
    <w:link w:val="NormalBold"/>
    <w:locked/>
    <w:rsid w:val="00652ABB"/>
    <w:rPr>
      <w:b/>
      <w:sz w:val="24"/>
      <w:lang w:val="fr-FR"/>
    </w:rPr>
  </w:style>
  <w:style w:type="character" w:styleId="Hyperlink">
    <w:name w:val="Hyperlink"/>
    <w:uiPriority w:val="99"/>
    <w:unhideWhenUsed/>
    <w:rsid w:val="00652ABB"/>
    <w:rPr>
      <w:color w:val="0000FF"/>
      <w:u w:val="single"/>
    </w:rPr>
  </w:style>
  <w:style w:type="paragraph" w:customStyle="1" w:styleId="Text1">
    <w:name w:val="Text 1"/>
    <w:basedOn w:val="Normal"/>
    <w:rsid w:val="00652ABB"/>
    <w:pPr>
      <w:widowControl/>
      <w:spacing w:before="120" w:after="120"/>
      <w:ind w:left="850"/>
      <w:jc w:val="both"/>
    </w:pPr>
    <w:rPr>
      <w:rFonts w:eastAsiaTheme="minorHAnsi"/>
      <w:szCs w:val="22"/>
      <w:lang w:eastAsia="en-US"/>
    </w:rPr>
  </w:style>
  <w:style w:type="paragraph" w:customStyle="1" w:styleId="Point0">
    <w:name w:val="Point 0"/>
    <w:basedOn w:val="Normal"/>
    <w:rsid w:val="00652ABB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Point1">
    <w:name w:val="Point 1"/>
    <w:basedOn w:val="Normal"/>
    <w:rsid w:val="00652ABB"/>
    <w:pPr>
      <w:widowControl/>
      <w:spacing w:before="120" w:after="120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652ABB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Applicationdirecte">
    <w:name w:val="Application directe"/>
    <w:basedOn w:val="Normal"/>
    <w:next w:val="Normal"/>
    <w:rsid w:val="00652ABB"/>
    <w:pPr>
      <w:widowControl/>
      <w:spacing w:before="480" w:after="120"/>
      <w:jc w:val="both"/>
    </w:pPr>
    <w:rPr>
      <w:rFonts w:eastAsiaTheme="minorHAns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652ABB"/>
    <w:pPr>
      <w:keepNext/>
      <w:widowControl/>
      <w:spacing w:before="360" w:after="120"/>
      <w:jc w:val="center"/>
    </w:pPr>
    <w:rPr>
      <w:rFonts w:eastAsiaTheme="minorHAnsi"/>
      <w:i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652ABB"/>
    <w:pPr>
      <w:keepNext/>
      <w:widowControl/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652ABB"/>
    <w:pPr>
      <w:keepNext/>
      <w:widowControl/>
      <w:spacing w:before="600" w:after="120"/>
      <w:jc w:val="both"/>
    </w:pPr>
    <w:rPr>
      <w:rFonts w:eastAsiaTheme="minorHAnsi"/>
      <w:szCs w:val="22"/>
      <w:lang w:eastAsia="en-US"/>
    </w:rPr>
  </w:style>
  <w:style w:type="paragraph" w:customStyle="1" w:styleId="ManualConsidrant">
    <w:name w:val="Manual Considérant"/>
    <w:basedOn w:val="Normal"/>
    <w:rsid w:val="00652ABB"/>
    <w:pPr>
      <w:widowControl/>
      <w:spacing w:before="120" w:after="120"/>
      <w:ind w:left="709" w:hanging="709"/>
      <w:jc w:val="both"/>
    </w:pPr>
    <w:rPr>
      <w:rFonts w:eastAsiaTheme="minorHAnsi"/>
      <w:szCs w:val="22"/>
      <w:lang w:eastAsia="en-US"/>
    </w:rPr>
  </w:style>
  <w:style w:type="paragraph" w:customStyle="1" w:styleId="Typedudocument">
    <w:name w:val="Type du document"/>
    <w:basedOn w:val="Normal"/>
    <w:next w:val="Titreobjet"/>
    <w:rsid w:val="00652ABB"/>
    <w:pPr>
      <w:widowControl/>
      <w:spacing w:before="360"/>
      <w:jc w:val="center"/>
    </w:pPr>
    <w:rPr>
      <w:rFonts w:eastAsiaTheme="minorHAnsi"/>
      <w:b/>
      <w:szCs w:val="22"/>
      <w:lang w:eastAsia="en-US"/>
    </w:rPr>
  </w:style>
  <w:style w:type="paragraph" w:customStyle="1" w:styleId="Titreobjet">
    <w:name w:val="Titre objet"/>
    <w:basedOn w:val="Normal"/>
    <w:next w:val="IntrtEEE"/>
    <w:rsid w:val="00652ABB"/>
    <w:pPr>
      <w:widowControl/>
      <w:spacing w:before="360" w:after="360"/>
      <w:jc w:val="center"/>
    </w:pPr>
    <w:rPr>
      <w:rFonts w:eastAsiaTheme="minorHAnsi"/>
      <w:b/>
      <w:szCs w:val="22"/>
      <w:lang w:eastAsia="en-US"/>
    </w:rPr>
  </w:style>
  <w:style w:type="paragraph" w:customStyle="1" w:styleId="IntrtEEE">
    <w:name w:val="Intérêt EEE"/>
    <w:basedOn w:val="Normal"/>
    <w:next w:val="Normal"/>
    <w:rsid w:val="00652ABB"/>
    <w:pPr>
      <w:widowControl/>
      <w:spacing w:before="360" w:after="240"/>
      <w:jc w:val="center"/>
    </w:pPr>
    <w:rPr>
      <w:rFonts w:eastAsiaTheme="minorHAnsi"/>
      <w:szCs w:val="22"/>
      <w:lang w:eastAsia="en-US"/>
    </w:rPr>
  </w:style>
  <w:style w:type="paragraph" w:customStyle="1" w:styleId="Statut">
    <w:name w:val="Statut"/>
    <w:basedOn w:val="Normal"/>
    <w:next w:val="Typedudocument"/>
    <w:rsid w:val="00652ABB"/>
    <w:pPr>
      <w:widowControl/>
      <w:spacing w:before="360"/>
      <w:jc w:val="center"/>
    </w:pPr>
    <w:rPr>
      <w:rFonts w:eastAsiaTheme="minorHAnsi"/>
      <w:szCs w:val="22"/>
      <w:lang w:eastAsia="en-US"/>
    </w:rPr>
  </w:style>
  <w:style w:type="paragraph" w:styleId="CommentText">
    <w:name w:val="annotation text"/>
    <w:basedOn w:val="Normal"/>
    <w:link w:val="CommentTextChar"/>
    <w:rsid w:val="00652ABB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652ABB"/>
    <w:rPr>
      <w:lang w:val="fr-FR"/>
    </w:rPr>
  </w:style>
  <w:style w:type="paragraph" w:styleId="Revision">
    <w:name w:val="Revision"/>
    <w:hidden/>
    <w:uiPriority w:val="99"/>
    <w:semiHidden/>
    <w:rsid w:val="00D10470"/>
    <w:rPr>
      <w:sz w:val="24"/>
      <w:lang w:val="fr-FR"/>
    </w:rPr>
  </w:style>
  <w:style w:type="character" w:customStyle="1" w:styleId="Hyperlink1">
    <w:name w:val="Hyperlink1"/>
    <w:basedOn w:val="DefaultParagraphFont"/>
    <w:uiPriority w:val="99"/>
    <w:unhideWhenUsed/>
    <w:rsid w:val="00471F7E"/>
    <w:rPr>
      <w:color w:val="0000FF"/>
      <w:u w:val="single"/>
    </w:rPr>
  </w:style>
  <w:style w:type="character" w:styleId="CommentReference">
    <w:name w:val="annotation reference"/>
    <w:basedOn w:val="DefaultParagraphFont"/>
    <w:rsid w:val="00EE0F2F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rsid w:val="00EE0F2F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EE0F2F"/>
    <w:rPr>
      <w:b/>
      <w:bCs/>
      <w:lang w:val="fr-FR"/>
    </w:rPr>
  </w:style>
  <w:style w:type="paragraph" w:customStyle="1" w:styleId="Datedadoption">
    <w:name w:val="Date d'adoption"/>
    <w:basedOn w:val="Normal"/>
    <w:next w:val="Normal"/>
    <w:rsid w:val="00464F76"/>
    <w:pPr>
      <w:widowControl/>
      <w:spacing w:before="360" w:line="360" w:lineRule="auto"/>
      <w:jc w:val="center"/>
    </w:pPr>
    <w:rPr>
      <w:b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498</Words>
  <Characters>2920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DELECROIX Dorothee</dc:creator>
  <cp:keywords/>
  <cp:lastModifiedBy>DELECROIX Dorothee</cp:lastModifiedBy>
  <cp:revision>2</cp:revision>
  <cp:lastPrinted>2004-11-19T15:42:00Z</cp:lastPrinted>
  <dcterms:created xsi:type="dcterms:W3CDTF">2026-03-06T10:44:00Z</dcterms:created>
  <dcterms:modified xsi:type="dcterms:W3CDTF">2026-03-06T10:44:00Z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FR</vt:lpwstr>
  </property>
  <property fmtid="{D5CDD505-2E9C-101B-9397-08002B2CF9AE}" pid="3" name="&lt;FdR&gt;">
    <vt:lpwstr>P10_TA(2025)0320_</vt:lpwstr>
  </property>
  <property fmtid="{D5CDD505-2E9C-101B-9397-08002B2CF9AE}" pid="4" name="&lt;Type&gt;">
    <vt:lpwstr>RR</vt:lpwstr>
  </property>
</Properties>
</file>