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B2140" w14:paraId="6660A6F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58277DE" w14:textId="77777777" w:rsidR="00751A4A" w:rsidRPr="005B2140" w:rsidRDefault="00E70729" w:rsidP="0010095E">
            <w:pPr>
              <w:pStyle w:val="EPName"/>
            </w:pPr>
            <w:r w:rsidRPr="005B2140">
              <w:t>Europski parlament</w:t>
            </w:r>
          </w:p>
          <w:p w14:paraId="193D5824" w14:textId="77777777" w:rsidR="00751A4A" w:rsidRPr="005B214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B2140">
              <w:t>2024</w:t>
            </w:r>
            <w:r w:rsidR="00817416" w:rsidRPr="005B2140">
              <w:t>-202</w:t>
            </w:r>
            <w:r w:rsidRPr="005B2140">
              <w:t>9</w:t>
            </w:r>
          </w:p>
        </w:tc>
        <w:tc>
          <w:tcPr>
            <w:tcW w:w="2268" w:type="dxa"/>
            <w:shd w:val="clear" w:color="auto" w:fill="auto"/>
          </w:tcPr>
          <w:p w14:paraId="616B2468" w14:textId="77777777" w:rsidR="00751A4A" w:rsidRPr="005B2140" w:rsidRDefault="00187494" w:rsidP="0010095E">
            <w:pPr>
              <w:pStyle w:val="EPLogo"/>
            </w:pPr>
            <w:r w:rsidRPr="005B2140">
              <w:rPr>
                <w:noProof/>
                <w:lang w:eastAsia="ja-JP"/>
              </w:rPr>
              <w:drawing>
                <wp:inline distT="0" distB="0" distL="0" distR="0" wp14:anchorId="50387531" wp14:editId="20F4C12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F2FF65" w14:textId="77777777" w:rsidR="00D058B8" w:rsidRPr="005B2140" w:rsidRDefault="00D058B8" w:rsidP="004C5D52">
      <w:pPr>
        <w:pStyle w:val="LineTop"/>
      </w:pPr>
    </w:p>
    <w:p w14:paraId="193C841C" w14:textId="77777777" w:rsidR="00680577" w:rsidRPr="005B2140" w:rsidRDefault="00E70729" w:rsidP="00680577">
      <w:pPr>
        <w:pStyle w:val="EPBodyTA1"/>
      </w:pPr>
      <w:r w:rsidRPr="005B2140">
        <w:t>USVOJENI TEKSTOVI</w:t>
      </w:r>
    </w:p>
    <w:p w14:paraId="41A4E569" w14:textId="77777777" w:rsidR="00D058B8" w:rsidRPr="005B2140" w:rsidRDefault="00D058B8" w:rsidP="00D058B8">
      <w:pPr>
        <w:pStyle w:val="LineBottom"/>
      </w:pPr>
    </w:p>
    <w:p w14:paraId="6E01D2AB" w14:textId="175043C4" w:rsidR="00E70729" w:rsidRPr="005B2140" w:rsidRDefault="00E70729" w:rsidP="00E70729">
      <w:pPr>
        <w:pStyle w:val="ATHeading1"/>
      </w:pPr>
      <w:bookmarkStart w:id="0" w:name="TANumber"/>
      <w:r w:rsidRPr="005B2140">
        <w:t>P10_TA(2025)0</w:t>
      </w:r>
      <w:bookmarkEnd w:id="0"/>
      <w:r w:rsidR="00FC6751">
        <w:t>320</w:t>
      </w:r>
    </w:p>
    <w:p w14:paraId="56FBEF0B" w14:textId="77777777" w:rsidR="00E70729" w:rsidRPr="005B2140" w:rsidRDefault="00E70729" w:rsidP="00E70729">
      <w:pPr>
        <w:pStyle w:val="ATHeading2"/>
      </w:pPr>
      <w:bookmarkStart w:id="1" w:name="title"/>
      <w:r w:rsidRPr="005B2140">
        <w:t xml:space="preserve">Poticanje ulaganja u obranu u okviru proračuna EU-a radi provedbe plana </w:t>
      </w:r>
      <w:proofErr w:type="spellStart"/>
      <w:r w:rsidRPr="005B2140">
        <w:t>ReArm</w:t>
      </w:r>
      <w:proofErr w:type="spellEnd"/>
      <w:r w:rsidRPr="005B2140">
        <w:t xml:space="preserve"> Europe</w:t>
      </w:r>
      <w:bookmarkEnd w:id="1"/>
    </w:p>
    <w:p w14:paraId="1A0E5BD4" w14:textId="77777777" w:rsidR="00E70729" w:rsidRPr="005B2140" w:rsidRDefault="00E70729" w:rsidP="00E70729">
      <w:pPr>
        <w:rPr>
          <w:i/>
          <w:vanish/>
        </w:rPr>
      </w:pPr>
      <w:r w:rsidRPr="005B2140">
        <w:rPr>
          <w:i/>
        </w:rPr>
        <w:fldChar w:fldCharType="begin"/>
      </w:r>
      <w:r w:rsidRPr="005B2140">
        <w:rPr>
          <w:i/>
        </w:rPr>
        <w:instrText xml:space="preserve"> TC"(</w:instrText>
      </w:r>
      <w:bookmarkStart w:id="2" w:name="DocNumber"/>
      <w:r w:rsidRPr="005B2140">
        <w:rPr>
          <w:i/>
        </w:rPr>
        <w:instrText>A10-0172/2025</w:instrText>
      </w:r>
      <w:bookmarkEnd w:id="2"/>
      <w:r w:rsidRPr="005B2140">
        <w:rPr>
          <w:i/>
        </w:rPr>
        <w:instrText xml:space="preserve"> - Izvjestitelj: Rihards Kols)"\l3 \n&gt; \* MERGEFORMAT </w:instrText>
      </w:r>
      <w:r w:rsidRPr="005B2140">
        <w:rPr>
          <w:i/>
        </w:rPr>
        <w:fldChar w:fldCharType="end"/>
      </w:r>
    </w:p>
    <w:p w14:paraId="33E59DE5" w14:textId="77777777" w:rsidR="00E70729" w:rsidRPr="005B2140" w:rsidRDefault="00E70729" w:rsidP="00E70729">
      <w:pPr>
        <w:rPr>
          <w:vanish/>
        </w:rPr>
      </w:pPr>
      <w:bookmarkStart w:id="3" w:name="Commission"/>
      <w:r w:rsidRPr="005B2140">
        <w:rPr>
          <w:vanish/>
        </w:rPr>
        <w:t>Odbor za industriju, istraživanje i energetiku</w:t>
      </w:r>
      <w:bookmarkEnd w:id="3"/>
    </w:p>
    <w:p w14:paraId="0AE737C8" w14:textId="77777777" w:rsidR="00E70729" w:rsidRPr="005B2140" w:rsidRDefault="00E70729" w:rsidP="00E70729">
      <w:pPr>
        <w:rPr>
          <w:vanish/>
        </w:rPr>
      </w:pPr>
      <w:bookmarkStart w:id="4" w:name="PE"/>
      <w:r w:rsidRPr="005B2140">
        <w:rPr>
          <w:vanish/>
        </w:rPr>
        <w:t>PE774.253</w:t>
      </w:r>
      <w:bookmarkEnd w:id="4"/>
    </w:p>
    <w:p w14:paraId="6353A21C" w14:textId="54BD8E95" w:rsidR="00E70729" w:rsidRPr="005B2140" w:rsidRDefault="00E70729" w:rsidP="00E70729">
      <w:pPr>
        <w:pStyle w:val="ATHeading3"/>
      </w:pPr>
      <w:bookmarkStart w:id="5" w:name="Sujet"/>
      <w:r w:rsidRPr="005B2140">
        <w:t xml:space="preserve">Zakonodavna rezolucija Europskog parlamenta od </w:t>
      </w:r>
      <w:r w:rsidR="00336F6A">
        <w:t>16. prosinca</w:t>
      </w:r>
      <w:r w:rsidRPr="005B2140">
        <w:t xml:space="preserve"> 2025. o Prijedlogu uredbe Europskog parlamenta i Vijeća o izmjeni uredaba (EU) 2021/694, (EU) 2021/695, (EU) 2021/697, (EU) 2021/1153, (EU) 2023/1525 i (EU) 2024/795 u pogledu poticanja ulaganja u obranu u okviru proračuna EU-a radi provedbe plana </w:t>
      </w:r>
      <w:proofErr w:type="spellStart"/>
      <w:r w:rsidRPr="005B2140">
        <w:t>ReArm</w:t>
      </w:r>
      <w:proofErr w:type="spellEnd"/>
      <w:r w:rsidRPr="005B2140">
        <w:t xml:space="preserve"> Europe</w:t>
      </w:r>
      <w:bookmarkEnd w:id="5"/>
      <w:r w:rsidRPr="005B2140">
        <w:t xml:space="preserve"> </w:t>
      </w:r>
      <w:bookmarkStart w:id="6" w:name="References"/>
      <w:r w:rsidRPr="005B2140">
        <w:t>(COM(2025)0188 – C10-0070/2025 – 2025/0103(COD))</w:t>
      </w:r>
      <w:bookmarkEnd w:id="6"/>
    </w:p>
    <w:p w14:paraId="7D235A2D" w14:textId="77777777" w:rsidR="00B14D99" w:rsidRPr="005B2140" w:rsidRDefault="00B14D99" w:rsidP="00B14D99">
      <w:pPr>
        <w:pStyle w:val="NormalBold"/>
      </w:pPr>
      <w:r w:rsidRPr="005B2140">
        <w:t>(Redovni zakonodavni postupak: prvo čitanje)</w:t>
      </w:r>
    </w:p>
    <w:p w14:paraId="50475D11" w14:textId="77777777" w:rsidR="00B14D99" w:rsidRPr="005B2140" w:rsidRDefault="00B14D99" w:rsidP="00B14D99">
      <w:pPr>
        <w:pStyle w:val="EPComma"/>
      </w:pPr>
      <w:r w:rsidRPr="005B2140">
        <w:rPr>
          <w:i/>
        </w:rPr>
        <w:t>Europski parlament</w:t>
      </w:r>
      <w:r w:rsidRPr="005B2140">
        <w:t>,</w:t>
      </w:r>
    </w:p>
    <w:p w14:paraId="5CCA4498" w14:textId="77777777" w:rsidR="00B14D99" w:rsidRPr="005B2140" w:rsidRDefault="00B14D99" w:rsidP="00B14D99">
      <w:pPr>
        <w:pStyle w:val="NormalHanging12a"/>
      </w:pPr>
      <w:r w:rsidRPr="005B2140">
        <w:t>–</w:t>
      </w:r>
      <w:r w:rsidRPr="005B2140">
        <w:tab/>
        <w:t>uzimajući u obzir Prijedlog Komisije upućen Europskom parlamentu i Vijeću (COM(2025)0188),</w:t>
      </w:r>
    </w:p>
    <w:p w14:paraId="56B658E1" w14:textId="1D1E0E37" w:rsidR="00B14D99" w:rsidRDefault="00B14D99" w:rsidP="00B14D99">
      <w:pPr>
        <w:pStyle w:val="NormalHanging12a"/>
      </w:pPr>
      <w:r w:rsidRPr="005B2140">
        <w:t>–</w:t>
      </w:r>
      <w:r w:rsidRPr="005B2140">
        <w:tab/>
        <w:t xml:space="preserve">uzimajući u obzir </w:t>
      </w:r>
      <w:r w:rsidR="00336F6A" w:rsidRPr="00336F6A">
        <w:t>članak 294. stavak 2.</w:t>
      </w:r>
      <w:r w:rsidR="00F061DC">
        <w:t>,</w:t>
      </w:r>
      <w:r w:rsidRPr="005B2140">
        <w:t xml:space="preserve"> članke 114., 164.</w:t>
      </w:r>
      <w:r w:rsidR="00060FA2">
        <w:t>,</w:t>
      </w:r>
      <w:r w:rsidRPr="005B2140">
        <w:t xml:space="preserve"> 172.</w:t>
      </w:r>
      <w:r w:rsidR="009B0BC2">
        <w:t xml:space="preserve"> i</w:t>
      </w:r>
      <w:r w:rsidRPr="005B2140">
        <w:t xml:space="preserve"> 173., članak 175. treći stavak, članke 176., 177</w:t>
      </w:r>
      <w:r w:rsidR="00E84F63">
        <w:t>.</w:t>
      </w:r>
      <w:r w:rsidR="00060FA2">
        <w:t>,</w:t>
      </w:r>
      <w:r w:rsidRPr="005B2140">
        <w:t xml:space="preserve"> 178., 182., 183.</w:t>
      </w:r>
      <w:r w:rsidR="009B0BC2">
        <w:t xml:space="preserve"> i</w:t>
      </w:r>
      <w:r w:rsidR="00060FA2">
        <w:t xml:space="preserve"> </w:t>
      </w:r>
      <w:r w:rsidRPr="005B2140">
        <w:t xml:space="preserve">188. </w:t>
      </w:r>
      <w:r w:rsidR="009B0BC2">
        <w:t>te</w:t>
      </w:r>
      <w:r w:rsidRPr="005B2140">
        <w:t xml:space="preserve"> članak 192. stavak 1. Ugovora o funkcioniranju Europske unije, u skladu s kojima je Komisija podnijela prijedlog Parlamentu (C10-00</w:t>
      </w:r>
      <w:r w:rsidR="00F061DC">
        <w:t>70</w:t>
      </w:r>
      <w:r w:rsidRPr="005B2140">
        <w:t>/2025),</w:t>
      </w:r>
    </w:p>
    <w:p w14:paraId="02AED6A9" w14:textId="217EC6D6" w:rsidR="00997387" w:rsidRPr="005B2140" w:rsidRDefault="00997387" w:rsidP="00B14D99">
      <w:pPr>
        <w:pStyle w:val="NormalHanging12a"/>
      </w:pPr>
      <w:r w:rsidRPr="005B2140">
        <w:t>–</w:t>
      </w:r>
      <w:r w:rsidRPr="005B2140">
        <w:tab/>
      </w:r>
      <w:r w:rsidR="00226049" w:rsidRPr="00226049">
        <w:rPr>
          <w:snapToGrid w:val="0"/>
          <w:lang w:eastAsia="en-US"/>
        </w:rPr>
        <w:t>uzimajući u obzir mišljenje Odbora za pravna pitanja o predloženoj pravnoj osnovi,</w:t>
      </w:r>
    </w:p>
    <w:p w14:paraId="2C7C8B87" w14:textId="0DA83715" w:rsidR="00B14D99" w:rsidRPr="005B2140" w:rsidRDefault="00B14D99" w:rsidP="00B14D99">
      <w:pPr>
        <w:pStyle w:val="NormalHanging12a"/>
      </w:pPr>
      <w:r w:rsidRPr="005B2140">
        <w:t>–</w:t>
      </w:r>
      <w:r w:rsidRPr="005B2140">
        <w:tab/>
        <w:t>uzimajući u obzir članak 294. stavak 3.</w:t>
      </w:r>
      <w:r w:rsidR="00F51E90">
        <w:t xml:space="preserve"> i</w:t>
      </w:r>
      <w:r w:rsidR="00060FA2">
        <w:t xml:space="preserve"> članke 164. i 172., članak 173</w:t>
      </w:r>
      <w:r w:rsidR="000E24C9">
        <w:t>.</w:t>
      </w:r>
      <w:r w:rsidR="00060FA2">
        <w:t xml:space="preserve"> stavak 3., članak 175. treći stavak, članke 177. i 178., članak 182. stavke 1. i 4., članak 183</w:t>
      </w:r>
      <w:r w:rsidR="00392087">
        <w:t>.</w:t>
      </w:r>
      <w:r w:rsidR="00060FA2">
        <w:t>, članak 188. drugi stavak i članak 192. stavak 1.</w:t>
      </w:r>
      <w:r w:rsidRPr="005B2140">
        <w:t xml:space="preserve"> Ugovora o funkcioniranju Europske unije,</w:t>
      </w:r>
    </w:p>
    <w:p w14:paraId="41018113" w14:textId="77777777" w:rsidR="00B14D99" w:rsidRPr="005B2140" w:rsidRDefault="00B14D99" w:rsidP="00B14D99">
      <w:pPr>
        <w:pStyle w:val="NormalHanging12a"/>
      </w:pPr>
      <w:r w:rsidRPr="005B2140">
        <w:t>–</w:t>
      </w:r>
      <w:r w:rsidRPr="005B2140">
        <w:tab/>
        <w:t>uzimajući u obzir proračunsku procjenu koju je donio Odbor za proračune,</w:t>
      </w:r>
    </w:p>
    <w:p w14:paraId="71C1973B" w14:textId="47D61039" w:rsidR="00B14D99" w:rsidRPr="005B2140" w:rsidRDefault="00B14D99" w:rsidP="00B14D99">
      <w:pPr>
        <w:pStyle w:val="NormalHanging12a"/>
      </w:pPr>
      <w:r w:rsidRPr="005B2140">
        <w:t>–</w:t>
      </w:r>
      <w:r w:rsidRPr="005B2140">
        <w:tab/>
        <w:t>uzimajući u obzir mišljenje Europskog</w:t>
      </w:r>
      <w:r w:rsidR="009A4E44">
        <w:t>a</w:t>
      </w:r>
      <w:r w:rsidRPr="005B2140">
        <w:t xml:space="preserve"> gospodarskog i socijalnog odbora od 18. rujna 2025.</w:t>
      </w:r>
      <w:r w:rsidRPr="005B2140">
        <w:rPr>
          <w:rStyle w:val="FootnoteReference"/>
        </w:rPr>
        <w:footnoteReference w:id="1"/>
      </w:r>
      <w:r w:rsidRPr="005B2140">
        <w:t>,</w:t>
      </w:r>
    </w:p>
    <w:p w14:paraId="2AD3B0C4" w14:textId="4EB8CC23" w:rsidR="00B14D99" w:rsidRDefault="00B14D99" w:rsidP="00B14D99">
      <w:pPr>
        <w:pStyle w:val="NormalHanging12a"/>
      </w:pPr>
      <w:r w:rsidRPr="005B2140">
        <w:lastRenderedPageBreak/>
        <w:t>–</w:t>
      </w:r>
      <w:r w:rsidRPr="005B2140">
        <w:tab/>
      </w:r>
      <w:r w:rsidR="00F061DC" w:rsidRPr="00F061DC">
        <w:t>uzimajući u obzir mišljenje</w:t>
      </w:r>
      <w:r w:rsidRPr="005B2140">
        <w:t xml:space="preserve"> Odbor</w:t>
      </w:r>
      <w:r w:rsidR="00F061DC">
        <w:t>a</w:t>
      </w:r>
      <w:r w:rsidRPr="005B2140">
        <w:t xml:space="preserve"> regija</w:t>
      </w:r>
      <w:r w:rsidR="00F061DC">
        <w:t xml:space="preserve"> od 15. listopada 2025.</w:t>
      </w:r>
      <w:r w:rsidR="00F061DC">
        <w:rPr>
          <w:rStyle w:val="FootnoteReference"/>
        </w:rPr>
        <w:footnoteReference w:id="2"/>
      </w:r>
      <w:r w:rsidRPr="005B2140">
        <w:t>,</w:t>
      </w:r>
    </w:p>
    <w:p w14:paraId="2A96BA7D" w14:textId="3939D847" w:rsidR="00226049" w:rsidRPr="005B2140" w:rsidRDefault="00226049" w:rsidP="00B14D99">
      <w:pPr>
        <w:pStyle w:val="NormalHanging12a"/>
      </w:pPr>
      <w:r w:rsidRPr="005B2140">
        <w:t>–</w:t>
      </w:r>
      <w:r w:rsidRPr="005B2140">
        <w:tab/>
      </w:r>
      <w:r w:rsidRPr="00226049">
        <w:t>uzimajući u obzir privremeni sporazum koji je odobrio nadležni odbor u skladu s člankom 7</w:t>
      </w:r>
      <w:r>
        <w:t>5</w:t>
      </w:r>
      <w:r w:rsidRPr="00226049">
        <w:t>. stavkom 4. Poslovnika te činjenicu da se predstavnik Vijeća pismom od 1</w:t>
      </w:r>
      <w:r>
        <w:t>0</w:t>
      </w:r>
      <w:r w:rsidRPr="00226049">
        <w:t xml:space="preserve">. </w:t>
      </w:r>
      <w:r>
        <w:t>studenoga</w:t>
      </w:r>
      <w:r w:rsidRPr="00226049">
        <w:t xml:space="preserve"> 202</w:t>
      </w:r>
      <w:r>
        <w:t>5</w:t>
      </w:r>
      <w:r w:rsidRPr="00226049">
        <w:t>. obvezao prihvatiti stajalište Europskog parlamenta u skladu s člankom 294. stavkom 4. Ugovora o funkcioniranju Europske unije,</w:t>
      </w:r>
    </w:p>
    <w:p w14:paraId="16310C46" w14:textId="2B303B64" w:rsidR="00B14D99" w:rsidRPr="005B2140" w:rsidRDefault="00B14D99" w:rsidP="00B14D99">
      <w:pPr>
        <w:pStyle w:val="NormalHanging12a"/>
      </w:pPr>
      <w:r w:rsidRPr="005B2140">
        <w:t>–</w:t>
      </w:r>
      <w:r w:rsidRPr="005B2140">
        <w:tab/>
        <w:t>uzimajući u obzir članke 60.</w:t>
      </w:r>
      <w:r w:rsidR="00226049">
        <w:t>, 41.</w:t>
      </w:r>
      <w:r w:rsidRPr="005B2140">
        <w:t xml:space="preserve"> i 58. Poslovnika,</w:t>
      </w:r>
    </w:p>
    <w:p w14:paraId="72B08E54" w14:textId="77777777" w:rsidR="00B14D99" w:rsidRPr="005B2140" w:rsidRDefault="00B14D99" w:rsidP="00B14D99">
      <w:pPr>
        <w:pStyle w:val="NormalHanging12a"/>
      </w:pPr>
      <w:r w:rsidRPr="005B2140">
        <w:t>–</w:t>
      </w:r>
      <w:r w:rsidRPr="005B2140">
        <w:tab/>
        <w:t>uzimajući u obzir mišljenja Odbora za sigurnost i obranu i Odbora za promet i turizam,</w:t>
      </w:r>
    </w:p>
    <w:p w14:paraId="7A510F7E" w14:textId="77777777" w:rsidR="00B14D99" w:rsidRPr="005B2140" w:rsidRDefault="00B14D99" w:rsidP="00B14D99">
      <w:pPr>
        <w:pStyle w:val="NormalHanging12a"/>
      </w:pPr>
      <w:r w:rsidRPr="005B2140">
        <w:t>–</w:t>
      </w:r>
      <w:r w:rsidRPr="005B2140">
        <w:tab/>
        <w:t>uzimajući u obzir izvješće Odbora industriju, istraživanje i energetiku (A10</w:t>
      </w:r>
      <w:r w:rsidRPr="005B2140">
        <w:noBreakHyphen/>
        <w:t>0172/2025),</w:t>
      </w:r>
    </w:p>
    <w:p w14:paraId="12CC5308" w14:textId="3A26E8C5" w:rsidR="00B14D99" w:rsidRPr="005B2140" w:rsidRDefault="00B14D99" w:rsidP="00B14D99">
      <w:pPr>
        <w:pStyle w:val="NormalHanging12a"/>
      </w:pPr>
      <w:r w:rsidRPr="005B2140">
        <w:t>1.</w:t>
      </w:r>
      <w:r w:rsidRPr="005B2140">
        <w:tab/>
        <w:t xml:space="preserve">usvaja </w:t>
      </w:r>
      <w:r w:rsidR="009A4E44">
        <w:t>niže navedeno</w:t>
      </w:r>
      <w:r w:rsidRPr="005B2140">
        <w:t xml:space="preserve"> stajalište u prvom čitanju;</w:t>
      </w:r>
    </w:p>
    <w:p w14:paraId="439A0FEE" w14:textId="77777777" w:rsidR="00B14D99" w:rsidRPr="005B2140" w:rsidRDefault="00B14D99" w:rsidP="00B14D99">
      <w:pPr>
        <w:pStyle w:val="NormalHanging12a"/>
      </w:pPr>
      <w:r w:rsidRPr="005B2140">
        <w:t>2.</w:t>
      </w:r>
      <w:r w:rsidRPr="005B2140">
        <w:tab/>
        <w:t>poziva Komisiju da predmet ponovno uputi Parlamentu ako zamijeni, bitno izmijeni ili namjerava bitno izmijeniti svoj Prijedlog;</w:t>
      </w:r>
    </w:p>
    <w:p w14:paraId="0861F5E1" w14:textId="77777777" w:rsidR="00B14D99" w:rsidRPr="005B2140" w:rsidRDefault="00B14D99" w:rsidP="00B14D99">
      <w:pPr>
        <w:pStyle w:val="NormalHanging12a"/>
      </w:pPr>
      <w:r w:rsidRPr="005B2140">
        <w:t>3.</w:t>
      </w:r>
      <w:r w:rsidRPr="005B2140">
        <w:tab/>
        <w:t>nalaže svojoj predsjednici da stajalište Parlamenta proslijedi Vijeću, Komisiji i nacionalnim parlamentima.</w:t>
      </w:r>
    </w:p>
    <w:p w14:paraId="6AE0BC29" w14:textId="77777777" w:rsidR="00997387" w:rsidRDefault="00997387" w:rsidP="00B14D99">
      <w:pPr>
        <w:widowControl/>
        <w:sectPr w:rsidR="00997387" w:rsidSect="005B214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8B6068E" w14:textId="77777777" w:rsidR="00226049" w:rsidRPr="00FC6751" w:rsidRDefault="00226049" w:rsidP="00226049">
      <w:pPr>
        <w:widowControl/>
        <w:rPr>
          <w:rFonts w:eastAsia="Calibri"/>
          <w:b/>
          <w:bCs/>
          <w:szCs w:val="24"/>
          <w:lang w:eastAsia="en-US"/>
        </w:rPr>
      </w:pPr>
      <w:r w:rsidRPr="00FC6751">
        <w:rPr>
          <w:rFonts w:eastAsia="Calibri"/>
          <w:b/>
          <w:bCs/>
          <w:szCs w:val="24"/>
          <w:lang w:eastAsia="en-US"/>
        </w:rPr>
        <w:lastRenderedPageBreak/>
        <w:t>P10_TC1-COD(2025)0103</w:t>
      </w:r>
    </w:p>
    <w:p w14:paraId="164F9683" w14:textId="77777777" w:rsidR="00997387" w:rsidRDefault="00997387" w:rsidP="00997387">
      <w:pPr>
        <w:widowControl/>
        <w:rPr>
          <w:rFonts w:eastAsia="Calibri"/>
          <w:b/>
          <w:szCs w:val="24"/>
          <w:lang w:eastAsia="en-US"/>
        </w:rPr>
      </w:pPr>
    </w:p>
    <w:p w14:paraId="193E79F1" w14:textId="7EFC5F3A" w:rsidR="00997387" w:rsidRPr="00997387" w:rsidRDefault="00997387" w:rsidP="00FC6751">
      <w:pPr>
        <w:widowControl/>
        <w:rPr>
          <w:rFonts w:eastAsia="Calibri"/>
          <w:b/>
          <w:szCs w:val="22"/>
          <w:lang w:eastAsia="en-US"/>
        </w:rPr>
      </w:pPr>
      <w:r w:rsidRPr="00997387">
        <w:rPr>
          <w:rFonts w:eastAsia="Calibri"/>
          <w:b/>
          <w:szCs w:val="24"/>
          <w:lang w:eastAsia="en-US"/>
        </w:rPr>
        <w:t xml:space="preserve">Stajalište Europskog parlamenta usvojeno u prvom čitanju </w:t>
      </w:r>
      <w:r w:rsidR="00226049">
        <w:rPr>
          <w:rFonts w:eastAsia="Calibri"/>
          <w:b/>
          <w:szCs w:val="24"/>
          <w:lang w:eastAsia="en-US"/>
        </w:rPr>
        <w:t>16</w:t>
      </w:r>
      <w:r w:rsidRPr="00997387">
        <w:rPr>
          <w:rFonts w:eastAsia="Calibri"/>
          <w:b/>
          <w:szCs w:val="24"/>
          <w:lang w:eastAsia="en-US"/>
        </w:rPr>
        <w:t xml:space="preserve">. </w:t>
      </w:r>
      <w:r w:rsidR="00226049">
        <w:rPr>
          <w:rFonts w:eastAsia="Calibri"/>
          <w:b/>
          <w:szCs w:val="24"/>
          <w:lang w:eastAsia="en-US"/>
        </w:rPr>
        <w:t xml:space="preserve">prosinca </w:t>
      </w:r>
      <w:r w:rsidRPr="00997387">
        <w:rPr>
          <w:rFonts w:eastAsia="Calibri"/>
          <w:b/>
          <w:szCs w:val="24"/>
          <w:lang w:eastAsia="en-US"/>
        </w:rPr>
        <w:t>202</w:t>
      </w:r>
      <w:r>
        <w:rPr>
          <w:rFonts w:eastAsia="Calibri"/>
          <w:b/>
          <w:szCs w:val="24"/>
          <w:lang w:eastAsia="en-US"/>
        </w:rPr>
        <w:t>5</w:t>
      </w:r>
      <w:r w:rsidRPr="00997387">
        <w:rPr>
          <w:rFonts w:eastAsia="Calibri"/>
          <w:b/>
          <w:szCs w:val="24"/>
          <w:lang w:eastAsia="en-US"/>
        </w:rPr>
        <w:t xml:space="preserve">. radi donošenja </w:t>
      </w:r>
      <w:r w:rsidR="00E84F63">
        <w:rPr>
          <w:rFonts w:eastAsia="Calibri"/>
          <w:b/>
          <w:szCs w:val="24"/>
          <w:lang w:eastAsia="en-US"/>
        </w:rPr>
        <w:t xml:space="preserve">Uredbe </w:t>
      </w:r>
      <w:r w:rsidRPr="00997387">
        <w:rPr>
          <w:rFonts w:eastAsia="Calibri"/>
          <w:b/>
          <w:szCs w:val="24"/>
          <w:lang w:eastAsia="en-US"/>
        </w:rPr>
        <w:t>(EU) 202</w:t>
      </w:r>
      <w:r>
        <w:rPr>
          <w:rFonts w:eastAsia="Calibri"/>
          <w:b/>
          <w:szCs w:val="24"/>
          <w:lang w:eastAsia="en-US"/>
        </w:rPr>
        <w:t>5</w:t>
      </w:r>
      <w:r w:rsidRPr="00997387">
        <w:rPr>
          <w:rFonts w:eastAsia="Calibri"/>
          <w:b/>
          <w:szCs w:val="24"/>
          <w:lang w:eastAsia="en-US"/>
        </w:rPr>
        <w:t xml:space="preserve">/... Europskog parlamenta i Vijeća </w:t>
      </w:r>
      <w:r w:rsidRPr="00997387">
        <w:rPr>
          <w:rFonts w:eastAsia="Calibri"/>
          <w:b/>
          <w:snapToGrid w:val="0"/>
          <w:szCs w:val="24"/>
          <w:lang w:eastAsia="hr-HR"/>
        </w:rPr>
        <w:t xml:space="preserve">o </w:t>
      </w:r>
      <w:r w:rsidRPr="00997387">
        <w:rPr>
          <w:rFonts w:eastAsia="Calibri"/>
          <w:b/>
          <w:szCs w:val="22"/>
          <w:lang w:eastAsia="en-US"/>
        </w:rPr>
        <w:t xml:space="preserve">izmjeni uredaba (EU) 2021/694, (EU) 2021/695, (EU) 2021/697, (EU) 2021/1153 i (EU) 2024/795 u pogledu poticanja ulaganja u obranu u okviru proračuna EU-a radi provedbe plana </w:t>
      </w:r>
      <w:proofErr w:type="spellStart"/>
      <w:r w:rsidRPr="00997387">
        <w:rPr>
          <w:rFonts w:eastAsia="Calibri"/>
          <w:b/>
          <w:szCs w:val="22"/>
          <w:lang w:eastAsia="en-US"/>
        </w:rPr>
        <w:t>ReArm</w:t>
      </w:r>
      <w:proofErr w:type="spellEnd"/>
      <w:r w:rsidRPr="00997387">
        <w:rPr>
          <w:rFonts w:eastAsia="Calibri"/>
          <w:b/>
          <w:szCs w:val="22"/>
          <w:lang w:eastAsia="en-US"/>
        </w:rPr>
        <w:t xml:space="preserve"> Europe</w:t>
      </w:r>
    </w:p>
    <w:p w14:paraId="60859E60" w14:textId="5B68CF9E" w:rsidR="009A4E44" w:rsidRPr="009A4E44" w:rsidRDefault="009A4E44" w:rsidP="009A4E44">
      <w:pPr>
        <w:widowControl/>
        <w:spacing w:before="240"/>
        <w:rPr>
          <w:rFonts w:eastAsia="Calibri"/>
          <w:i/>
          <w:szCs w:val="24"/>
          <w:lang w:eastAsia="en-US"/>
        </w:rPr>
      </w:pPr>
      <w:r w:rsidRPr="009A4E44">
        <w:rPr>
          <w:rFonts w:eastAsia="Calibri"/>
          <w:i/>
          <w:szCs w:val="24"/>
          <w:lang w:eastAsia="en-US"/>
        </w:rPr>
        <w:t xml:space="preserve">(S obzirom da je postignut sporazum Parlamenta i Vijeća, stajalište Parlamenta odgovara konačnom zakonodavnom aktu, </w:t>
      </w:r>
      <w:r>
        <w:rPr>
          <w:rFonts w:eastAsia="Calibri"/>
          <w:i/>
          <w:szCs w:val="24"/>
          <w:lang w:eastAsia="en-US"/>
        </w:rPr>
        <w:t>Uredbi (EU) 2025/2653.</w:t>
      </w:r>
      <w:r w:rsidRPr="009A4E44">
        <w:rPr>
          <w:rFonts w:eastAsia="Calibri"/>
          <w:i/>
          <w:szCs w:val="24"/>
          <w:lang w:eastAsia="en-US"/>
        </w:rPr>
        <w:t>)</w:t>
      </w:r>
    </w:p>
    <w:p w14:paraId="149C18DF" w14:textId="16639924" w:rsidR="00B14D99" w:rsidRPr="003D1280" w:rsidRDefault="00B14D99" w:rsidP="009A4E44">
      <w:pPr>
        <w:spacing w:before="240" w:after="240"/>
        <w:rPr>
          <w:szCs w:val="24"/>
        </w:rPr>
      </w:pPr>
    </w:p>
    <w:sectPr w:rsidR="00B14D99" w:rsidRPr="003D1280" w:rsidSect="005B214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582C02" w14:textId="77777777" w:rsidR="00E70729" w:rsidRPr="005B2140" w:rsidRDefault="00E70729">
      <w:r w:rsidRPr="005B2140">
        <w:separator/>
      </w:r>
    </w:p>
  </w:endnote>
  <w:endnote w:type="continuationSeparator" w:id="0">
    <w:p w14:paraId="19555EB9" w14:textId="77777777" w:rsidR="00E70729" w:rsidRPr="005B2140" w:rsidRDefault="00E70729">
      <w:r w:rsidRPr="005B214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C5DBD" w14:textId="77777777" w:rsidR="00064002" w:rsidRPr="005B214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04489" w14:textId="77777777" w:rsidR="00064002" w:rsidRPr="005B214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A70F0" w14:textId="77777777" w:rsidR="00064002" w:rsidRPr="005B214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90226D" w14:textId="77777777" w:rsidR="00E70729" w:rsidRPr="005B2140" w:rsidRDefault="00E70729">
      <w:r w:rsidRPr="005B2140">
        <w:separator/>
      </w:r>
    </w:p>
  </w:footnote>
  <w:footnote w:type="continuationSeparator" w:id="0">
    <w:p w14:paraId="085D5854" w14:textId="77777777" w:rsidR="00E70729" w:rsidRPr="005B2140" w:rsidRDefault="00E70729">
      <w:r w:rsidRPr="005B2140">
        <w:continuationSeparator/>
      </w:r>
    </w:p>
  </w:footnote>
  <w:footnote w:id="1">
    <w:p w14:paraId="275C0DEE" w14:textId="26C2117B" w:rsidR="00B14D99" w:rsidRPr="00F061DC" w:rsidRDefault="00B14D99" w:rsidP="005B2140">
      <w:pPr>
        <w:pStyle w:val="FootnoteText"/>
        <w:ind w:left="567" w:hanging="567"/>
        <w:rPr>
          <w:sz w:val="24"/>
          <w:szCs w:val="24"/>
          <w:lang w:val="hr-HR"/>
        </w:rPr>
      </w:pPr>
      <w:r w:rsidRPr="00F061DC">
        <w:rPr>
          <w:rStyle w:val="FootnoteReference"/>
          <w:sz w:val="24"/>
          <w:szCs w:val="24"/>
          <w:lang w:val="hr-HR"/>
        </w:rPr>
        <w:footnoteRef/>
      </w:r>
      <w:r w:rsidR="005B2140" w:rsidRPr="00F061DC">
        <w:rPr>
          <w:color w:val="1E1E1F"/>
          <w:sz w:val="24"/>
          <w:szCs w:val="24"/>
          <w:shd w:val="clear" w:color="auto" w:fill="FFFFFF"/>
          <w:lang w:val="hr-HR"/>
        </w:rPr>
        <w:t xml:space="preserve"> </w:t>
      </w:r>
      <w:r w:rsidR="005B2140" w:rsidRPr="00F061DC">
        <w:rPr>
          <w:color w:val="1E1E1F"/>
          <w:sz w:val="24"/>
          <w:szCs w:val="24"/>
          <w:shd w:val="clear" w:color="auto" w:fill="FFFFFF"/>
          <w:lang w:val="hr-HR"/>
        </w:rPr>
        <w:tab/>
      </w:r>
      <w:r w:rsidRPr="00F061DC">
        <w:rPr>
          <w:color w:val="1E1E1F"/>
          <w:sz w:val="24"/>
          <w:szCs w:val="24"/>
          <w:shd w:val="clear" w:color="auto" w:fill="FFFFFF"/>
          <w:lang w:val="hr-HR"/>
        </w:rPr>
        <w:t>Još nije objavljeno u Službenom listu.</w:t>
      </w:r>
    </w:p>
  </w:footnote>
  <w:footnote w:id="2">
    <w:p w14:paraId="1D38548B" w14:textId="42FBD5DA" w:rsidR="00F061DC" w:rsidRPr="00FC6751" w:rsidRDefault="00F061DC" w:rsidP="00FC6751">
      <w:pPr>
        <w:pStyle w:val="FootnoteText"/>
        <w:ind w:left="567" w:hanging="567"/>
        <w:rPr>
          <w:sz w:val="24"/>
          <w:szCs w:val="24"/>
          <w:lang w:val="hr-HR"/>
        </w:rPr>
      </w:pPr>
      <w:r w:rsidRPr="00FC6751">
        <w:rPr>
          <w:rStyle w:val="FootnoteReference"/>
          <w:sz w:val="24"/>
          <w:szCs w:val="24"/>
        </w:rPr>
        <w:footnoteRef/>
      </w:r>
      <w:r w:rsidRPr="00FC6751">
        <w:rPr>
          <w:sz w:val="24"/>
          <w:szCs w:val="24"/>
          <w:lang w:val="fi-FI"/>
        </w:rPr>
        <w:t xml:space="preserve"> </w:t>
      </w:r>
      <w:r w:rsidRPr="00FC6751">
        <w:rPr>
          <w:sz w:val="24"/>
          <w:szCs w:val="24"/>
          <w:lang w:val="fi-FI"/>
        </w:rPr>
        <w:tab/>
        <w:t>SL C, C/2025/6325, 3.12.2025</w:t>
      </w:r>
      <w:r w:rsidR="00C67343">
        <w:rPr>
          <w:sz w:val="24"/>
          <w:szCs w:val="24"/>
          <w:lang w:val="fi-FI"/>
        </w:rPr>
        <w:t>.</w:t>
      </w:r>
      <w:r w:rsidRPr="00FC6751">
        <w:rPr>
          <w:sz w:val="24"/>
          <w:szCs w:val="24"/>
          <w:lang w:val="fi-FI"/>
        </w:rPr>
        <w:t xml:space="preserve">, ELI: </w:t>
      </w:r>
      <w:hyperlink r:id="rId1" w:history="1">
        <w:r w:rsidRPr="00FC6751">
          <w:rPr>
            <w:rStyle w:val="Hyperlink"/>
            <w:sz w:val="24"/>
            <w:szCs w:val="24"/>
            <w:lang w:val="fi-FI"/>
          </w:rPr>
          <w:t>http://data.europa.eu/eli/C/2025/6325/oj</w:t>
        </w:r>
      </w:hyperlink>
      <w:r w:rsidRPr="00FC6751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477B5" w14:textId="77777777" w:rsidR="00064002" w:rsidRPr="005B214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9BD09" w14:textId="77777777" w:rsidR="00064002" w:rsidRPr="005B214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1E1D5" w14:textId="77777777" w:rsidR="00064002" w:rsidRPr="005B214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31069406">
    <w:abstractNumId w:val="9"/>
  </w:num>
  <w:num w:numId="2" w16cid:durableId="1488522019">
    <w:abstractNumId w:val="9"/>
  </w:num>
  <w:num w:numId="3" w16cid:durableId="1742143740">
    <w:abstractNumId w:val="7"/>
  </w:num>
  <w:num w:numId="4" w16cid:durableId="912743713">
    <w:abstractNumId w:val="7"/>
  </w:num>
  <w:num w:numId="5" w16cid:durableId="2135050600">
    <w:abstractNumId w:val="6"/>
  </w:num>
  <w:num w:numId="6" w16cid:durableId="92946243">
    <w:abstractNumId w:val="6"/>
  </w:num>
  <w:num w:numId="7" w16cid:durableId="846096892">
    <w:abstractNumId w:val="5"/>
  </w:num>
  <w:num w:numId="8" w16cid:durableId="160003591">
    <w:abstractNumId w:val="5"/>
  </w:num>
  <w:num w:numId="9" w16cid:durableId="1131708162">
    <w:abstractNumId w:val="4"/>
  </w:num>
  <w:num w:numId="10" w16cid:durableId="305089379">
    <w:abstractNumId w:val="4"/>
  </w:num>
  <w:num w:numId="11" w16cid:durableId="1134101202">
    <w:abstractNumId w:val="8"/>
  </w:num>
  <w:num w:numId="12" w16cid:durableId="672104428">
    <w:abstractNumId w:val="8"/>
  </w:num>
  <w:num w:numId="13" w16cid:durableId="1006052898">
    <w:abstractNumId w:val="3"/>
  </w:num>
  <w:num w:numId="14" w16cid:durableId="1589921423">
    <w:abstractNumId w:val="3"/>
  </w:num>
  <w:num w:numId="15" w16cid:durableId="2104378252">
    <w:abstractNumId w:val="2"/>
  </w:num>
  <w:num w:numId="16" w16cid:durableId="1980305298">
    <w:abstractNumId w:val="2"/>
  </w:num>
  <w:num w:numId="17" w16cid:durableId="1869100774">
    <w:abstractNumId w:val="1"/>
  </w:num>
  <w:num w:numId="18" w16cid:durableId="1740860928">
    <w:abstractNumId w:val="1"/>
  </w:num>
  <w:num w:numId="19" w16cid:durableId="1927766490">
    <w:abstractNumId w:val="0"/>
  </w:num>
  <w:num w:numId="20" w16cid:durableId="1691909083">
    <w:abstractNumId w:val="0"/>
  </w:num>
  <w:num w:numId="21" w16cid:durableId="1632008159">
    <w:abstractNumId w:val="9"/>
  </w:num>
  <w:num w:numId="22" w16cid:durableId="1613053801">
    <w:abstractNumId w:val="7"/>
  </w:num>
  <w:num w:numId="23" w16cid:durableId="53435497">
    <w:abstractNumId w:val="6"/>
  </w:num>
  <w:num w:numId="24" w16cid:durableId="76095388">
    <w:abstractNumId w:val="5"/>
  </w:num>
  <w:num w:numId="25" w16cid:durableId="1172338523">
    <w:abstractNumId w:val="4"/>
  </w:num>
  <w:num w:numId="26" w16cid:durableId="1110127765">
    <w:abstractNumId w:val="8"/>
  </w:num>
  <w:num w:numId="27" w16cid:durableId="2010212117">
    <w:abstractNumId w:val="3"/>
  </w:num>
  <w:num w:numId="28" w16cid:durableId="297537404">
    <w:abstractNumId w:val="2"/>
  </w:num>
  <w:num w:numId="29" w16cid:durableId="1312366599">
    <w:abstractNumId w:val="1"/>
  </w:num>
  <w:num w:numId="30" w16cid:durableId="1651013548">
    <w:abstractNumId w:val="0"/>
  </w:num>
  <w:num w:numId="31" w16cid:durableId="172456560">
    <w:abstractNumId w:val="9"/>
  </w:num>
  <w:num w:numId="32" w16cid:durableId="1631741575">
    <w:abstractNumId w:val="7"/>
  </w:num>
  <w:num w:numId="33" w16cid:durableId="692800027">
    <w:abstractNumId w:val="6"/>
  </w:num>
  <w:num w:numId="34" w16cid:durableId="1728794218">
    <w:abstractNumId w:val="5"/>
  </w:num>
  <w:num w:numId="35" w16cid:durableId="1618563194">
    <w:abstractNumId w:val="4"/>
  </w:num>
  <w:num w:numId="36" w16cid:durableId="314142980">
    <w:abstractNumId w:val="8"/>
  </w:num>
  <w:num w:numId="37" w16cid:durableId="1907568244">
    <w:abstractNumId w:val="3"/>
  </w:num>
  <w:num w:numId="38" w16cid:durableId="1977683716">
    <w:abstractNumId w:val="2"/>
  </w:num>
  <w:num w:numId="39" w16cid:durableId="1200632220">
    <w:abstractNumId w:val="1"/>
  </w:num>
  <w:num w:numId="40" w16cid:durableId="1883514723">
    <w:abstractNumId w:val="0"/>
  </w:num>
  <w:num w:numId="41" w16cid:durableId="572280829">
    <w:abstractNumId w:val="10"/>
  </w:num>
  <w:num w:numId="42" w16cid:durableId="2134446052">
    <w:abstractNumId w:val="10"/>
  </w:num>
  <w:num w:numId="43" w16cid:durableId="388767670">
    <w:abstractNumId w:val="10"/>
  </w:num>
  <w:num w:numId="44" w16cid:durableId="6485578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2/2025"/>
    <w:docVar w:name="dvlangue" w:val="HR"/>
    <w:docVar w:name="dvnumam" w:val="63"/>
    <w:docVar w:name="dvpe" w:val="774.253"/>
    <w:docVar w:name="dvrapporteur" w:val="Izvjestitelj: "/>
    <w:docVar w:name="dvstar" w:val="***I"/>
    <w:docVar w:name="dvtitre" w:val="Zakonodavna rezolucija Europskog parlamenta od .... 2025. o Prijedlogu uredbe Europskog parlamenta i Vijeća o izmjeni uredaba (EU) 2021/694, (EU) 2021/695, (EU) 2021/697, (EU) 2021/1153, (EU) 2023/1525 i (EU) 2024/795 u pogledu poticanja ulaganja u obranu u okviru proračuna EU-a radi provedbe plana ReArm Europe(COM(2025)0188 – C10-0070/2025 – 2025/0103(COD))"/>
  </w:docVars>
  <w:rsids>
    <w:rsidRoot w:val="00E70729"/>
    <w:rsid w:val="00002272"/>
    <w:rsid w:val="00060FA2"/>
    <w:rsid w:val="00064002"/>
    <w:rsid w:val="000677B9"/>
    <w:rsid w:val="000831BA"/>
    <w:rsid w:val="000A42CC"/>
    <w:rsid w:val="000C44DF"/>
    <w:rsid w:val="000E10A5"/>
    <w:rsid w:val="000E24C9"/>
    <w:rsid w:val="000E7DD9"/>
    <w:rsid w:val="0010095E"/>
    <w:rsid w:val="00125B37"/>
    <w:rsid w:val="00187494"/>
    <w:rsid w:val="001A12C5"/>
    <w:rsid w:val="001D13D7"/>
    <w:rsid w:val="001E197F"/>
    <w:rsid w:val="001F32AE"/>
    <w:rsid w:val="00226049"/>
    <w:rsid w:val="00265FB1"/>
    <w:rsid w:val="002767FF"/>
    <w:rsid w:val="00282DC2"/>
    <w:rsid w:val="002B18FE"/>
    <w:rsid w:val="002B5493"/>
    <w:rsid w:val="002C5100"/>
    <w:rsid w:val="00336F6A"/>
    <w:rsid w:val="00343214"/>
    <w:rsid w:val="00346547"/>
    <w:rsid w:val="00361C00"/>
    <w:rsid w:val="00392087"/>
    <w:rsid w:val="00395FA1"/>
    <w:rsid w:val="003D1280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2140"/>
    <w:rsid w:val="005C2568"/>
    <w:rsid w:val="005F1B17"/>
    <w:rsid w:val="006037C0"/>
    <w:rsid w:val="006631B6"/>
    <w:rsid w:val="00677026"/>
    <w:rsid w:val="00680577"/>
    <w:rsid w:val="006D0BE2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2491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7387"/>
    <w:rsid w:val="009A4E44"/>
    <w:rsid w:val="009B0BC2"/>
    <w:rsid w:val="00A1687D"/>
    <w:rsid w:val="00A253B0"/>
    <w:rsid w:val="00A43E52"/>
    <w:rsid w:val="00A4678D"/>
    <w:rsid w:val="00A778C7"/>
    <w:rsid w:val="00AB441E"/>
    <w:rsid w:val="00AB6293"/>
    <w:rsid w:val="00AB7239"/>
    <w:rsid w:val="00AE0928"/>
    <w:rsid w:val="00AF3B82"/>
    <w:rsid w:val="00B12E95"/>
    <w:rsid w:val="00B14D99"/>
    <w:rsid w:val="00B20E73"/>
    <w:rsid w:val="00B22876"/>
    <w:rsid w:val="00B558F0"/>
    <w:rsid w:val="00B7106C"/>
    <w:rsid w:val="00BD48FE"/>
    <w:rsid w:val="00BD7BD8"/>
    <w:rsid w:val="00BE6ADC"/>
    <w:rsid w:val="00C05BFE"/>
    <w:rsid w:val="00C23CD4"/>
    <w:rsid w:val="00C61C0C"/>
    <w:rsid w:val="00C635F2"/>
    <w:rsid w:val="00C67343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7692"/>
    <w:rsid w:val="00DF7FD8"/>
    <w:rsid w:val="00E365E1"/>
    <w:rsid w:val="00E70729"/>
    <w:rsid w:val="00E820A4"/>
    <w:rsid w:val="00E84F63"/>
    <w:rsid w:val="00EB006A"/>
    <w:rsid w:val="00EB4772"/>
    <w:rsid w:val="00ED169E"/>
    <w:rsid w:val="00ED4235"/>
    <w:rsid w:val="00F04346"/>
    <w:rsid w:val="00F061DC"/>
    <w:rsid w:val="00F075DC"/>
    <w:rsid w:val="00F149E9"/>
    <w:rsid w:val="00F5134D"/>
    <w:rsid w:val="00F51E90"/>
    <w:rsid w:val="00F74202"/>
    <w:rsid w:val="00F87713"/>
    <w:rsid w:val="00FB4360"/>
    <w:rsid w:val="00FC6751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1D722E"/>
  <w15:chartTrackingRefBased/>
  <w15:docId w15:val="{9F081122-99BF-40C8-B748-F95485D5E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B14D9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link w:val="NormalBoldChar"/>
    <w:rsid w:val="00B14D99"/>
    <w:rPr>
      <w:b/>
    </w:rPr>
  </w:style>
  <w:style w:type="paragraph" w:customStyle="1" w:styleId="NormalHanging12a">
    <w:name w:val="NormalHanging12a"/>
    <w:basedOn w:val="Normal"/>
    <w:uiPriority w:val="99"/>
    <w:rsid w:val="00B14D99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B14D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14D99"/>
    <w:rPr>
      <w:sz w:val="24"/>
      <w:lang w:val="hr-HR"/>
    </w:rPr>
  </w:style>
  <w:style w:type="paragraph" w:customStyle="1" w:styleId="AmNumberTabs">
    <w:name w:val="AmNumberTabs"/>
    <w:basedOn w:val="Normal"/>
    <w:rsid w:val="00B14D9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rsid w:val="00B14D9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14D99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B14D99"/>
    <w:rPr>
      <w:b/>
      <w:sz w:val="24"/>
      <w:lang w:val="hr-HR"/>
    </w:rPr>
  </w:style>
  <w:style w:type="character" w:styleId="Hyperlink">
    <w:name w:val="Hyperlink"/>
    <w:basedOn w:val="DefaultParagraphFont"/>
    <w:uiPriority w:val="99"/>
    <w:unhideWhenUsed/>
    <w:rsid w:val="00B14D99"/>
    <w:rPr>
      <w:color w:val="0563C1" w:themeColor="hyperlink"/>
      <w:u w:val="single"/>
    </w:rPr>
  </w:style>
  <w:style w:type="paragraph" w:customStyle="1" w:styleId="NormalCenter12a">
    <w:name w:val="NormalCenter12a"/>
    <w:basedOn w:val="Normal"/>
    <w:rsid w:val="00B14D99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B14D99"/>
    <w:pPr>
      <w:spacing w:before="720" w:after="240"/>
      <w:jc w:val="center"/>
    </w:pPr>
  </w:style>
  <w:style w:type="paragraph" w:customStyle="1" w:styleId="Text1">
    <w:name w:val="Text 1"/>
    <w:basedOn w:val="Normal"/>
    <w:rsid w:val="00B14D99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B14D99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B14D99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B14D99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Normal"/>
    <w:rsid w:val="00B14D99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B14D99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B14D99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B14D99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B14D99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B14D99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B14D99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Normal"/>
    <w:next w:val="Normal"/>
    <w:rsid w:val="00B14D99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B14D99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styleId="CommentText">
    <w:name w:val="annotation text"/>
    <w:basedOn w:val="Normal"/>
    <w:link w:val="CommentTextChar"/>
    <w:rsid w:val="00B14D9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14D99"/>
    <w:rPr>
      <w:lang w:val="hr-HR"/>
    </w:rPr>
  </w:style>
  <w:style w:type="paragraph" w:styleId="Revision">
    <w:name w:val="Revision"/>
    <w:hidden/>
    <w:uiPriority w:val="99"/>
    <w:semiHidden/>
    <w:rsid w:val="00336F6A"/>
    <w:rPr>
      <w:sz w:val="24"/>
      <w:lang w:val="hr-HR"/>
    </w:rPr>
  </w:style>
  <w:style w:type="character" w:customStyle="1" w:styleId="Hyperlink1">
    <w:name w:val="Hyperlink1"/>
    <w:basedOn w:val="DefaultParagraphFont"/>
    <w:uiPriority w:val="99"/>
    <w:unhideWhenUsed/>
    <w:rsid w:val="00997387"/>
    <w:rPr>
      <w:color w:val="0000FF"/>
      <w:u w:val="single"/>
    </w:rPr>
  </w:style>
  <w:style w:type="character" w:styleId="CommentReference">
    <w:name w:val="annotation reference"/>
    <w:basedOn w:val="DefaultParagraphFont"/>
    <w:rsid w:val="001E197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1E19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E197F"/>
    <w:rPr>
      <w:b/>
      <w:bCs/>
      <w:lang w:val="hr-HR"/>
    </w:rPr>
  </w:style>
  <w:style w:type="character" w:styleId="UnresolvedMention">
    <w:name w:val="Unresolved Mention"/>
    <w:basedOn w:val="DefaultParagraphFont"/>
    <w:uiPriority w:val="99"/>
    <w:semiHidden/>
    <w:unhideWhenUsed/>
    <w:rsid w:val="009B0BC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9B0BC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553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632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411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JELIC PRIMORAC Ivana</cp:lastModifiedBy>
  <cp:revision>2</cp:revision>
  <cp:lastPrinted>2004-11-19T15:42:00Z</cp:lastPrinted>
  <dcterms:created xsi:type="dcterms:W3CDTF">2026-03-12T14:22:00Z</dcterms:created>
  <dcterms:modified xsi:type="dcterms:W3CDTF">2026-03-12T14:22:00Z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P10_TA(2025)0320_</vt:lpwstr>
  </property>
  <property fmtid="{D5CDD505-2E9C-101B-9397-08002B2CF9AE}" pid="4" name="&lt;Type&gt;">
    <vt:lpwstr>RR</vt:lpwstr>
  </property>
</Properties>
</file>