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1DC3" w14:paraId="4B4F77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15F23F" w14:textId="77777777" w:rsidR="00751A4A" w:rsidRPr="00D11DC3" w:rsidRDefault="00410FD9" w:rsidP="0010095E">
            <w:pPr>
              <w:pStyle w:val="EPName"/>
            </w:pPr>
            <w:r w:rsidRPr="00D11DC3">
              <w:t>Europos Parlamentas</w:t>
            </w:r>
          </w:p>
          <w:p w14:paraId="35FB08BE" w14:textId="77777777" w:rsidR="00751A4A" w:rsidRPr="00D11D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DC3">
              <w:t>2024</w:t>
            </w:r>
            <w:r w:rsidR="00817416" w:rsidRPr="00D11DC3">
              <w:t>-202</w:t>
            </w:r>
            <w:r w:rsidRPr="00D11DC3">
              <w:t>9</w:t>
            </w:r>
          </w:p>
        </w:tc>
        <w:tc>
          <w:tcPr>
            <w:tcW w:w="2268" w:type="dxa"/>
            <w:shd w:val="clear" w:color="auto" w:fill="auto"/>
          </w:tcPr>
          <w:p w14:paraId="7A8B4127" w14:textId="77777777" w:rsidR="00751A4A" w:rsidRPr="00D11DC3" w:rsidRDefault="00187494" w:rsidP="0010095E">
            <w:pPr>
              <w:pStyle w:val="EPLogo"/>
            </w:pPr>
            <w:r w:rsidRPr="00D11DC3">
              <w:rPr>
                <w:noProof/>
                <w:lang w:eastAsia="ja-JP"/>
              </w:rPr>
              <w:drawing>
                <wp:inline distT="0" distB="0" distL="0" distR="0" wp14:anchorId="1832B35B" wp14:editId="6C176C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98AC5C" w14:textId="77777777" w:rsidR="00D058B8" w:rsidRPr="00D11DC3" w:rsidRDefault="00D058B8" w:rsidP="004C5D52">
      <w:pPr>
        <w:pStyle w:val="LineTop"/>
      </w:pPr>
    </w:p>
    <w:p w14:paraId="76191AB0" w14:textId="77777777" w:rsidR="00680577" w:rsidRPr="00D11DC3" w:rsidRDefault="00410FD9" w:rsidP="00680577">
      <w:pPr>
        <w:pStyle w:val="EPBodyTA1"/>
      </w:pPr>
      <w:r w:rsidRPr="00D11DC3">
        <w:t>PRIIMTI TEKSTAI</w:t>
      </w:r>
    </w:p>
    <w:p w14:paraId="3C21C6E7" w14:textId="77777777" w:rsidR="00D058B8" w:rsidRPr="00D11DC3" w:rsidRDefault="00D058B8" w:rsidP="00D058B8">
      <w:pPr>
        <w:pStyle w:val="LineBottom"/>
      </w:pPr>
    </w:p>
    <w:p w14:paraId="76D85439" w14:textId="28072EF4" w:rsidR="00410FD9" w:rsidRPr="00D11DC3" w:rsidRDefault="00410FD9" w:rsidP="00410FD9">
      <w:pPr>
        <w:pStyle w:val="ATHeading1"/>
      </w:pPr>
      <w:bookmarkStart w:id="0" w:name="TANumber"/>
      <w:r w:rsidRPr="00D11DC3">
        <w:t>P10_TA(2025)0</w:t>
      </w:r>
      <w:r w:rsidR="00B37317">
        <w:t>32</w:t>
      </w:r>
      <w:r w:rsidRPr="00D11DC3">
        <w:t>0</w:t>
      </w:r>
      <w:bookmarkEnd w:id="0"/>
    </w:p>
    <w:p w14:paraId="6423F369" w14:textId="049C0F98" w:rsidR="00410FD9" w:rsidRPr="00D11DC3" w:rsidRDefault="00E66197" w:rsidP="00410FD9">
      <w:pPr>
        <w:pStyle w:val="ATHeading2"/>
      </w:pPr>
      <w:bookmarkStart w:id="1" w:name="title"/>
      <w:r>
        <w:rPr>
          <w:rFonts w:eastAsia="Calibri"/>
          <w:szCs w:val="22"/>
          <w:lang w:eastAsia="en-US"/>
        </w:rPr>
        <w:t>P</w:t>
      </w:r>
      <w:r w:rsidRPr="007B1DBD">
        <w:rPr>
          <w:rFonts w:eastAsia="Calibri"/>
          <w:szCs w:val="22"/>
          <w:lang w:eastAsia="en-US"/>
        </w:rPr>
        <w:t>askatos ES biudžete, skirt</w:t>
      </w:r>
      <w:r>
        <w:rPr>
          <w:rFonts w:eastAsia="Calibri"/>
          <w:szCs w:val="22"/>
          <w:lang w:eastAsia="en-US"/>
        </w:rPr>
        <w:t>o</w:t>
      </w:r>
      <w:r w:rsidRPr="007B1DBD">
        <w:rPr>
          <w:rFonts w:eastAsia="Calibri"/>
          <w:szCs w:val="22"/>
          <w:lang w:eastAsia="en-US"/>
        </w:rPr>
        <w:t xml:space="preserve">s su gynyba susijusioms investicijoms, siekiant įgyvendinti planą „ReArm </w:t>
      </w:r>
      <w:proofErr w:type="spellStart"/>
      <w:r w:rsidRPr="007B1DBD">
        <w:rPr>
          <w:rFonts w:eastAsia="Calibri"/>
          <w:szCs w:val="22"/>
          <w:lang w:eastAsia="en-US"/>
        </w:rPr>
        <w:t>Europe</w:t>
      </w:r>
      <w:proofErr w:type="spellEnd"/>
      <w:r w:rsidRPr="007B1DBD">
        <w:rPr>
          <w:rFonts w:eastAsia="Calibri"/>
          <w:szCs w:val="22"/>
          <w:lang w:eastAsia="en-US"/>
        </w:rPr>
        <w:t>“</w:t>
      </w:r>
      <w:bookmarkEnd w:id="1"/>
    </w:p>
    <w:p w14:paraId="523DE1C7" w14:textId="77777777" w:rsidR="00410FD9" w:rsidRPr="00D11DC3" w:rsidRDefault="00410FD9" w:rsidP="00410FD9">
      <w:pPr>
        <w:rPr>
          <w:i/>
          <w:vanish/>
        </w:rPr>
      </w:pPr>
      <w:r w:rsidRPr="00D11DC3">
        <w:rPr>
          <w:i/>
        </w:rPr>
        <w:fldChar w:fldCharType="begin"/>
      </w:r>
      <w:r w:rsidRPr="00D11DC3">
        <w:rPr>
          <w:i/>
        </w:rPr>
        <w:instrText xml:space="preserve"> TC"(</w:instrText>
      </w:r>
      <w:bookmarkStart w:id="2" w:name="DocNumber"/>
      <w:r w:rsidRPr="00D11DC3">
        <w:rPr>
          <w:i/>
        </w:rPr>
        <w:instrText>A10-0172/2025</w:instrText>
      </w:r>
      <w:bookmarkEnd w:id="2"/>
      <w:r w:rsidRPr="00D11DC3">
        <w:rPr>
          <w:i/>
        </w:rPr>
        <w:instrText xml:space="preserve"> - Pranešėjas: Rihards Kols)"\l3 \n&gt; \* MERGEFORMAT </w:instrText>
      </w:r>
      <w:r w:rsidRPr="00D11DC3">
        <w:rPr>
          <w:i/>
        </w:rPr>
        <w:fldChar w:fldCharType="end"/>
      </w:r>
    </w:p>
    <w:p w14:paraId="2B0B78F2" w14:textId="77777777" w:rsidR="00410FD9" w:rsidRPr="00D11DC3" w:rsidRDefault="00410FD9" w:rsidP="00410FD9">
      <w:pPr>
        <w:rPr>
          <w:vanish/>
        </w:rPr>
      </w:pPr>
      <w:bookmarkStart w:id="3" w:name="Commission"/>
      <w:r w:rsidRPr="00D11DC3">
        <w:rPr>
          <w:vanish/>
        </w:rPr>
        <w:t>Pramonės, mokslinių tyrimų ir energetikos komitetas</w:t>
      </w:r>
      <w:bookmarkEnd w:id="3"/>
    </w:p>
    <w:p w14:paraId="722B93BC" w14:textId="77777777" w:rsidR="00410FD9" w:rsidRPr="00D11DC3" w:rsidRDefault="00410FD9" w:rsidP="00410FD9">
      <w:pPr>
        <w:rPr>
          <w:vanish/>
        </w:rPr>
      </w:pPr>
      <w:bookmarkStart w:id="4" w:name="PE"/>
      <w:r w:rsidRPr="00D11DC3">
        <w:rPr>
          <w:vanish/>
        </w:rPr>
        <w:t>PE774.253</w:t>
      </w:r>
      <w:bookmarkEnd w:id="4"/>
    </w:p>
    <w:p w14:paraId="0CCF7981" w14:textId="610C4F14" w:rsidR="00410FD9" w:rsidRPr="00D11DC3" w:rsidRDefault="00757A27" w:rsidP="00410FD9">
      <w:pPr>
        <w:pStyle w:val="ATHeading3"/>
      </w:pPr>
      <w:bookmarkStart w:id="5" w:name="Sujet"/>
      <w:r>
        <w:t xml:space="preserve">2025 m. gruodžio </w:t>
      </w:r>
      <w:r w:rsidR="000A627C">
        <w:t xml:space="preserve">16 </w:t>
      </w:r>
      <w:r>
        <w:t xml:space="preserve">d. </w:t>
      </w:r>
      <w:r w:rsidR="00410FD9" w:rsidRPr="00D11DC3">
        <w:t xml:space="preserve">Europos Parlamento teisėkūros rezoliucija dėl pasiūlymo dėl Europos Parlamento ir Tarybos reglamento, kuriuo dėl su gynyba susijusių investicijų į ES biudžetą skatinimo siekiant įgyvendinti planą „ReArm </w:t>
      </w:r>
      <w:proofErr w:type="spellStart"/>
      <w:r w:rsidR="00410FD9" w:rsidRPr="00D11DC3">
        <w:t>Europe</w:t>
      </w:r>
      <w:proofErr w:type="spellEnd"/>
      <w:r w:rsidR="00410FD9" w:rsidRPr="00D11DC3">
        <w:t>“ iš dalies keičiami reglamentai (ES) 2021/694, (ES) 2021/695, (ES) 2021/697, (ES) 2021/1153, (ES) 2023/1525 ir (ES) 2024/795</w:t>
      </w:r>
      <w:bookmarkEnd w:id="5"/>
      <w:r w:rsidR="00410FD9" w:rsidRPr="00D11DC3">
        <w:t xml:space="preserve"> </w:t>
      </w:r>
      <w:bookmarkStart w:id="6" w:name="References"/>
      <w:r w:rsidR="00410FD9" w:rsidRPr="00D11DC3">
        <w:t>(COM(2025)0188 – C10-0070/2025 – 2025/0103(COD))</w:t>
      </w:r>
      <w:bookmarkEnd w:id="6"/>
    </w:p>
    <w:p w14:paraId="2A9B203A" w14:textId="77777777" w:rsidR="00001E59" w:rsidRPr="00D11DC3" w:rsidRDefault="00001E59" w:rsidP="00001E59">
      <w:pPr>
        <w:pStyle w:val="NormalBold"/>
      </w:pPr>
      <w:r w:rsidRPr="00D11DC3">
        <w:t>(Įprasta teisėkūros procedūra: pirmasis svarstymas)</w:t>
      </w:r>
    </w:p>
    <w:p w14:paraId="1C301C4D" w14:textId="77777777" w:rsidR="00001E59" w:rsidRPr="00D11DC3" w:rsidRDefault="00001E59" w:rsidP="00001E59">
      <w:pPr>
        <w:pStyle w:val="EPComma"/>
      </w:pPr>
      <w:r w:rsidRPr="00D11DC3">
        <w:rPr>
          <w:i/>
        </w:rPr>
        <w:t>Europos Parlamentas</w:t>
      </w:r>
      <w:r w:rsidRPr="00D11DC3">
        <w:t>,</w:t>
      </w:r>
    </w:p>
    <w:p w14:paraId="7CBA7788" w14:textId="77777777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Komisijos pasiūlymą Europos Parlamentui ir Tarybai (COM(2025)0188),</w:t>
      </w:r>
    </w:p>
    <w:p w14:paraId="18889A23" w14:textId="6A9DCA5E" w:rsidR="00001E59" w:rsidRDefault="00001E59" w:rsidP="00001E59">
      <w:pPr>
        <w:pStyle w:val="NormalHanging12a"/>
      </w:pPr>
      <w:r w:rsidRPr="00D11DC3">
        <w:t>–</w:t>
      </w:r>
      <w:r w:rsidRPr="00D11DC3">
        <w:tab/>
        <w:t>atsižvelgdamas į Sutarties dėl Europos Sąjungos veikimo 294 straipsnio 2 dalį</w:t>
      </w:r>
      <w:r w:rsidR="004027B4">
        <w:t xml:space="preserve"> ir</w:t>
      </w:r>
      <w:r w:rsidRPr="00D11DC3">
        <w:t xml:space="preserve"> </w:t>
      </w:r>
      <w:r w:rsidR="00E66197">
        <w:t xml:space="preserve">į </w:t>
      </w:r>
      <w:r w:rsidRPr="00D11DC3">
        <w:t>114, 164</w:t>
      </w:r>
      <w:r w:rsidR="005B72F7">
        <w:t>,</w:t>
      </w:r>
      <w:r w:rsidRPr="00D11DC3">
        <w:t xml:space="preserve"> 172</w:t>
      </w:r>
      <w:r w:rsidR="00F51BD1">
        <w:t xml:space="preserve"> </w:t>
      </w:r>
      <w:r w:rsidR="004027B4">
        <w:t>bei</w:t>
      </w:r>
      <w:r w:rsidR="005B72F7">
        <w:t xml:space="preserve"> </w:t>
      </w:r>
      <w:r w:rsidRPr="00D11DC3">
        <w:t>173 straipsni</w:t>
      </w:r>
      <w:r w:rsidR="005B72F7">
        <w:t>us</w:t>
      </w:r>
      <w:r w:rsidRPr="00D11DC3">
        <w:t xml:space="preserve">, </w:t>
      </w:r>
      <w:r w:rsidR="00E66197">
        <w:t xml:space="preserve">į </w:t>
      </w:r>
      <w:r w:rsidRPr="00D11DC3">
        <w:t xml:space="preserve">175 straipsnio trečią pastraipą, </w:t>
      </w:r>
      <w:r w:rsidR="00E66197">
        <w:t xml:space="preserve">į </w:t>
      </w:r>
      <w:r w:rsidR="005B72F7">
        <w:t xml:space="preserve">176, </w:t>
      </w:r>
      <w:r w:rsidRPr="00D11DC3">
        <w:t>177</w:t>
      </w:r>
      <w:r w:rsidR="005B72F7">
        <w:t xml:space="preserve">, </w:t>
      </w:r>
      <w:r w:rsidRPr="00D11DC3">
        <w:t>178, 182, 183</w:t>
      </w:r>
      <w:r w:rsidR="00F51BD1">
        <w:t xml:space="preserve"> ir </w:t>
      </w:r>
      <w:r w:rsidRPr="00D11DC3">
        <w:t>188 straipsni</w:t>
      </w:r>
      <w:r w:rsidR="005B72F7">
        <w:t>us</w:t>
      </w:r>
      <w:r w:rsidRPr="00D11DC3">
        <w:t xml:space="preserve"> ir </w:t>
      </w:r>
      <w:r w:rsidR="004544AD">
        <w:t xml:space="preserve">į </w:t>
      </w:r>
      <w:r w:rsidRPr="00D11DC3">
        <w:t>192 straipsnio 1 dalį, pagal kuriuos Komisija pateikė pasiūlymą Parlamentui (C10-0070/2025),</w:t>
      </w:r>
    </w:p>
    <w:p w14:paraId="3D17ED02" w14:textId="56E15EE2" w:rsidR="005638C3" w:rsidRPr="00D11DC3" w:rsidRDefault="005638C3" w:rsidP="007058A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>
        <w:t>–</w:t>
      </w:r>
      <w:r>
        <w:tab/>
        <w:t>atsižvelgdamas į Teisės reikalų komiteto nuomonę dėl pasiūlyto teisinio pagrindo,</w:t>
      </w:r>
    </w:p>
    <w:p w14:paraId="4B8E02C3" w14:textId="42695A88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Sutarties dėl Europos Sąjungos veikimo 294 straipsnio 3 dalį</w:t>
      </w:r>
      <w:r w:rsidR="00F51BD1">
        <w:t xml:space="preserve"> ir į</w:t>
      </w:r>
      <w:r w:rsidR="005B72F7">
        <w:t xml:space="preserve"> 1</w:t>
      </w:r>
      <w:r w:rsidR="005B72F7" w:rsidRPr="00D11DC3">
        <w:t>64</w:t>
      </w:r>
      <w:r w:rsidR="005B72F7">
        <w:t xml:space="preserve"> </w:t>
      </w:r>
      <w:r w:rsidR="004027B4">
        <w:t>bei</w:t>
      </w:r>
      <w:r w:rsidR="005B72F7" w:rsidRPr="00D11DC3">
        <w:t xml:space="preserve"> 172</w:t>
      </w:r>
      <w:r w:rsidR="005B72F7">
        <w:t xml:space="preserve"> straipsnius</w:t>
      </w:r>
      <w:r w:rsidR="005B72F7" w:rsidRPr="00D11DC3">
        <w:t xml:space="preserve">, </w:t>
      </w:r>
      <w:r w:rsidR="004027B4">
        <w:t xml:space="preserve">į </w:t>
      </w:r>
      <w:r w:rsidR="005B72F7" w:rsidRPr="00D11DC3">
        <w:t>173 straipsni</w:t>
      </w:r>
      <w:r w:rsidR="005B72F7">
        <w:t>o 3 dalį</w:t>
      </w:r>
      <w:r w:rsidR="005B72F7" w:rsidRPr="00D11DC3">
        <w:t xml:space="preserve">, 175 straipsnio trečią pastraipą, </w:t>
      </w:r>
      <w:r w:rsidR="004027B4">
        <w:t xml:space="preserve">į </w:t>
      </w:r>
      <w:r w:rsidR="005B72F7" w:rsidRPr="00D11DC3">
        <w:t>177</w:t>
      </w:r>
      <w:r w:rsidR="005B72F7">
        <w:t xml:space="preserve"> ir</w:t>
      </w:r>
      <w:r w:rsidR="005B72F7" w:rsidRPr="00D11DC3">
        <w:t xml:space="preserve"> 178</w:t>
      </w:r>
      <w:r w:rsidR="005B72F7">
        <w:t xml:space="preserve"> straipsnius</w:t>
      </w:r>
      <w:r w:rsidR="005B72F7" w:rsidRPr="00D11DC3">
        <w:t>, 182</w:t>
      </w:r>
      <w:r w:rsidR="005B72F7">
        <w:t xml:space="preserve"> straipsnio 1 ir 4 dalis</w:t>
      </w:r>
      <w:r w:rsidR="005B72F7" w:rsidRPr="00D11DC3">
        <w:t>, 183</w:t>
      </w:r>
      <w:r w:rsidR="005B72F7">
        <w:t xml:space="preserve"> straipsnį</w:t>
      </w:r>
      <w:r w:rsidR="005B72F7" w:rsidRPr="00D11DC3">
        <w:t>, 188 straipsni</w:t>
      </w:r>
      <w:r w:rsidR="005B72F7">
        <w:t>o antrą pastraipą</w:t>
      </w:r>
      <w:r w:rsidR="005B72F7" w:rsidRPr="00D11DC3">
        <w:t xml:space="preserve"> ir </w:t>
      </w:r>
      <w:r w:rsidR="005B72F7">
        <w:t xml:space="preserve">į </w:t>
      </w:r>
      <w:r w:rsidR="005B72F7" w:rsidRPr="00D11DC3">
        <w:t>192 straipsnio 1 dalį</w:t>
      </w:r>
      <w:r w:rsidRPr="00D11DC3">
        <w:t>,</w:t>
      </w:r>
    </w:p>
    <w:p w14:paraId="220CC8B6" w14:textId="77777777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Biudžeto komiteto atliktą biudžetinį vertinimą,</w:t>
      </w:r>
    </w:p>
    <w:p w14:paraId="5F7CA7BC" w14:textId="77777777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2025 m. rugsėjo 18 d. Europos ekonomikos ir socialinių reikalų komiteto nuomonę</w:t>
      </w:r>
      <w:r w:rsidRPr="00D11DC3">
        <w:rPr>
          <w:rStyle w:val="FootnoteReference"/>
        </w:rPr>
        <w:footnoteReference w:id="1"/>
      </w:r>
      <w:r w:rsidRPr="00D11DC3">
        <w:t>,</w:t>
      </w:r>
    </w:p>
    <w:p w14:paraId="4C3BCB49" w14:textId="530D28B5" w:rsidR="00001E59" w:rsidRDefault="00001E59" w:rsidP="00001E59">
      <w:pPr>
        <w:pStyle w:val="NormalHanging12a"/>
      </w:pPr>
      <w:r w:rsidRPr="00D11DC3">
        <w:lastRenderedPageBreak/>
        <w:t>–</w:t>
      </w:r>
      <w:r w:rsidRPr="00D11DC3">
        <w:tab/>
      </w:r>
      <w:r w:rsidR="000A627C" w:rsidRPr="00D11DC3">
        <w:t xml:space="preserve">atsižvelgdamas į </w:t>
      </w:r>
      <w:r w:rsidR="000A627C">
        <w:t>2025 m. spalio 15 d.</w:t>
      </w:r>
      <w:r w:rsidRPr="00D11DC3">
        <w:t xml:space="preserve"> Regionų komitet</w:t>
      </w:r>
      <w:r w:rsidR="000A627C">
        <w:t>o nuomonę</w:t>
      </w:r>
      <w:r w:rsidR="000A627C">
        <w:rPr>
          <w:rStyle w:val="FootnoteReference"/>
        </w:rPr>
        <w:footnoteReference w:id="2"/>
      </w:r>
      <w:r w:rsidRPr="00D11DC3">
        <w:t>,</w:t>
      </w:r>
    </w:p>
    <w:p w14:paraId="30046DF0" w14:textId="2AF45BF8" w:rsidR="005638C3" w:rsidRPr="00D11DC3" w:rsidRDefault="005638C3" w:rsidP="00001E59">
      <w:pPr>
        <w:pStyle w:val="NormalHanging12a"/>
      </w:pPr>
      <w:r w:rsidRPr="005638C3">
        <w:t>–</w:t>
      </w:r>
      <w:r w:rsidRPr="005638C3">
        <w:tab/>
        <w:t>atsižvelgdamas į preliminarų susitarimą, kurį atsaking</w:t>
      </w:r>
      <w:r w:rsidR="00E66197">
        <w:t>as</w:t>
      </w:r>
      <w:r w:rsidRPr="005638C3">
        <w:t xml:space="preserve"> komiteta</w:t>
      </w:r>
      <w:r w:rsidR="00E66197">
        <w:t>s</w:t>
      </w:r>
      <w:r w:rsidRPr="005638C3">
        <w:t xml:space="preserve"> patvirtino pagal Darbo tvarkos taisyklių 75 straipsnio 4 dalį, ir į 2025 m. </w:t>
      </w:r>
      <w:r>
        <w:t>lapkričio</w:t>
      </w:r>
      <w:r w:rsidRPr="005638C3">
        <w:t xml:space="preserve"> 1</w:t>
      </w:r>
      <w:r>
        <w:t>0</w:t>
      </w:r>
      <w:r w:rsidRPr="005638C3">
        <w:t xml:space="preserve"> d. laišku Tarybos atstovo prisiimtą įsipareigojimą pritarti Parlamento pozicijai pagal Sutarties dėl Europos Sąjungos veikimo 294 straipsnio 4 dalį,</w:t>
      </w:r>
    </w:p>
    <w:p w14:paraId="2CF29041" w14:textId="0C8BED8C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Darbo tvarkos taisyklių 60</w:t>
      </w:r>
      <w:r w:rsidR="005638C3">
        <w:t>, 41</w:t>
      </w:r>
      <w:r w:rsidRPr="00D11DC3">
        <w:t xml:space="preserve"> ir 58 straipsnius,</w:t>
      </w:r>
    </w:p>
    <w:p w14:paraId="7094D431" w14:textId="77777777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Saugumo ir gynybos komiteto bei Transporto ir turizmo komiteto nuomones,</w:t>
      </w:r>
    </w:p>
    <w:p w14:paraId="189D600D" w14:textId="77777777" w:rsidR="00001E59" w:rsidRPr="00D11DC3" w:rsidRDefault="00001E59" w:rsidP="00001E59">
      <w:pPr>
        <w:pStyle w:val="NormalHanging12a"/>
      </w:pPr>
      <w:r w:rsidRPr="00D11DC3">
        <w:t>–</w:t>
      </w:r>
      <w:r w:rsidRPr="00D11DC3">
        <w:tab/>
        <w:t>atsižvelgdamas į Pramonės, mokslinių tyrimų ir energetikos komiteto pranešimą (A10-0172/2025),</w:t>
      </w:r>
    </w:p>
    <w:p w14:paraId="687A9D20" w14:textId="77777777" w:rsidR="00001E59" w:rsidRPr="00D11DC3" w:rsidRDefault="00001E59" w:rsidP="00001E59">
      <w:pPr>
        <w:pStyle w:val="NormalHanging12a"/>
      </w:pPr>
      <w:r w:rsidRPr="00D11DC3">
        <w:t>1.</w:t>
      </w:r>
      <w:r w:rsidRPr="00D11DC3">
        <w:tab/>
        <w:t>priima per pirmąjį svarstymą toliau pateiktą poziciją;</w:t>
      </w:r>
    </w:p>
    <w:p w14:paraId="42EABCA0" w14:textId="77777777" w:rsidR="00001E59" w:rsidRPr="00D11DC3" w:rsidRDefault="00001E59" w:rsidP="00001E59">
      <w:pPr>
        <w:pStyle w:val="NormalHanging12a"/>
      </w:pPr>
      <w:r w:rsidRPr="00D11DC3">
        <w:t>2.</w:t>
      </w:r>
      <w:r w:rsidRPr="00D11DC3">
        <w:tab/>
        <w:t>ragina Komisiją dar kartą perduoti klausimą svarstyti Parlamentui, jei ji savo pasiūlymą pakeičia nauju tekstu, jį keičia iš esmės arba ketina jį keisti iš esmės;</w:t>
      </w:r>
    </w:p>
    <w:p w14:paraId="42532476" w14:textId="77777777" w:rsidR="00001E59" w:rsidRPr="00D11DC3" w:rsidRDefault="00001E59" w:rsidP="00001E59">
      <w:pPr>
        <w:pStyle w:val="NormalHanging12a"/>
      </w:pPr>
      <w:r w:rsidRPr="00D11DC3">
        <w:t>3.</w:t>
      </w:r>
      <w:r w:rsidRPr="00D11DC3">
        <w:tab/>
        <w:t>paveda Pirmininkei perduoti Parlamento poziciją Tarybai, Komisijai ir nacionaliniams parlamentams.</w:t>
      </w:r>
    </w:p>
    <w:p w14:paraId="1E299923" w14:textId="77777777" w:rsidR="00F93514" w:rsidRDefault="00F93514" w:rsidP="00F93514">
      <w:pPr>
        <w:widowControl/>
        <w:spacing w:before="840" w:after="120" w:line="360" w:lineRule="auto"/>
        <w:jc w:val="center"/>
        <w:rPr>
          <w:rFonts w:eastAsia="Calibri"/>
          <w:b/>
          <w:szCs w:val="22"/>
          <w:lang w:eastAsia="en-US"/>
        </w:rPr>
        <w:sectPr w:rsidR="00F93514" w:rsidSect="00D11D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C225CF" w14:textId="2DB725CA" w:rsidR="00F93514" w:rsidRPr="00F93514" w:rsidRDefault="00F93514" w:rsidP="00F93514">
      <w:pPr>
        <w:widowControl/>
        <w:spacing w:before="100" w:beforeAutospacing="1" w:after="240"/>
        <w:rPr>
          <w:rFonts w:eastAsia="Calibri"/>
          <w:b/>
          <w:bCs/>
          <w:szCs w:val="22"/>
          <w:lang w:eastAsia="en-US"/>
        </w:rPr>
      </w:pPr>
      <w:r w:rsidRPr="00F93514">
        <w:rPr>
          <w:rFonts w:eastAsia="Calibri"/>
          <w:b/>
          <w:bCs/>
          <w:szCs w:val="22"/>
          <w:lang w:eastAsia="en-US"/>
        </w:rPr>
        <w:lastRenderedPageBreak/>
        <w:t>P10_TC1-COD(2025)0</w:t>
      </w:r>
      <w:r>
        <w:rPr>
          <w:rFonts w:eastAsia="Calibri"/>
          <w:b/>
          <w:bCs/>
          <w:szCs w:val="22"/>
          <w:lang w:eastAsia="en-US"/>
        </w:rPr>
        <w:t>103</w:t>
      </w:r>
    </w:p>
    <w:p w14:paraId="0E653548" w14:textId="531ABA58" w:rsidR="00F93514" w:rsidRPr="0048084B" w:rsidRDefault="00F93514" w:rsidP="00F93514">
      <w:pPr>
        <w:widowControl/>
        <w:spacing w:before="100" w:beforeAutospacing="1" w:after="240"/>
        <w:rPr>
          <w:rFonts w:eastAsia="Calibri"/>
          <w:b/>
          <w:szCs w:val="22"/>
          <w:lang w:eastAsia="en-US"/>
        </w:rPr>
      </w:pPr>
      <w:r w:rsidRPr="00F93514">
        <w:rPr>
          <w:rFonts w:eastAsia="Calibri"/>
          <w:b/>
          <w:szCs w:val="22"/>
          <w:lang w:eastAsia="en-US"/>
        </w:rPr>
        <w:t xml:space="preserve">Europos </w:t>
      </w:r>
      <w:r w:rsidRPr="00F93514">
        <w:rPr>
          <w:rFonts w:eastAsia="Calibri"/>
          <w:b/>
          <w:bCs/>
          <w:szCs w:val="22"/>
          <w:lang w:eastAsia="en-US"/>
        </w:rPr>
        <w:t>Parlamento</w:t>
      </w:r>
      <w:r w:rsidRPr="00F93514">
        <w:rPr>
          <w:rFonts w:eastAsia="Calibri"/>
          <w:b/>
          <w:szCs w:val="22"/>
          <w:lang w:eastAsia="en-US"/>
        </w:rPr>
        <w:t xml:space="preserve"> pozicija, priimta 2025 m. </w:t>
      </w:r>
      <w:r w:rsidRPr="0048084B">
        <w:rPr>
          <w:rFonts w:eastAsia="Calibri"/>
          <w:b/>
          <w:szCs w:val="22"/>
          <w:lang w:eastAsia="en-US"/>
        </w:rPr>
        <w:t xml:space="preserve">gruodžio 16 d. per pirmąjį svarstymą, siekiant priimti Europos Parlamento ir Tarybos reglamentą (ES) 2025/..., kuriuo iš dalies keičiami reglamentai (ES) 2021/694, (ES) 2021/695, (ES) 2021/697, (ES) 2021/1153 ir (ES) 2024/795, kiek tai susiję su paskatomis ES biudžete, skirtomis su gynyba susijusioms investicijoms, siekiant įgyvendinti planą „ReArm </w:t>
      </w:r>
      <w:proofErr w:type="spellStart"/>
      <w:r w:rsidRPr="0048084B">
        <w:rPr>
          <w:rFonts w:eastAsia="Calibri"/>
          <w:b/>
          <w:szCs w:val="22"/>
          <w:lang w:eastAsia="en-US"/>
        </w:rPr>
        <w:t>Europe</w:t>
      </w:r>
      <w:proofErr w:type="spellEnd"/>
      <w:r w:rsidRPr="0048084B">
        <w:rPr>
          <w:rFonts w:eastAsia="Calibri"/>
          <w:b/>
          <w:szCs w:val="22"/>
          <w:lang w:eastAsia="en-US"/>
        </w:rPr>
        <w:t xml:space="preserve">“ </w:t>
      </w:r>
    </w:p>
    <w:p w14:paraId="12A8A5F2" w14:textId="353D1158" w:rsidR="0048084B" w:rsidRPr="007F55E6" w:rsidRDefault="00306237" w:rsidP="007F55E6">
      <w:pPr>
        <w:rPr>
          <w:rFonts w:eastAsia="Calibri"/>
        </w:rPr>
      </w:pPr>
      <w:r w:rsidRPr="00306237">
        <w:rPr>
          <w:i/>
          <w:iCs/>
          <w:color w:val="000000"/>
          <w:szCs w:val="24"/>
        </w:rPr>
        <w:t>(Kadangi Parlamentas ir Taryba pasiekė susitarimą, Parlamento pozicija atitinka galutinį teisės aktą, Reglamentą (ES) 202</w:t>
      </w:r>
      <w:r>
        <w:rPr>
          <w:i/>
          <w:iCs/>
          <w:color w:val="000000"/>
          <w:szCs w:val="24"/>
        </w:rPr>
        <w:t>5</w:t>
      </w:r>
      <w:r w:rsidRPr="00306237">
        <w:rPr>
          <w:i/>
          <w:iCs/>
          <w:color w:val="000000"/>
          <w:szCs w:val="24"/>
        </w:rPr>
        <w:t>/</w:t>
      </w:r>
      <w:r>
        <w:rPr>
          <w:i/>
          <w:iCs/>
          <w:color w:val="000000"/>
          <w:szCs w:val="24"/>
        </w:rPr>
        <w:t>2653</w:t>
      </w:r>
      <w:r w:rsidRPr="00306237">
        <w:rPr>
          <w:i/>
          <w:iCs/>
          <w:color w:val="000000"/>
          <w:szCs w:val="24"/>
        </w:rPr>
        <w:t>.)</w:t>
      </w:r>
    </w:p>
    <w:sectPr w:rsidR="0048084B" w:rsidRPr="007F55E6" w:rsidSect="00D11D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C47A3" w14:textId="77777777" w:rsidR="00410FD9" w:rsidRPr="00D11DC3" w:rsidRDefault="00410FD9">
      <w:r w:rsidRPr="00D11DC3">
        <w:separator/>
      </w:r>
    </w:p>
  </w:endnote>
  <w:endnote w:type="continuationSeparator" w:id="0">
    <w:p w14:paraId="5892A044" w14:textId="77777777" w:rsidR="00410FD9" w:rsidRPr="00D11DC3" w:rsidRDefault="00410FD9">
      <w:r w:rsidRPr="00D11D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9DC66" w14:textId="77777777" w:rsidR="00064002" w:rsidRPr="00D11D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05F34" w14:textId="77777777" w:rsidR="00064002" w:rsidRPr="00D11D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1C97" w14:textId="77777777" w:rsidR="00064002" w:rsidRPr="00D11D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B3529" w14:textId="77777777" w:rsidR="00410FD9" w:rsidRPr="00D11DC3" w:rsidRDefault="00410FD9">
      <w:r w:rsidRPr="00D11DC3">
        <w:separator/>
      </w:r>
    </w:p>
  </w:footnote>
  <w:footnote w:type="continuationSeparator" w:id="0">
    <w:p w14:paraId="035B82A7" w14:textId="77777777" w:rsidR="00410FD9" w:rsidRPr="00D11DC3" w:rsidRDefault="00410FD9">
      <w:r w:rsidRPr="00D11DC3">
        <w:continuationSeparator/>
      </w:r>
    </w:p>
  </w:footnote>
  <w:footnote w:id="1">
    <w:p w14:paraId="1ABC4637" w14:textId="1B68F31C" w:rsidR="00001E59" w:rsidRPr="000A627C" w:rsidRDefault="00001E59" w:rsidP="007058A7">
      <w:pPr>
        <w:pStyle w:val="FootnoteText"/>
        <w:ind w:left="851" w:hanging="851"/>
        <w:rPr>
          <w:sz w:val="24"/>
          <w:szCs w:val="24"/>
          <w:lang w:val="lt-LT"/>
        </w:rPr>
      </w:pPr>
      <w:r w:rsidRPr="000A627C">
        <w:rPr>
          <w:rStyle w:val="FootnoteReference"/>
          <w:sz w:val="24"/>
          <w:szCs w:val="24"/>
          <w:lang w:val="lt-LT"/>
        </w:rPr>
        <w:footnoteRef/>
      </w:r>
      <w:r w:rsidR="00D11DC3" w:rsidRPr="000A627C">
        <w:rPr>
          <w:color w:val="1E1E1F"/>
          <w:sz w:val="24"/>
          <w:szCs w:val="24"/>
          <w:shd w:val="clear" w:color="auto" w:fill="FFFFFF"/>
          <w:lang w:val="lt-LT"/>
        </w:rPr>
        <w:t xml:space="preserve"> </w:t>
      </w:r>
      <w:r w:rsidR="00D11DC3" w:rsidRPr="000A627C">
        <w:rPr>
          <w:color w:val="1E1E1F"/>
          <w:sz w:val="24"/>
          <w:szCs w:val="24"/>
          <w:shd w:val="clear" w:color="auto" w:fill="FFFFFF"/>
          <w:lang w:val="lt-LT"/>
        </w:rPr>
        <w:tab/>
      </w:r>
      <w:r w:rsidRPr="000A627C">
        <w:rPr>
          <w:color w:val="1E1E1F"/>
          <w:sz w:val="24"/>
          <w:szCs w:val="24"/>
          <w:shd w:val="clear" w:color="auto" w:fill="FFFFFF"/>
          <w:lang w:val="lt-LT"/>
        </w:rPr>
        <w:t>Dar nepaskelbta Oficialiajame leidinyje.</w:t>
      </w:r>
    </w:p>
  </w:footnote>
  <w:footnote w:id="2">
    <w:p w14:paraId="52ED1BF1" w14:textId="35EF3F5A" w:rsidR="000A627C" w:rsidRPr="007058A7" w:rsidRDefault="000A627C" w:rsidP="007058A7">
      <w:pPr>
        <w:pStyle w:val="FootnoteText"/>
        <w:ind w:left="851" w:hanging="851"/>
        <w:rPr>
          <w:sz w:val="24"/>
          <w:szCs w:val="24"/>
          <w:lang w:val="lt-LT"/>
        </w:rPr>
      </w:pPr>
      <w:r w:rsidRPr="007058A7">
        <w:rPr>
          <w:rStyle w:val="FootnoteReference"/>
          <w:sz w:val="24"/>
          <w:szCs w:val="24"/>
        </w:rPr>
        <w:footnoteRef/>
      </w:r>
      <w:r w:rsidRPr="007058A7">
        <w:rPr>
          <w:sz w:val="24"/>
          <w:szCs w:val="24"/>
          <w:lang w:val="fi-FI"/>
        </w:rPr>
        <w:t xml:space="preserve"> </w:t>
      </w:r>
      <w:r w:rsidRPr="007058A7">
        <w:rPr>
          <w:sz w:val="24"/>
          <w:szCs w:val="24"/>
          <w:lang w:val="fi-FI"/>
        </w:rPr>
        <w:tab/>
        <w:t>OL</w:t>
      </w:r>
      <w:r w:rsidR="005638C3" w:rsidRPr="007058A7">
        <w:rPr>
          <w:lang w:val="fi-FI"/>
        </w:rPr>
        <w:t> </w:t>
      </w:r>
      <w:r w:rsidRPr="007058A7">
        <w:rPr>
          <w:sz w:val="24"/>
          <w:szCs w:val="24"/>
          <w:lang w:val="fi-FI"/>
        </w:rPr>
        <w:t>C, C/2025/6325, 2025</w:t>
      </w:r>
      <w:r w:rsidR="005638C3" w:rsidRPr="007058A7">
        <w:rPr>
          <w:lang w:val="fi-FI"/>
        </w:rPr>
        <w:t> </w:t>
      </w:r>
      <w:r w:rsidRPr="007058A7">
        <w:rPr>
          <w:sz w:val="24"/>
          <w:szCs w:val="24"/>
          <w:lang w:val="fi-FI"/>
        </w:rPr>
        <w:t>12</w:t>
      </w:r>
      <w:r w:rsidR="005638C3" w:rsidRPr="007058A7">
        <w:rPr>
          <w:lang w:val="fi-FI"/>
        </w:rPr>
        <w:t> </w:t>
      </w:r>
      <w:r w:rsidRPr="007058A7">
        <w:rPr>
          <w:sz w:val="24"/>
          <w:szCs w:val="24"/>
          <w:lang w:val="fi-FI"/>
        </w:rPr>
        <w:t xml:space="preserve">3, ELI: </w:t>
      </w:r>
      <w:hyperlink r:id="rId1" w:history="1">
        <w:r w:rsidRPr="007058A7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 w:rsidRPr="007058A7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A3D5" w14:textId="77777777" w:rsidR="00064002" w:rsidRPr="00D11D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6B14A" w14:textId="77777777" w:rsidR="00064002" w:rsidRPr="00D11D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1423" w14:textId="77777777" w:rsidR="00064002" w:rsidRPr="00D11D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1717960">
    <w:abstractNumId w:val="9"/>
  </w:num>
  <w:num w:numId="2" w16cid:durableId="1249197548">
    <w:abstractNumId w:val="9"/>
  </w:num>
  <w:num w:numId="3" w16cid:durableId="1328552395">
    <w:abstractNumId w:val="7"/>
  </w:num>
  <w:num w:numId="4" w16cid:durableId="590503769">
    <w:abstractNumId w:val="7"/>
  </w:num>
  <w:num w:numId="5" w16cid:durableId="1158500585">
    <w:abstractNumId w:val="6"/>
  </w:num>
  <w:num w:numId="6" w16cid:durableId="218901567">
    <w:abstractNumId w:val="6"/>
  </w:num>
  <w:num w:numId="7" w16cid:durableId="1498496350">
    <w:abstractNumId w:val="5"/>
  </w:num>
  <w:num w:numId="8" w16cid:durableId="876426018">
    <w:abstractNumId w:val="5"/>
  </w:num>
  <w:num w:numId="9" w16cid:durableId="994184614">
    <w:abstractNumId w:val="4"/>
  </w:num>
  <w:num w:numId="10" w16cid:durableId="1105881196">
    <w:abstractNumId w:val="4"/>
  </w:num>
  <w:num w:numId="11" w16cid:durableId="2116365255">
    <w:abstractNumId w:val="8"/>
  </w:num>
  <w:num w:numId="12" w16cid:durableId="208298609">
    <w:abstractNumId w:val="8"/>
  </w:num>
  <w:num w:numId="13" w16cid:durableId="1260061820">
    <w:abstractNumId w:val="3"/>
  </w:num>
  <w:num w:numId="14" w16cid:durableId="1053188392">
    <w:abstractNumId w:val="3"/>
  </w:num>
  <w:num w:numId="15" w16cid:durableId="457650468">
    <w:abstractNumId w:val="2"/>
  </w:num>
  <w:num w:numId="16" w16cid:durableId="532768943">
    <w:abstractNumId w:val="2"/>
  </w:num>
  <w:num w:numId="17" w16cid:durableId="993070296">
    <w:abstractNumId w:val="1"/>
  </w:num>
  <w:num w:numId="18" w16cid:durableId="1931547916">
    <w:abstractNumId w:val="1"/>
  </w:num>
  <w:num w:numId="19" w16cid:durableId="199560900">
    <w:abstractNumId w:val="0"/>
  </w:num>
  <w:num w:numId="20" w16cid:durableId="527911081">
    <w:abstractNumId w:val="0"/>
  </w:num>
  <w:num w:numId="21" w16cid:durableId="1135180117">
    <w:abstractNumId w:val="9"/>
  </w:num>
  <w:num w:numId="22" w16cid:durableId="1881701302">
    <w:abstractNumId w:val="7"/>
  </w:num>
  <w:num w:numId="23" w16cid:durableId="1753547034">
    <w:abstractNumId w:val="6"/>
  </w:num>
  <w:num w:numId="24" w16cid:durableId="715079089">
    <w:abstractNumId w:val="5"/>
  </w:num>
  <w:num w:numId="25" w16cid:durableId="1900969052">
    <w:abstractNumId w:val="4"/>
  </w:num>
  <w:num w:numId="26" w16cid:durableId="1258714373">
    <w:abstractNumId w:val="8"/>
  </w:num>
  <w:num w:numId="27" w16cid:durableId="1803696058">
    <w:abstractNumId w:val="3"/>
  </w:num>
  <w:num w:numId="28" w16cid:durableId="228424212">
    <w:abstractNumId w:val="2"/>
  </w:num>
  <w:num w:numId="29" w16cid:durableId="1986660902">
    <w:abstractNumId w:val="1"/>
  </w:num>
  <w:num w:numId="30" w16cid:durableId="517692699">
    <w:abstractNumId w:val="0"/>
  </w:num>
  <w:num w:numId="31" w16cid:durableId="1995714139">
    <w:abstractNumId w:val="9"/>
  </w:num>
  <w:num w:numId="32" w16cid:durableId="20788518">
    <w:abstractNumId w:val="7"/>
  </w:num>
  <w:num w:numId="33" w16cid:durableId="568540997">
    <w:abstractNumId w:val="6"/>
  </w:num>
  <w:num w:numId="34" w16cid:durableId="2134246961">
    <w:abstractNumId w:val="5"/>
  </w:num>
  <w:num w:numId="35" w16cid:durableId="404189045">
    <w:abstractNumId w:val="4"/>
  </w:num>
  <w:num w:numId="36" w16cid:durableId="452796602">
    <w:abstractNumId w:val="8"/>
  </w:num>
  <w:num w:numId="37" w16cid:durableId="1330985900">
    <w:abstractNumId w:val="3"/>
  </w:num>
  <w:num w:numId="38" w16cid:durableId="41877989">
    <w:abstractNumId w:val="2"/>
  </w:num>
  <w:num w:numId="39" w16cid:durableId="1589465420">
    <w:abstractNumId w:val="1"/>
  </w:num>
  <w:num w:numId="40" w16cid:durableId="547716959">
    <w:abstractNumId w:val="0"/>
  </w:num>
  <w:num w:numId="41" w16cid:durableId="1119183169">
    <w:abstractNumId w:val="10"/>
  </w:num>
  <w:num w:numId="42" w16cid:durableId="1370453141">
    <w:abstractNumId w:val="10"/>
  </w:num>
  <w:num w:numId="43" w16cid:durableId="554851789">
    <w:abstractNumId w:val="10"/>
  </w:num>
  <w:num w:numId="44" w16cid:durableId="747926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LT"/>
    <w:docVar w:name="dvnumam" w:val="0"/>
    <w:docVar w:name="dvpe" w:val="774.253"/>
    <w:docVar w:name="dvrapporteur" w:val="Pranešėjas: "/>
    <w:docVar w:name="dvstar" w:val="***I"/>
    <w:docVar w:name="dvtitre" w:val="Europos Parlamento teisėkūros rezoliucija dėl pasiūlymo dėl Europos Parlamento ir Tarybos reglamento, kuriuo dėl su gynyba susijusių investicijų į ES biudžetą skatinimo siekiant įgyvendinti planą „ReArm Europe“ iš dalies keičiami reglamentai (ES) 2021/694, (ES) 2021/695, (ES) 2021/697, (ES) 2021/1153, (ES) 2023/1525 ir (ES) 2024/795(COM(2025)0188 – C10-0070/2025 – 2025/0103(COD))"/>
  </w:docVars>
  <w:rsids>
    <w:rsidRoot w:val="00410FD9"/>
    <w:rsid w:val="00001E59"/>
    <w:rsid w:val="00002272"/>
    <w:rsid w:val="00064002"/>
    <w:rsid w:val="000677B9"/>
    <w:rsid w:val="000831BA"/>
    <w:rsid w:val="000A42CC"/>
    <w:rsid w:val="000A627C"/>
    <w:rsid w:val="000E7DD9"/>
    <w:rsid w:val="0010095E"/>
    <w:rsid w:val="00125B37"/>
    <w:rsid w:val="00187494"/>
    <w:rsid w:val="001A10EC"/>
    <w:rsid w:val="001F32AE"/>
    <w:rsid w:val="00231B2C"/>
    <w:rsid w:val="002767FF"/>
    <w:rsid w:val="002B18FE"/>
    <w:rsid w:val="002B493D"/>
    <w:rsid w:val="002B5493"/>
    <w:rsid w:val="00306237"/>
    <w:rsid w:val="00343214"/>
    <w:rsid w:val="00361C00"/>
    <w:rsid w:val="00395FA1"/>
    <w:rsid w:val="003E15D4"/>
    <w:rsid w:val="004027B4"/>
    <w:rsid w:val="00410FD9"/>
    <w:rsid w:val="00411CCE"/>
    <w:rsid w:val="0041666E"/>
    <w:rsid w:val="00421060"/>
    <w:rsid w:val="004544AD"/>
    <w:rsid w:val="00471C19"/>
    <w:rsid w:val="00475AA6"/>
    <w:rsid w:val="0048084B"/>
    <w:rsid w:val="004867E3"/>
    <w:rsid w:val="00494A28"/>
    <w:rsid w:val="004C0004"/>
    <w:rsid w:val="004C5D52"/>
    <w:rsid w:val="004D15FE"/>
    <w:rsid w:val="0050519A"/>
    <w:rsid w:val="005072A1"/>
    <w:rsid w:val="00514517"/>
    <w:rsid w:val="00545827"/>
    <w:rsid w:val="00560270"/>
    <w:rsid w:val="005638C3"/>
    <w:rsid w:val="00564135"/>
    <w:rsid w:val="005B72F7"/>
    <w:rsid w:val="005C2568"/>
    <w:rsid w:val="005E10C6"/>
    <w:rsid w:val="005F1B17"/>
    <w:rsid w:val="006037C0"/>
    <w:rsid w:val="006631B6"/>
    <w:rsid w:val="00680577"/>
    <w:rsid w:val="006E02D1"/>
    <w:rsid w:val="006F74FA"/>
    <w:rsid w:val="007058A7"/>
    <w:rsid w:val="00731ADD"/>
    <w:rsid w:val="00734777"/>
    <w:rsid w:val="00747932"/>
    <w:rsid w:val="00751A4A"/>
    <w:rsid w:val="00756632"/>
    <w:rsid w:val="00757A27"/>
    <w:rsid w:val="00762C74"/>
    <w:rsid w:val="00786EC0"/>
    <w:rsid w:val="007D1690"/>
    <w:rsid w:val="007E22AD"/>
    <w:rsid w:val="007F55E6"/>
    <w:rsid w:val="00817416"/>
    <w:rsid w:val="00842779"/>
    <w:rsid w:val="00842EA8"/>
    <w:rsid w:val="00865F67"/>
    <w:rsid w:val="00881A7B"/>
    <w:rsid w:val="008840E5"/>
    <w:rsid w:val="00887B3E"/>
    <w:rsid w:val="008C1C88"/>
    <w:rsid w:val="008C2AC6"/>
    <w:rsid w:val="00927065"/>
    <w:rsid w:val="00930C23"/>
    <w:rsid w:val="0093193B"/>
    <w:rsid w:val="009509D8"/>
    <w:rsid w:val="00950B64"/>
    <w:rsid w:val="00981893"/>
    <w:rsid w:val="009B005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317"/>
    <w:rsid w:val="00B558F0"/>
    <w:rsid w:val="00B56582"/>
    <w:rsid w:val="00BD48FE"/>
    <w:rsid w:val="00BD7BD8"/>
    <w:rsid w:val="00BE07FA"/>
    <w:rsid w:val="00BE6ADC"/>
    <w:rsid w:val="00C05BFE"/>
    <w:rsid w:val="00C23CD4"/>
    <w:rsid w:val="00C47BD0"/>
    <w:rsid w:val="00C61C0C"/>
    <w:rsid w:val="00C941CB"/>
    <w:rsid w:val="00CC2357"/>
    <w:rsid w:val="00CC7119"/>
    <w:rsid w:val="00CD7FBF"/>
    <w:rsid w:val="00CF071A"/>
    <w:rsid w:val="00D058B8"/>
    <w:rsid w:val="00D11DC3"/>
    <w:rsid w:val="00D25DCF"/>
    <w:rsid w:val="00D56C11"/>
    <w:rsid w:val="00D764D7"/>
    <w:rsid w:val="00D834A0"/>
    <w:rsid w:val="00D872DF"/>
    <w:rsid w:val="00D91E21"/>
    <w:rsid w:val="00DA75CD"/>
    <w:rsid w:val="00DA7FCD"/>
    <w:rsid w:val="00DC39E3"/>
    <w:rsid w:val="00DD5185"/>
    <w:rsid w:val="00E365E1"/>
    <w:rsid w:val="00E66197"/>
    <w:rsid w:val="00E820A4"/>
    <w:rsid w:val="00EB006A"/>
    <w:rsid w:val="00EB4772"/>
    <w:rsid w:val="00ED169E"/>
    <w:rsid w:val="00ED4235"/>
    <w:rsid w:val="00EE2C83"/>
    <w:rsid w:val="00F04346"/>
    <w:rsid w:val="00F075DC"/>
    <w:rsid w:val="00F11C3B"/>
    <w:rsid w:val="00F149E9"/>
    <w:rsid w:val="00F5134D"/>
    <w:rsid w:val="00F51BD1"/>
    <w:rsid w:val="00F74202"/>
    <w:rsid w:val="00F87713"/>
    <w:rsid w:val="00F9351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1BC75"/>
  <w15:chartTrackingRefBased/>
  <w15:docId w15:val="{24B05D16-1763-46E2-8C4A-48C5C938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01E59"/>
    <w:rPr>
      <w:b/>
    </w:rPr>
  </w:style>
  <w:style w:type="paragraph" w:customStyle="1" w:styleId="NormalHanging12a">
    <w:name w:val="NormalHanging12a"/>
    <w:basedOn w:val="Normal"/>
    <w:rsid w:val="00001E5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01E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01E5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01E59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001E59"/>
    <w:rPr>
      <w:b/>
      <w:sz w:val="24"/>
      <w:lang w:val="lt-LT"/>
    </w:rPr>
  </w:style>
  <w:style w:type="paragraph" w:styleId="CommentText">
    <w:name w:val="annotation text"/>
    <w:basedOn w:val="Normal"/>
    <w:link w:val="CommentTextChar"/>
    <w:rsid w:val="00001E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1E59"/>
    <w:rPr>
      <w:lang w:val="lt-LT"/>
    </w:rPr>
  </w:style>
  <w:style w:type="paragraph" w:customStyle="1" w:styleId="NormalCenter12a">
    <w:name w:val="NormalCenter12a"/>
    <w:basedOn w:val="Normal"/>
    <w:rsid w:val="00001E5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01E59"/>
    <w:pPr>
      <w:spacing w:before="720" w:after="240"/>
      <w:jc w:val="center"/>
    </w:pPr>
  </w:style>
  <w:style w:type="paragraph" w:customStyle="1" w:styleId="Text1">
    <w:name w:val="Text 1"/>
    <w:basedOn w:val="Normal"/>
    <w:rsid w:val="00001E5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01E5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01E5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01E5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001E5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01E5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01E5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01E5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01E5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01E5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01E5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01E5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01E5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757A27"/>
    <w:rPr>
      <w:sz w:val="24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0A627C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F93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2829</Characters>
  <Application>Microsoft Office Word</Application>
  <DocSecurity>0</DocSecurity>
  <Lines>108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2026-03-04T14:47:00Z</dcterms:created>
  <dcterms:modified xsi:type="dcterms:W3CDTF">2026-03-04T14:47:00Z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