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D18" w14:paraId="2745C5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41F935" w14:textId="77777777" w:rsidR="00751A4A" w:rsidRPr="00540D18" w:rsidRDefault="009D547F" w:rsidP="0010095E">
            <w:pPr>
              <w:pStyle w:val="EPName"/>
            </w:pPr>
            <w:r w:rsidRPr="00540D18">
              <w:t>Eiropas Parlaments</w:t>
            </w:r>
          </w:p>
          <w:p w14:paraId="40021CCD" w14:textId="77777777" w:rsidR="00751A4A" w:rsidRPr="00540D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D18">
              <w:t>2024</w:t>
            </w:r>
            <w:r w:rsidR="00817416" w:rsidRPr="00540D18">
              <w:t>-202</w:t>
            </w:r>
            <w:r w:rsidRPr="00540D18">
              <w:t>9</w:t>
            </w:r>
          </w:p>
        </w:tc>
        <w:tc>
          <w:tcPr>
            <w:tcW w:w="2268" w:type="dxa"/>
            <w:shd w:val="clear" w:color="auto" w:fill="auto"/>
          </w:tcPr>
          <w:p w14:paraId="2C17C74E" w14:textId="77777777" w:rsidR="00751A4A" w:rsidRPr="00540D18" w:rsidRDefault="00187494" w:rsidP="0010095E">
            <w:pPr>
              <w:pStyle w:val="EPLogo"/>
            </w:pPr>
            <w:r w:rsidRPr="00540D18">
              <w:rPr>
                <w:noProof/>
                <w:lang w:eastAsia="ja-JP"/>
              </w:rPr>
              <w:drawing>
                <wp:inline distT="0" distB="0" distL="0" distR="0" wp14:anchorId="1C3EB08D" wp14:editId="2C07C5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BAC91" w14:textId="77777777" w:rsidR="00D058B8" w:rsidRPr="00540D18" w:rsidRDefault="00D058B8" w:rsidP="004C5D52">
      <w:pPr>
        <w:pStyle w:val="LineTop"/>
      </w:pPr>
    </w:p>
    <w:p w14:paraId="67080B7E" w14:textId="77777777" w:rsidR="00680577" w:rsidRPr="00540D18" w:rsidRDefault="009D547F" w:rsidP="00680577">
      <w:pPr>
        <w:pStyle w:val="EPBodyTA1"/>
      </w:pPr>
      <w:r w:rsidRPr="00540D18">
        <w:t>PIEŅEMTIE TEKSTI</w:t>
      </w:r>
    </w:p>
    <w:p w14:paraId="3AADD24A" w14:textId="77777777" w:rsidR="00D058B8" w:rsidRPr="00540D18" w:rsidRDefault="00D058B8" w:rsidP="00D058B8">
      <w:pPr>
        <w:pStyle w:val="LineBottom"/>
      </w:pPr>
    </w:p>
    <w:p w14:paraId="396941D7" w14:textId="122A966E" w:rsidR="009D547F" w:rsidRPr="00540D18" w:rsidRDefault="009D547F" w:rsidP="009D547F">
      <w:pPr>
        <w:pStyle w:val="ATHeading1"/>
      </w:pPr>
      <w:bookmarkStart w:id="0" w:name="TANumber"/>
      <w:r w:rsidRPr="00540D18">
        <w:t>P10_TA(2025)0</w:t>
      </w:r>
      <w:r w:rsidR="00540D18" w:rsidRPr="00540D18">
        <w:t>320</w:t>
      </w:r>
      <w:bookmarkEnd w:id="0"/>
    </w:p>
    <w:p w14:paraId="160FB099" w14:textId="074AA3ED" w:rsidR="009D547F" w:rsidRPr="00540D18" w:rsidRDefault="00F833E9" w:rsidP="00F833E9">
      <w:pPr>
        <w:pStyle w:val="ATHeading2"/>
      </w:pPr>
      <w:bookmarkStart w:id="1" w:name="title"/>
      <w:r w:rsidRPr="00540D18">
        <w:rPr>
          <w:bCs/>
        </w:rPr>
        <w:t xml:space="preserve">Ar aizsardzību saistītu investīciju stimulēšana ES budžetā, lai īstenotu apbruņošanās plānu </w:t>
      </w:r>
      <w:proofErr w:type="spellStart"/>
      <w:r w:rsidRPr="00540D18">
        <w:rPr>
          <w:bCs/>
          <w:i/>
          <w:iCs/>
        </w:rPr>
        <w:t>ReArm</w:t>
      </w:r>
      <w:proofErr w:type="spellEnd"/>
      <w:r w:rsidRPr="00540D18">
        <w:rPr>
          <w:bCs/>
          <w:i/>
          <w:iCs/>
        </w:rPr>
        <w:t xml:space="preserve"> </w:t>
      </w:r>
      <w:proofErr w:type="spellStart"/>
      <w:r w:rsidRPr="00540D18">
        <w:rPr>
          <w:bCs/>
          <w:i/>
          <w:iCs/>
        </w:rPr>
        <w:t>Europe</w:t>
      </w:r>
      <w:bookmarkEnd w:id="1"/>
      <w:proofErr w:type="spellEnd"/>
    </w:p>
    <w:p w14:paraId="72F688BD" w14:textId="77777777" w:rsidR="009D547F" w:rsidRPr="00540D18" w:rsidRDefault="009D547F" w:rsidP="009D547F">
      <w:pPr>
        <w:rPr>
          <w:i/>
          <w:vanish/>
        </w:rPr>
      </w:pPr>
      <w:r w:rsidRPr="00540D18">
        <w:rPr>
          <w:i/>
        </w:rPr>
        <w:fldChar w:fldCharType="begin"/>
      </w:r>
      <w:r w:rsidRPr="00540D18">
        <w:rPr>
          <w:i/>
        </w:rPr>
        <w:instrText xml:space="preserve"> TC"(</w:instrText>
      </w:r>
      <w:bookmarkStart w:id="2" w:name="DocNumber"/>
      <w:r w:rsidRPr="00540D18">
        <w:rPr>
          <w:i/>
        </w:rPr>
        <w:instrText>A10-0172/2025</w:instrText>
      </w:r>
      <w:bookmarkEnd w:id="2"/>
      <w:r w:rsidRPr="00540D18">
        <w:rPr>
          <w:i/>
        </w:rPr>
        <w:instrText xml:space="preserve"> - Referents: Rihards Kols)"\l3 \n&gt; \* MERGEFORMAT </w:instrText>
      </w:r>
      <w:r w:rsidRPr="00540D18">
        <w:rPr>
          <w:i/>
        </w:rPr>
        <w:fldChar w:fldCharType="end"/>
      </w:r>
    </w:p>
    <w:p w14:paraId="76E8AC79" w14:textId="77777777" w:rsidR="009D547F" w:rsidRPr="00540D18" w:rsidRDefault="009D547F" w:rsidP="009D547F">
      <w:pPr>
        <w:rPr>
          <w:vanish/>
        </w:rPr>
      </w:pPr>
      <w:bookmarkStart w:id="3" w:name="Commission"/>
      <w:r w:rsidRPr="00540D18">
        <w:rPr>
          <w:vanish/>
        </w:rPr>
        <w:t>Rūpniecības, pētniecības un enerģētikas komiteja</w:t>
      </w:r>
      <w:bookmarkEnd w:id="3"/>
    </w:p>
    <w:p w14:paraId="572D9ADD" w14:textId="77777777" w:rsidR="009D547F" w:rsidRPr="00540D18" w:rsidRDefault="009D547F" w:rsidP="009D547F">
      <w:pPr>
        <w:rPr>
          <w:vanish/>
        </w:rPr>
      </w:pPr>
      <w:bookmarkStart w:id="4" w:name="PE"/>
      <w:r w:rsidRPr="00540D18">
        <w:rPr>
          <w:vanish/>
        </w:rPr>
        <w:t>PE774.253</w:t>
      </w:r>
      <w:bookmarkEnd w:id="4"/>
    </w:p>
    <w:p w14:paraId="0B9AE256" w14:textId="00D60174" w:rsidR="009D547F" w:rsidRPr="00540D18" w:rsidRDefault="009D547F" w:rsidP="009D547F">
      <w:pPr>
        <w:pStyle w:val="ATHeading3"/>
      </w:pPr>
      <w:bookmarkStart w:id="5" w:name="Sujet"/>
      <w:r w:rsidRPr="00540D18">
        <w:t xml:space="preserve">Eiropas Parlamenta 2025. gada </w:t>
      </w:r>
      <w:r w:rsidR="00F833E9" w:rsidRPr="00540D18">
        <w:t>16. decembra</w:t>
      </w:r>
      <w:r w:rsidRPr="00540D18">
        <w:t xml:space="preserve"> normatīvā rezolūcija par priekšlikumu Eiropas Parlamenta un Padomes regulai, </w:t>
      </w:r>
      <w:bookmarkEnd w:id="5"/>
      <w:r w:rsidR="0015450D" w:rsidRPr="007774B6">
        <w:rPr>
          <w:noProof/>
        </w:rPr>
        <w:t xml:space="preserve">ar ko groza Regulas (ES) 2021/694, (ES) 2021/695, (ES) 2021/697, (ES) 2021/1153, (ES) 2023/1525 un (ES) 2024/795 nolūkā ES budžetā stimulēt ar aizsardzību saistītas investīcijas, kas ļautu īstenot apbruņošanās plānu </w:t>
      </w:r>
      <w:r w:rsidR="0015450D" w:rsidRPr="007774B6">
        <w:rPr>
          <w:i/>
          <w:noProof/>
        </w:rPr>
        <w:t>ReArm Europe</w:t>
      </w:r>
      <w:r w:rsidRPr="00540D18">
        <w:t xml:space="preserve"> </w:t>
      </w:r>
      <w:bookmarkStart w:id="6" w:name="References"/>
      <w:r w:rsidRPr="00540D18">
        <w:t>(COM(2025)0188 – C10-0070/2025 – 2025/0103(COD))</w:t>
      </w:r>
      <w:bookmarkEnd w:id="6"/>
    </w:p>
    <w:p w14:paraId="6416759D" w14:textId="77777777" w:rsidR="00553C3A" w:rsidRPr="00540D18" w:rsidRDefault="00553C3A" w:rsidP="00553C3A">
      <w:pPr>
        <w:pStyle w:val="NormalBold"/>
      </w:pPr>
      <w:r w:rsidRPr="00540D18">
        <w:t>(Parastā likumdošanas procedūra: pirmais lasījums)</w:t>
      </w:r>
    </w:p>
    <w:p w14:paraId="4CAAE937" w14:textId="77777777" w:rsidR="00553C3A" w:rsidRPr="00540D18" w:rsidRDefault="00553C3A" w:rsidP="00553C3A">
      <w:pPr>
        <w:pStyle w:val="EPComma"/>
      </w:pPr>
      <w:r w:rsidRPr="00540D18">
        <w:rPr>
          <w:i/>
        </w:rPr>
        <w:t>Eiropas Parlaments</w:t>
      </w:r>
      <w:r w:rsidRPr="00540D18">
        <w:t>,</w:t>
      </w:r>
    </w:p>
    <w:p w14:paraId="53C1D35F" w14:textId="77777777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Komisijas priekšlikumu Eiropas Parlamentam un Padomei (COM(2025)0188),</w:t>
      </w:r>
    </w:p>
    <w:p w14:paraId="4DD6CF09" w14:textId="7ADAF7BF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Līguma par Eiropas Savienības darbību 294. panta 2. punktu, 114., 164., 172.</w:t>
      </w:r>
      <w:r w:rsidR="00D126EA" w:rsidRPr="00540D18">
        <w:t xml:space="preserve"> un </w:t>
      </w:r>
      <w:r w:rsidRPr="00540D18">
        <w:t>173. pantu, 175. panta trešo daļu, 176., 177., 178., 182., 183.</w:t>
      </w:r>
      <w:r w:rsidR="00D126EA" w:rsidRPr="00540D18">
        <w:t xml:space="preserve"> un </w:t>
      </w:r>
      <w:r w:rsidRPr="00540D18">
        <w:t>188. pantu</w:t>
      </w:r>
      <w:r w:rsidR="00D126EA" w:rsidRPr="00540D18">
        <w:t>,</w:t>
      </w:r>
      <w:r w:rsidRPr="00540D18">
        <w:t xml:space="preserve"> un 192. panta 1. punktu, saskaņā ar kuriem Komisija tam ir iesniegusi priekšlikumu (C10-0070/2025),</w:t>
      </w:r>
    </w:p>
    <w:p w14:paraId="6F28EC44" w14:textId="0E68B913" w:rsidR="00D126EA" w:rsidRPr="00540D18" w:rsidRDefault="00D126EA" w:rsidP="00540D18">
      <w:pPr>
        <w:pStyle w:val="NormalHanging12a"/>
        <w:numPr>
          <w:ilvl w:val="0"/>
          <w:numId w:val="45"/>
        </w:numPr>
        <w:ind w:left="567" w:hanging="567"/>
      </w:pPr>
      <w:r w:rsidRPr="00540D18">
        <w:t>ņemot vērā Juridiskās komitejas atzinumu par ierosināto juridisko pamatu,</w:t>
      </w:r>
    </w:p>
    <w:p w14:paraId="44D158D9" w14:textId="11319B31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Līguma par Eiropas Savienības darbību 294. panta 3. punktu</w:t>
      </w:r>
      <w:r w:rsidR="00D126EA" w:rsidRPr="00540D18">
        <w:t xml:space="preserve"> un 164. un 172. pantu, 173. panta 3. punktu, 175. panta trešo daļu, 177. un 178. pantu, 182. panta 1. un 4. punktu</w:t>
      </w:r>
      <w:r w:rsidRPr="00540D18">
        <w:t>,</w:t>
      </w:r>
      <w:r w:rsidR="00D126EA" w:rsidRPr="00540D18">
        <w:t xml:space="preserve"> 183. pantu, 188. panta otro daļu 192. panta 1. punktu,</w:t>
      </w:r>
    </w:p>
    <w:p w14:paraId="2E4A48BC" w14:textId="77777777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 xml:space="preserve">ņemot vēra Budžeta komitejas budžeta </w:t>
      </w:r>
      <w:proofErr w:type="spellStart"/>
      <w:r w:rsidRPr="00540D18">
        <w:t>izvērtējumu</w:t>
      </w:r>
      <w:proofErr w:type="spellEnd"/>
      <w:r w:rsidRPr="00540D18">
        <w:t>,</w:t>
      </w:r>
    </w:p>
    <w:p w14:paraId="72D52E35" w14:textId="77777777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Eiropas Ekonomikas un sociālo lietu komitejas 2025. gada 18. septembra atzinumu</w:t>
      </w:r>
      <w:r w:rsidRPr="00540D18">
        <w:rPr>
          <w:rStyle w:val="FootnoteReference"/>
        </w:rPr>
        <w:footnoteReference w:id="1"/>
      </w:r>
      <w:r w:rsidRPr="00540D18">
        <w:t>,</w:t>
      </w:r>
    </w:p>
    <w:p w14:paraId="775AA641" w14:textId="44577F26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</w:r>
      <w:r w:rsidR="00F833E9" w:rsidRPr="00540D18">
        <w:t xml:space="preserve">ņemot vērā </w:t>
      </w:r>
      <w:r w:rsidRPr="00540D18">
        <w:t>Reģionu komitej</w:t>
      </w:r>
      <w:r w:rsidR="00F833E9" w:rsidRPr="00540D18">
        <w:t>as 2025. gada 15. oktobra atzinumu</w:t>
      </w:r>
      <w:r w:rsidR="00F833E9" w:rsidRPr="00540D18">
        <w:rPr>
          <w:rStyle w:val="FootnoteReference"/>
        </w:rPr>
        <w:footnoteReference w:id="2"/>
      </w:r>
      <w:r w:rsidRPr="00540D18">
        <w:t>,</w:t>
      </w:r>
    </w:p>
    <w:p w14:paraId="393D8DAE" w14:textId="5CE6BAEB" w:rsidR="00D126EA" w:rsidRPr="00540D18" w:rsidRDefault="00D126EA" w:rsidP="00553C3A">
      <w:pPr>
        <w:pStyle w:val="NormalHanging12a"/>
      </w:pPr>
      <w:r w:rsidRPr="00540D18">
        <w:lastRenderedPageBreak/>
        <w:t>–</w:t>
      </w:r>
      <w:r w:rsidRPr="00540D18">
        <w:tab/>
        <w:t>ņemot vērā provizorisko vienošanos, ko atbildīgā komiteja apstiprināja saskaņā ar Reglamenta 75. panta 4. punktu, un Padomes pārstāvja 2025. gada 10. novembr</w:t>
      </w:r>
      <w:r w:rsidR="005E3187" w:rsidRPr="00540D18">
        <w:t>a</w:t>
      </w:r>
      <w:r w:rsidRPr="00540D18">
        <w:t xml:space="preserve"> vēstulē pausto apņemšanos apstiprināt Parlamenta nostāju saskaņā ar Līguma par Eiropas Savienības darbību 294. panta 4. punktu,</w:t>
      </w:r>
    </w:p>
    <w:p w14:paraId="6BA90751" w14:textId="49E3BD6D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 xml:space="preserve">ņemot vērā Reglamenta 60. </w:t>
      </w:r>
      <w:r w:rsidR="00D126EA" w:rsidRPr="00540D18">
        <w:t xml:space="preserve">41. </w:t>
      </w:r>
      <w:r w:rsidRPr="00540D18">
        <w:t>un 58. pantu,</w:t>
      </w:r>
    </w:p>
    <w:p w14:paraId="4E8AAA6E" w14:textId="77777777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Drošības un aizsardzības komitejas un Transporta un tūrisma komitejas atzinumus,</w:t>
      </w:r>
    </w:p>
    <w:p w14:paraId="38B92F7A" w14:textId="77777777" w:rsidR="00553C3A" w:rsidRPr="00540D18" w:rsidRDefault="00553C3A" w:rsidP="00553C3A">
      <w:pPr>
        <w:pStyle w:val="NormalHanging12a"/>
      </w:pPr>
      <w:r w:rsidRPr="00540D18">
        <w:t>–</w:t>
      </w:r>
      <w:r w:rsidRPr="00540D18">
        <w:tab/>
        <w:t>ņemot vērā Rūpniecības, pētniecības un enerģētikas komitejas ziņojumu (A10-0172/2025),</w:t>
      </w:r>
    </w:p>
    <w:p w14:paraId="335F3C47" w14:textId="77777777" w:rsidR="00553C3A" w:rsidRPr="00540D18" w:rsidRDefault="00553C3A" w:rsidP="00553C3A">
      <w:pPr>
        <w:pStyle w:val="NormalHanging12a"/>
      </w:pPr>
      <w:r w:rsidRPr="00540D18">
        <w:t>1.</w:t>
      </w:r>
      <w:r w:rsidRPr="00540D18">
        <w:tab/>
        <w:t>pieņem pirmajā lasījumā turpmāk izklāstīto nostāju;</w:t>
      </w:r>
    </w:p>
    <w:p w14:paraId="67984B47" w14:textId="77777777" w:rsidR="00553C3A" w:rsidRPr="00540D18" w:rsidRDefault="00553C3A" w:rsidP="00553C3A">
      <w:pPr>
        <w:pStyle w:val="NormalHanging12a"/>
      </w:pPr>
      <w:r w:rsidRPr="00540D18">
        <w:t>2.</w:t>
      </w:r>
      <w:r w:rsidRPr="00540D18">
        <w:tab/>
        <w:t>prasa Komisijai priekšlikumu Parlamentam iesniegt vēlreiz, ja tā savu priekšlikumu aizstāj, būtiski groza vai ir paredzējusi to būtiski grozīt;</w:t>
      </w:r>
    </w:p>
    <w:p w14:paraId="1DA8AF45" w14:textId="7F4AF504" w:rsidR="0052600D" w:rsidRPr="00540D18" w:rsidRDefault="00553C3A" w:rsidP="0052600D">
      <w:pPr>
        <w:pStyle w:val="NormalHanging12a"/>
        <w:sectPr w:rsidR="0052600D" w:rsidRPr="00540D18" w:rsidSect="00757B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40D18">
        <w:t>3.</w:t>
      </w:r>
      <w:r w:rsidRPr="00540D18">
        <w:tab/>
        <w:t>uzdod priekšsēdētājai Parlamenta nostāju nosūtīt Padomei un Komisijai, kā arī dalībvalstu parlamentiem.</w:t>
      </w:r>
    </w:p>
    <w:p w14:paraId="37A2291B" w14:textId="4BAAECB6" w:rsidR="00D126EA" w:rsidRPr="00540D18" w:rsidRDefault="00D126EA" w:rsidP="00D126EA">
      <w:pPr>
        <w:pStyle w:val="Normal12Hanging"/>
        <w:tabs>
          <w:tab w:val="left" w:pos="357"/>
        </w:tabs>
        <w:rPr>
          <w:b/>
        </w:rPr>
      </w:pPr>
      <w:r w:rsidRPr="00540D18">
        <w:rPr>
          <w:b/>
        </w:rPr>
        <w:lastRenderedPageBreak/>
        <w:t>P10_TC1-COD(2025)0103</w:t>
      </w:r>
    </w:p>
    <w:p w14:paraId="593DAB8E" w14:textId="3F3DA295" w:rsidR="00D126EA" w:rsidRPr="00540D18" w:rsidRDefault="00D126EA" w:rsidP="00D126EA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540D18">
        <w:rPr>
          <w:b/>
        </w:rPr>
        <w:t xml:space="preserve">Eiropas Parlamenta nostāja, pieņemta pirmajā lasījumā 2025. gada 16. decembrī, lai pieņemtu Eiropas Parlamenta un Padomes Regulu (ES) 2025/..., </w:t>
      </w:r>
      <w:r w:rsidR="0015450D" w:rsidRPr="0015450D">
        <w:rPr>
          <w:rFonts w:eastAsia="Calibri"/>
          <w:b/>
          <w:bCs/>
          <w:szCs w:val="22"/>
          <w:lang w:eastAsia="en-US"/>
        </w:rPr>
        <w:t>ar ko groza Regulas (ES) 2021/694, (ES) 2021/695, (ES) 2021/697, (ES) 2021/1153 un (ES) 2024/795 nolūkā ES budžetā stimulēt ar aizsardzību saistītas investīcijas, lai īstenotu apbruņošanās plānu </w:t>
      </w:r>
      <w:proofErr w:type="spellStart"/>
      <w:r w:rsidR="0015450D" w:rsidRPr="0015450D">
        <w:rPr>
          <w:rFonts w:eastAsia="Calibri"/>
          <w:b/>
          <w:bCs/>
          <w:i/>
          <w:iCs/>
          <w:szCs w:val="22"/>
          <w:lang w:eastAsia="en-US"/>
        </w:rPr>
        <w:t>ReArm</w:t>
      </w:r>
      <w:proofErr w:type="spellEnd"/>
      <w:r w:rsidR="0015450D" w:rsidRPr="0015450D">
        <w:rPr>
          <w:rFonts w:eastAsia="Calibri"/>
          <w:b/>
          <w:bCs/>
          <w:i/>
          <w:iCs/>
          <w:szCs w:val="22"/>
          <w:lang w:eastAsia="en-US"/>
        </w:rPr>
        <w:t xml:space="preserve"> </w:t>
      </w:r>
      <w:proofErr w:type="spellStart"/>
      <w:r w:rsidR="0015450D" w:rsidRPr="0015450D">
        <w:rPr>
          <w:rFonts w:eastAsia="Calibri"/>
          <w:b/>
          <w:bCs/>
          <w:i/>
          <w:iCs/>
          <w:szCs w:val="22"/>
          <w:lang w:eastAsia="en-US"/>
        </w:rPr>
        <w:t>Europe</w:t>
      </w:r>
      <w:proofErr w:type="spellEnd"/>
    </w:p>
    <w:p w14:paraId="24075FCC" w14:textId="7B7EEF1D" w:rsidR="0015450D" w:rsidRDefault="0015450D" w:rsidP="0015450D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15450D">
        <w:rPr>
          <w:i/>
        </w:rPr>
        <w:t>(ES) 2025/</w:t>
      </w:r>
      <w:r w:rsidRPr="0015450D">
        <w:rPr>
          <w:i/>
        </w:rPr>
        <w:t>2653</w:t>
      </w:r>
      <w:r w:rsidRPr="0015450D">
        <w:rPr>
          <w:i/>
        </w:rPr>
        <w:t>.)</w:t>
      </w:r>
    </w:p>
    <w:p w14:paraId="2663AF02" w14:textId="77777777" w:rsidR="00D126EA" w:rsidRPr="00540D18" w:rsidRDefault="00D126EA" w:rsidP="00D126EA">
      <w:pPr>
        <w:pStyle w:val="NormalHanging12a"/>
        <w:ind w:left="0" w:firstLine="0"/>
      </w:pPr>
    </w:p>
    <w:sectPr w:rsidR="00D126EA" w:rsidRPr="00540D18" w:rsidSect="00757B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6F1D" w14:textId="77777777" w:rsidR="009D547F" w:rsidRPr="00757B93" w:rsidRDefault="009D547F">
      <w:r w:rsidRPr="00757B93">
        <w:separator/>
      </w:r>
    </w:p>
  </w:endnote>
  <w:endnote w:type="continuationSeparator" w:id="0">
    <w:p w14:paraId="17639542" w14:textId="77777777" w:rsidR="009D547F" w:rsidRPr="00757B93" w:rsidRDefault="009D547F">
      <w:r w:rsidRPr="00757B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1FAD" w14:textId="77777777" w:rsidR="00064002" w:rsidRPr="00757B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1428" w14:textId="77777777" w:rsidR="00064002" w:rsidRPr="00757B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6979" w14:textId="77777777" w:rsidR="00064002" w:rsidRPr="00757B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CDD6F" w14:textId="77777777" w:rsidR="009D547F" w:rsidRPr="00757B93" w:rsidRDefault="009D547F">
      <w:r w:rsidRPr="00757B93">
        <w:separator/>
      </w:r>
    </w:p>
  </w:footnote>
  <w:footnote w:type="continuationSeparator" w:id="0">
    <w:p w14:paraId="26577C28" w14:textId="77777777" w:rsidR="009D547F" w:rsidRPr="00757B93" w:rsidRDefault="009D547F">
      <w:r w:rsidRPr="00757B93">
        <w:continuationSeparator/>
      </w:r>
    </w:p>
  </w:footnote>
  <w:footnote w:id="1">
    <w:p w14:paraId="68D9EF97" w14:textId="24AFF1C5" w:rsidR="00553C3A" w:rsidRPr="00757B93" w:rsidRDefault="00553C3A" w:rsidP="00757B93">
      <w:pPr>
        <w:pStyle w:val="FootnoteText"/>
        <w:ind w:left="567" w:hanging="567"/>
        <w:rPr>
          <w:sz w:val="24"/>
          <w:szCs w:val="22"/>
          <w:lang w:val="lv-LV"/>
        </w:rPr>
      </w:pPr>
      <w:r w:rsidRPr="00757B93">
        <w:rPr>
          <w:rStyle w:val="FootnoteReference"/>
          <w:sz w:val="24"/>
          <w:szCs w:val="22"/>
          <w:lang w:val="lv-LV"/>
        </w:rPr>
        <w:footnoteRef/>
      </w:r>
      <w:r w:rsidR="00757B93" w:rsidRPr="00757B93">
        <w:rPr>
          <w:i/>
          <w:iCs/>
          <w:color w:val="1E1E1F"/>
          <w:sz w:val="24"/>
          <w:shd w:val="clear" w:color="auto" w:fill="FFFFFF"/>
          <w:lang w:val="lv-LV"/>
        </w:rPr>
        <w:t xml:space="preserve"> </w:t>
      </w:r>
      <w:r w:rsidR="00757B93" w:rsidRPr="00757B93">
        <w:rPr>
          <w:i/>
          <w:iCs/>
          <w:color w:val="1E1E1F"/>
          <w:sz w:val="24"/>
          <w:shd w:val="clear" w:color="auto" w:fill="FFFFFF"/>
          <w:lang w:val="lv-LV"/>
        </w:rPr>
        <w:tab/>
      </w:r>
      <w:r w:rsidRPr="00757B93">
        <w:rPr>
          <w:i/>
          <w:iCs/>
          <w:color w:val="1E1E1F"/>
          <w:sz w:val="24"/>
          <w:shd w:val="clear" w:color="auto" w:fill="FFFFFF"/>
          <w:lang w:val="lv-LV"/>
        </w:rPr>
        <w:t>Oficiālajā Vēstnesī</w:t>
      </w:r>
      <w:r w:rsidRPr="00757B93">
        <w:rPr>
          <w:color w:val="1E1E1F"/>
          <w:sz w:val="24"/>
          <w:shd w:val="clear" w:color="auto" w:fill="FFFFFF"/>
          <w:lang w:val="lv-LV"/>
        </w:rPr>
        <w:t xml:space="preserve"> vēl nav publicēts.</w:t>
      </w:r>
    </w:p>
  </w:footnote>
  <w:footnote w:id="2">
    <w:p w14:paraId="20CC1693" w14:textId="28E8287C" w:rsidR="00F833E9" w:rsidRPr="00540D18" w:rsidRDefault="00F833E9" w:rsidP="00540D18">
      <w:pPr>
        <w:pStyle w:val="FootnoteText"/>
        <w:ind w:left="567" w:hanging="567"/>
        <w:rPr>
          <w:sz w:val="24"/>
          <w:szCs w:val="24"/>
          <w:lang w:val="lv-LV"/>
        </w:rPr>
      </w:pPr>
      <w:r w:rsidRPr="00540D18">
        <w:rPr>
          <w:rStyle w:val="FootnoteReference"/>
          <w:sz w:val="24"/>
          <w:szCs w:val="24"/>
        </w:rPr>
        <w:footnoteRef/>
      </w:r>
      <w:r w:rsidRPr="00540D18">
        <w:rPr>
          <w:sz w:val="24"/>
          <w:szCs w:val="24"/>
          <w:lang w:val="fi-FI"/>
        </w:rPr>
        <w:t xml:space="preserve"> </w:t>
      </w:r>
      <w:r w:rsidRPr="00540D18">
        <w:rPr>
          <w:sz w:val="24"/>
          <w:szCs w:val="24"/>
          <w:lang w:val="lv-LV"/>
        </w:rPr>
        <w:tab/>
      </w:r>
      <w:r w:rsidRPr="00540D18">
        <w:rPr>
          <w:sz w:val="24"/>
          <w:szCs w:val="24"/>
          <w:lang w:val="fi-FI"/>
        </w:rPr>
        <w:t>O</w:t>
      </w:r>
      <w:r>
        <w:rPr>
          <w:sz w:val="24"/>
          <w:szCs w:val="24"/>
          <w:lang w:val="fi-FI"/>
        </w:rPr>
        <w:t>V</w:t>
      </w:r>
      <w:r w:rsidRPr="00540D18">
        <w:rPr>
          <w:sz w:val="24"/>
          <w:szCs w:val="24"/>
          <w:lang w:val="fi-FI"/>
        </w:rPr>
        <w:t xml:space="preserve"> C, C/2025/6325, 3.12.2025</w:t>
      </w:r>
      <w:r>
        <w:rPr>
          <w:sz w:val="24"/>
          <w:szCs w:val="24"/>
          <w:lang w:val="fi-FI"/>
        </w:rPr>
        <w:t>.</w:t>
      </w:r>
      <w:r w:rsidRPr="00540D18">
        <w:rPr>
          <w:sz w:val="24"/>
          <w:szCs w:val="24"/>
          <w:lang w:val="fi-FI"/>
        </w:rPr>
        <w:t xml:space="preserve">, ELI: </w:t>
      </w:r>
      <w:hyperlink r:id="rId1" w:history="1">
        <w:r w:rsidRPr="0015450D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6C33" w14:textId="77777777" w:rsidR="00064002" w:rsidRPr="00757B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78543" w14:textId="77777777" w:rsidR="00064002" w:rsidRPr="00757B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EE43" w14:textId="77777777" w:rsidR="00064002" w:rsidRPr="00757B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F13C3"/>
    <w:multiLevelType w:val="hybridMultilevel"/>
    <w:tmpl w:val="E4345B5E"/>
    <w:lvl w:ilvl="0" w:tplc="747665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1227877">
    <w:abstractNumId w:val="9"/>
  </w:num>
  <w:num w:numId="2" w16cid:durableId="845560363">
    <w:abstractNumId w:val="9"/>
  </w:num>
  <w:num w:numId="3" w16cid:durableId="760879755">
    <w:abstractNumId w:val="7"/>
  </w:num>
  <w:num w:numId="4" w16cid:durableId="625696723">
    <w:abstractNumId w:val="7"/>
  </w:num>
  <w:num w:numId="5" w16cid:durableId="1290473265">
    <w:abstractNumId w:val="6"/>
  </w:num>
  <w:num w:numId="6" w16cid:durableId="1128275869">
    <w:abstractNumId w:val="6"/>
  </w:num>
  <w:num w:numId="7" w16cid:durableId="3292633">
    <w:abstractNumId w:val="5"/>
  </w:num>
  <w:num w:numId="8" w16cid:durableId="620385947">
    <w:abstractNumId w:val="5"/>
  </w:num>
  <w:num w:numId="9" w16cid:durableId="523711235">
    <w:abstractNumId w:val="4"/>
  </w:num>
  <w:num w:numId="10" w16cid:durableId="1004284902">
    <w:abstractNumId w:val="4"/>
  </w:num>
  <w:num w:numId="11" w16cid:durableId="1081370712">
    <w:abstractNumId w:val="8"/>
  </w:num>
  <w:num w:numId="12" w16cid:durableId="1406142864">
    <w:abstractNumId w:val="8"/>
  </w:num>
  <w:num w:numId="13" w16cid:durableId="290288655">
    <w:abstractNumId w:val="3"/>
  </w:num>
  <w:num w:numId="14" w16cid:durableId="1752849346">
    <w:abstractNumId w:val="3"/>
  </w:num>
  <w:num w:numId="15" w16cid:durableId="648902142">
    <w:abstractNumId w:val="2"/>
  </w:num>
  <w:num w:numId="16" w16cid:durableId="904337711">
    <w:abstractNumId w:val="2"/>
  </w:num>
  <w:num w:numId="17" w16cid:durableId="1619870539">
    <w:abstractNumId w:val="1"/>
  </w:num>
  <w:num w:numId="18" w16cid:durableId="28343898">
    <w:abstractNumId w:val="1"/>
  </w:num>
  <w:num w:numId="19" w16cid:durableId="1626498205">
    <w:abstractNumId w:val="0"/>
  </w:num>
  <w:num w:numId="20" w16cid:durableId="1828208484">
    <w:abstractNumId w:val="0"/>
  </w:num>
  <w:num w:numId="21" w16cid:durableId="1477601481">
    <w:abstractNumId w:val="9"/>
  </w:num>
  <w:num w:numId="22" w16cid:durableId="632292463">
    <w:abstractNumId w:val="7"/>
  </w:num>
  <w:num w:numId="23" w16cid:durableId="858816316">
    <w:abstractNumId w:val="6"/>
  </w:num>
  <w:num w:numId="24" w16cid:durableId="1474837247">
    <w:abstractNumId w:val="5"/>
  </w:num>
  <w:num w:numId="25" w16cid:durableId="904727576">
    <w:abstractNumId w:val="4"/>
  </w:num>
  <w:num w:numId="26" w16cid:durableId="512114858">
    <w:abstractNumId w:val="8"/>
  </w:num>
  <w:num w:numId="27" w16cid:durableId="820972590">
    <w:abstractNumId w:val="3"/>
  </w:num>
  <w:num w:numId="28" w16cid:durableId="948971086">
    <w:abstractNumId w:val="2"/>
  </w:num>
  <w:num w:numId="29" w16cid:durableId="318271100">
    <w:abstractNumId w:val="1"/>
  </w:num>
  <w:num w:numId="30" w16cid:durableId="1201356626">
    <w:abstractNumId w:val="0"/>
  </w:num>
  <w:num w:numId="31" w16cid:durableId="1945337537">
    <w:abstractNumId w:val="9"/>
  </w:num>
  <w:num w:numId="32" w16cid:durableId="2060397009">
    <w:abstractNumId w:val="7"/>
  </w:num>
  <w:num w:numId="33" w16cid:durableId="1728065366">
    <w:abstractNumId w:val="6"/>
  </w:num>
  <w:num w:numId="34" w16cid:durableId="692153509">
    <w:abstractNumId w:val="5"/>
  </w:num>
  <w:num w:numId="35" w16cid:durableId="213660111">
    <w:abstractNumId w:val="4"/>
  </w:num>
  <w:num w:numId="36" w16cid:durableId="2009863455">
    <w:abstractNumId w:val="8"/>
  </w:num>
  <w:num w:numId="37" w16cid:durableId="1070226738">
    <w:abstractNumId w:val="3"/>
  </w:num>
  <w:num w:numId="38" w16cid:durableId="2109697243">
    <w:abstractNumId w:val="2"/>
  </w:num>
  <w:num w:numId="39" w16cid:durableId="691959660">
    <w:abstractNumId w:val="1"/>
  </w:num>
  <w:num w:numId="40" w16cid:durableId="959185947">
    <w:abstractNumId w:val="0"/>
  </w:num>
  <w:num w:numId="41" w16cid:durableId="789517697">
    <w:abstractNumId w:val="11"/>
  </w:num>
  <w:num w:numId="42" w16cid:durableId="1959798930">
    <w:abstractNumId w:val="11"/>
  </w:num>
  <w:num w:numId="43" w16cid:durableId="96827221">
    <w:abstractNumId w:val="11"/>
  </w:num>
  <w:num w:numId="44" w16cid:durableId="766655097">
    <w:abstractNumId w:val="12"/>
  </w:num>
  <w:num w:numId="45" w16cid:durableId="20486749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LV"/>
    <w:docVar w:name="dvnumam" w:val="63"/>
    <w:docVar w:name="dvpe" w:val="774.253"/>
    <w:docVar w:name="dvrapporteur" w:val="Referents: "/>
    <w:docVar w:name="dvstar" w:val="***I"/>
    <w:docVar w:name="dvtitre" w:val="Eiropas Parlamenta 2025. gada XX. XXX normatīvā rezolūcija par priekšlikumu Eiropas Parlamenta un Padomes regulai, ar ko groza Regulas (ES) 2021/694, (ES) 2021/695, (ES) 2021/697, (ES) 2021/1153, (ES) 2023/1525 un (ES) 2024/795 nolūkā ES budžetā stimulēt ar aizsardzību saistītas investīcijas, kas ļautu īstenot apbruņošanās plānu ReArm Europe(COM(2025)0188 – C10-0070/2025 – 2025/0103(COD))"/>
  </w:docVars>
  <w:rsids>
    <w:rsidRoot w:val="009D547F"/>
    <w:rsid w:val="00002272"/>
    <w:rsid w:val="00064002"/>
    <w:rsid w:val="000677B9"/>
    <w:rsid w:val="000831BA"/>
    <w:rsid w:val="000A42CC"/>
    <w:rsid w:val="000E7DD9"/>
    <w:rsid w:val="0010095E"/>
    <w:rsid w:val="00125B37"/>
    <w:rsid w:val="0015450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BC7"/>
    <w:rsid w:val="0052600D"/>
    <w:rsid w:val="00540D18"/>
    <w:rsid w:val="00545827"/>
    <w:rsid w:val="00553C3A"/>
    <w:rsid w:val="00560270"/>
    <w:rsid w:val="005C2568"/>
    <w:rsid w:val="005E3187"/>
    <w:rsid w:val="005F166C"/>
    <w:rsid w:val="005F1B17"/>
    <w:rsid w:val="005F38A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B93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4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491"/>
    <w:rsid w:val="00BE6ADC"/>
    <w:rsid w:val="00C05BFE"/>
    <w:rsid w:val="00C23CD4"/>
    <w:rsid w:val="00C61C0C"/>
    <w:rsid w:val="00C941CB"/>
    <w:rsid w:val="00CC2357"/>
    <w:rsid w:val="00CF071A"/>
    <w:rsid w:val="00D058B8"/>
    <w:rsid w:val="00D126EA"/>
    <w:rsid w:val="00D56C11"/>
    <w:rsid w:val="00D834A0"/>
    <w:rsid w:val="00D872DF"/>
    <w:rsid w:val="00D91E21"/>
    <w:rsid w:val="00DA7FCD"/>
    <w:rsid w:val="00E16EF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3E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A7305"/>
  <w15:chartTrackingRefBased/>
  <w15:docId w15:val="{6A120EE1-8E51-48CF-8D85-E7E63DFB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3C3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553C3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53C3A"/>
    <w:rPr>
      <w:b/>
      <w:sz w:val="24"/>
      <w:lang w:val="lv-LV"/>
    </w:rPr>
  </w:style>
  <w:style w:type="paragraph" w:customStyle="1" w:styleId="NormalBold12a">
    <w:name w:val="NormalBold12a"/>
    <w:basedOn w:val="Normal"/>
    <w:rsid w:val="00553C3A"/>
    <w:pPr>
      <w:spacing w:after="240"/>
    </w:pPr>
    <w:rPr>
      <w:b/>
    </w:rPr>
  </w:style>
  <w:style w:type="paragraph" w:customStyle="1" w:styleId="NormalHanging12a">
    <w:name w:val="NormalHanging12a"/>
    <w:basedOn w:val="Normal"/>
    <w:uiPriority w:val="99"/>
    <w:rsid w:val="00553C3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53C3A"/>
    <w:pPr>
      <w:spacing w:after="240"/>
      <w:jc w:val="center"/>
    </w:pPr>
  </w:style>
  <w:style w:type="paragraph" w:customStyle="1" w:styleId="AmNumberTabs">
    <w:name w:val="AmNumberTabs"/>
    <w:basedOn w:val="Normal"/>
    <w:rsid w:val="00553C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53C3A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553C3A"/>
    <w:rPr>
      <w:color w:val="0000FF"/>
      <w:u w:val="single"/>
    </w:rPr>
  </w:style>
  <w:style w:type="paragraph" w:customStyle="1" w:styleId="Text1">
    <w:name w:val="Text 1"/>
    <w:basedOn w:val="Normal"/>
    <w:rsid w:val="00553C3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53C3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53C3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53C3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553C3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53C3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53C3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53C3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53C3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53C3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53C3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53C3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53C3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553C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3C3A"/>
    <w:rPr>
      <w:lang w:val="lv-LV"/>
    </w:rPr>
  </w:style>
  <w:style w:type="paragraph" w:styleId="Revision">
    <w:name w:val="Revision"/>
    <w:hidden/>
    <w:uiPriority w:val="99"/>
    <w:semiHidden/>
    <w:rsid w:val="00F833E9"/>
    <w:rPr>
      <w:sz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6EA"/>
    <w:rPr>
      <w:sz w:val="24"/>
      <w:lang w:val="en-US" w:eastAsia="fr-FR"/>
    </w:rPr>
  </w:style>
  <w:style w:type="paragraph" w:customStyle="1" w:styleId="Normal12Hanging">
    <w:name w:val="Normal12Hanging"/>
    <w:basedOn w:val="Normal"/>
    <w:link w:val="Normal12HangingChar"/>
    <w:rsid w:val="00D126EA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D126EA"/>
    <w:rPr>
      <w:sz w:val="24"/>
      <w:lang w:val="lv-LV"/>
    </w:rPr>
  </w:style>
  <w:style w:type="paragraph" w:customStyle="1" w:styleId="AmOrLang">
    <w:name w:val="AmOrLang"/>
    <w:basedOn w:val="Normal"/>
    <w:rsid w:val="00D126EA"/>
    <w:pPr>
      <w:spacing w:before="240" w:after="240"/>
      <w:jc w:val="right"/>
    </w:pPr>
  </w:style>
  <w:style w:type="character" w:customStyle="1" w:styleId="Hyperlink1">
    <w:name w:val="Hyperlink1"/>
    <w:basedOn w:val="DefaultParagraphFont"/>
    <w:uiPriority w:val="99"/>
    <w:unhideWhenUsed/>
    <w:rsid w:val="00D126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386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MERSCH Larisa</cp:lastModifiedBy>
  <cp:revision>3</cp:revision>
  <cp:lastPrinted>2004-11-19T15:42:00Z</cp:lastPrinted>
  <dcterms:created xsi:type="dcterms:W3CDTF">2025-12-16T12:28:00Z</dcterms:created>
  <dcterms:modified xsi:type="dcterms:W3CDTF">2026-03-11T09:33:00Z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A10-0172/2025</vt:lpwstr>
  </property>
  <property fmtid="{D5CDD505-2E9C-101B-9397-08002B2CF9AE}" pid="4" name="&lt;Type&gt;">
    <vt:lpwstr>RR</vt:lpwstr>
  </property>
</Properties>
</file>