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265" w14:paraId="64FAD7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AFC288" w14:textId="77777777" w:rsidR="00751A4A" w:rsidRPr="00F16265" w:rsidRDefault="00F81C24" w:rsidP="0010095E">
            <w:pPr>
              <w:pStyle w:val="EPName"/>
            </w:pPr>
            <w:r w:rsidRPr="00F16265">
              <w:t>Parlament Ewropew</w:t>
            </w:r>
          </w:p>
          <w:p w14:paraId="7EC6BF22" w14:textId="77777777" w:rsidR="00751A4A" w:rsidRPr="00F162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265">
              <w:t>2024</w:t>
            </w:r>
            <w:r w:rsidR="00817416" w:rsidRPr="00F16265">
              <w:t>-202</w:t>
            </w:r>
            <w:r w:rsidRPr="00F16265">
              <w:t>9</w:t>
            </w:r>
          </w:p>
        </w:tc>
        <w:tc>
          <w:tcPr>
            <w:tcW w:w="2268" w:type="dxa"/>
            <w:shd w:val="clear" w:color="auto" w:fill="auto"/>
          </w:tcPr>
          <w:p w14:paraId="299F7290" w14:textId="77777777" w:rsidR="00751A4A" w:rsidRPr="00F16265" w:rsidRDefault="00187494" w:rsidP="0010095E">
            <w:pPr>
              <w:pStyle w:val="EPLogo"/>
            </w:pPr>
            <w:r w:rsidRPr="00F16265">
              <w:rPr>
                <w:noProof/>
                <w:lang w:eastAsia="ja-JP"/>
              </w:rPr>
              <w:drawing>
                <wp:inline distT="0" distB="0" distL="0" distR="0" wp14:anchorId="0A74E371" wp14:editId="41461A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37A25C" w14:textId="77777777" w:rsidR="00D058B8" w:rsidRPr="00F16265" w:rsidRDefault="00D058B8" w:rsidP="004C5D52">
      <w:pPr>
        <w:pStyle w:val="LineTop"/>
      </w:pPr>
    </w:p>
    <w:p w14:paraId="1F5C66EF" w14:textId="77777777" w:rsidR="00680577" w:rsidRPr="00F16265" w:rsidRDefault="00F81C24" w:rsidP="00680577">
      <w:pPr>
        <w:pStyle w:val="EPBodyTA1"/>
      </w:pPr>
      <w:r w:rsidRPr="00F16265">
        <w:t>TESTI ADOTTATI</w:t>
      </w:r>
    </w:p>
    <w:p w14:paraId="36E5AB8D" w14:textId="77777777" w:rsidR="00D058B8" w:rsidRPr="00F16265" w:rsidRDefault="00D058B8" w:rsidP="00D058B8">
      <w:pPr>
        <w:pStyle w:val="LineBottom"/>
      </w:pPr>
    </w:p>
    <w:p w14:paraId="23F31A10" w14:textId="2271AFEE" w:rsidR="00F81C24" w:rsidRPr="00F16265" w:rsidRDefault="00F81C24" w:rsidP="00F81C24">
      <w:pPr>
        <w:pStyle w:val="ATHeading1"/>
      </w:pPr>
      <w:bookmarkStart w:id="0" w:name="TANumber"/>
      <w:r w:rsidRPr="00F16265">
        <w:t>P10_TA(2025)0</w:t>
      </w:r>
      <w:r w:rsidR="00F340F6">
        <w:t>320</w:t>
      </w:r>
      <w:bookmarkEnd w:id="0"/>
    </w:p>
    <w:p w14:paraId="403BA97C" w14:textId="77777777" w:rsidR="00F81C24" w:rsidRPr="00F16265" w:rsidRDefault="00F81C24" w:rsidP="00F81C24">
      <w:pPr>
        <w:pStyle w:val="ATHeading2"/>
      </w:pPr>
      <w:bookmarkStart w:id="1" w:name="title"/>
      <w:r w:rsidRPr="00F16265">
        <w:t xml:space="preserve">L-inċentivar ta’ investimenti relatati mad-difiża fil-baġit tal-UE biex jiġi </w:t>
      </w:r>
      <w:proofErr w:type="spellStart"/>
      <w:r w:rsidRPr="00F16265">
        <w:t>implimentat</w:t>
      </w:r>
      <w:proofErr w:type="spellEnd"/>
      <w:r w:rsidRPr="00F16265">
        <w:t xml:space="preserve"> il-Pjan </w:t>
      </w:r>
      <w:proofErr w:type="spellStart"/>
      <w:r w:rsidRPr="00F16265">
        <w:t>ReArm</w:t>
      </w:r>
      <w:proofErr w:type="spellEnd"/>
      <w:r w:rsidRPr="00F16265">
        <w:t xml:space="preserve"> </w:t>
      </w:r>
      <w:proofErr w:type="spellStart"/>
      <w:r w:rsidRPr="00F16265">
        <w:t>Europe</w:t>
      </w:r>
      <w:bookmarkEnd w:id="1"/>
      <w:proofErr w:type="spellEnd"/>
    </w:p>
    <w:p w14:paraId="4BE1D370" w14:textId="77777777" w:rsidR="00F81C24" w:rsidRPr="00F16265" w:rsidRDefault="00F81C24" w:rsidP="00F81C24">
      <w:pPr>
        <w:rPr>
          <w:i/>
          <w:vanish/>
        </w:rPr>
      </w:pPr>
      <w:r w:rsidRPr="00F16265">
        <w:rPr>
          <w:i/>
        </w:rPr>
        <w:fldChar w:fldCharType="begin"/>
      </w:r>
      <w:r w:rsidRPr="00F16265">
        <w:rPr>
          <w:i/>
        </w:rPr>
        <w:instrText xml:space="preserve"> TC"(</w:instrText>
      </w:r>
      <w:bookmarkStart w:id="2" w:name="DocNumber"/>
      <w:r w:rsidRPr="00F16265">
        <w:rPr>
          <w:i/>
        </w:rPr>
        <w:instrText>A10-0172/2025</w:instrText>
      </w:r>
      <w:bookmarkEnd w:id="2"/>
      <w:r w:rsidRPr="00F16265">
        <w:rPr>
          <w:i/>
        </w:rPr>
        <w:instrText xml:space="preserve"> - Rapporteur: Rihards Kols)"\l3 \n&gt; \* MERGEFORMAT </w:instrText>
      </w:r>
      <w:r w:rsidRPr="00F16265">
        <w:rPr>
          <w:i/>
        </w:rPr>
        <w:fldChar w:fldCharType="end"/>
      </w:r>
    </w:p>
    <w:p w14:paraId="31793DEA" w14:textId="77777777" w:rsidR="00F81C24" w:rsidRPr="00F16265" w:rsidRDefault="00F81C24" w:rsidP="00F81C24">
      <w:pPr>
        <w:rPr>
          <w:vanish/>
        </w:rPr>
      </w:pPr>
      <w:bookmarkStart w:id="3" w:name="Commission"/>
      <w:r w:rsidRPr="00F16265">
        <w:rPr>
          <w:vanish/>
        </w:rPr>
        <w:t>Kumitat għall-Industrija, ir-Riċerka u l-Enerġija</w:t>
      </w:r>
      <w:bookmarkEnd w:id="3"/>
    </w:p>
    <w:p w14:paraId="134905C3" w14:textId="77777777" w:rsidR="00F81C24" w:rsidRPr="00F16265" w:rsidRDefault="00F81C24" w:rsidP="00F81C24">
      <w:pPr>
        <w:rPr>
          <w:vanish/>
        </w:rPr>
      </w:pPr>
      <w:bookmarkStart w:id="4" w:name="PE"/>
      <w:r w:rsidRPr="00F16265">
        <w:rPr>
          <w:vanish/>
        </w:rPr>
        <w:t>PE774.253</w:t>
      </w:r>
      <w:bookmarkEnd w:id="4"/>
    </w:p>
    <w:p w14:paraId="736ED5D0" w14:textId="77777777" w:rsidR="00F81C24" w:rsidRPr="00F16265" w:rsidRDefault="00F81C24" w:rsidP="00F81C24">
      <w:pPr>
        <w:pStyle w:val="ATHeading3"/>
      </w:pPr>
      <w:bookmarkStart w:id="5" w:name="Sujet"/>
      <w:r w:rsidRPr="00F16265">
        <w:t xml:space="preserve">Riżoluzzjoni leġiżlattiva tal-Parlament Ewropew tas-16 ta' Diċembru 2025 dwar il-proposta għal regolament tal-Parlament Ewropew u tal-Kunsill li jemenda r-Regolamenti (UE) 2021/694, (UE) 2021/695, (UE) 2021/697, (UE) 2021/1153, (UE) 2023/1525 u 2024/795 fir-rigward tal-inċentivar ta’ investimenti relatati mad-difiża fil-baġit tal-UE biex jiġi </w:t>
      </w:r>
      <w:proofErr w:type="spellStart"/>
      <w:r w:rsidRPr="00F16265">
        <w:t>implimentat</w:t>
      </w:r>
      <w:proofErr w:type="spellEnd"/>
      <w:r w:rsidRPr="00F16265">
        <w:t xml:space="preserve"> il-Pjan </w:t>
      </w:r>
      <w:proofErr w:type="spellStart"/>
      <w:r w:rsidRPr="00F16265">
        <w:t>ReArm</w:t>
      </w:r>
      <w:proofErr w:type="spellEnd"/>
      <w:r w:rsidRPr="00F16265">
        <w:t xml:space="preserve"> </w:t>
      </w:r>
      <w:proofErr w:type="spellStart"/>
      <w:r w:rsidRPr="00F16265">
        <w:t>Europe</w:t>
      </w:r>
      <w:bookmarkEnd w:id="5"/>
      <w:proofErr w:type="spellEnd"/>
      <w:r w:rsidRPr="00F16265">
        <w:t xml:space="preserve"> </w:t>
      </w:r>
      <w:bookmarkStart w:id="6" w:name="References"/>
      <w:r w:rsidRPr="00F16265">
        <w:t>(COM(2025)0188 – C10-0070/2025 – 2025/0103(COD))</w:t>
      </w:r>
      <w:bookmarkEnd w:id="6"/>
    </w:p>
    <w:p w14:paraId="73C25B9D" w14:textId="77777777" w:rsidR="006C021F" w:rsidRPr="00F16265" w:rsidRDefault="006C021F" w:rsidP="006C021F">
      <w:pPr>
        <w:pStyle w:val="NormalBold"/>
      </w:pPr>
      <w:r w:rsidRPr="00F16265">
        <w:t>(Proċedura leġiżlattiva ordinarja: l-ewwel qari)</w:t>
      </w:r>
    </w:p>
    <w:p w14:paraId="0241860F" w14:textId="77777777" w:rsidR="006C021F" w:rsidRPr="00F16265" w:rsidRDefault="006C021F" w:rsidP="006C021F">
      <w:pPr>
        <w:pStyle w:val="EPComma"/>
      </w:pPr>
      <w:r w:rsidRPr="00F16265">
        <w:rPr>
          <w:i/>
        </w:rPr>
        <w:t>Il-Parlament Ewropew</w:t>
      </w:r>
      <w:r w:rsidRPr="00F16265">
        <w:t>,</w:t>
      </w:r>
    </w:p>
    <w:p w14:paraId="26C08FD8" w14:textId="77777777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l-proposta tal-Kummissjoni lill-Parlament Ewropew u lill-Kunsill (COM(2025)0188),</w:t>
      </w:r>
    </w:p>
    <w:p w14:paraId="445B1342" w14:textId="7663C9F9" w:rsidR="006C021F" w:rsidRDefault="006C021F" w:rsidP="006C021F">
      <w:pPr>
        <w:pStyle w:val="NormalHanging12a"/>
      </w:pPr>
      <w:r w:rsidRPr="00F16265">
        <w:t>–</w:t>
      </w:r>
      <w:r w:rsidRPr="00F16265">
        <w:tab/>
        <w:t>wara li kkunsidra l-Artikolu 294(2) u l-Artikoli 114, 164, 172 u 173, l-Artikolu 175, it-tielet paragrafu, l-Artikoli 176, 177, 178, 182, 183</w:t>
      </w:r>
      <w:r w:rsidR="006F25B8">
        <w:t xml:space="preserve"> u</w:t>
      </w:r>
      <w:r w:rsidRPr="00F16265">
        <w:t xml:space="preserve"> 188 u </w:t>
      </w:r>
      <w:r w:rsidR="00DA7142">
        <w:t xml:space="preserve">l-Artikolu </w:t>
      </w:r>
      <w:r w:rsidRPr="00F16265">
        <w:t>192(1) tat-Trattat dwar il-Funzjonament tal-Unjoni Ewropea, skont liema artikoli l-Kummissjoni ppreżentat il-proposta lill-Parlament (C10-0070/2025),</w:t>
      </w:r>
    </w:p>
    <w:p w14:paraId="747C6A48" w14:textId="6A9DED16" w:rsidR="00DA7142" w:rsidRPr="00F16265" w:rsidRDefault="00DA7142" w:rsidP="006C021F">
      <w:pPr>
        <w:pStyle w:val="NormalHanging12a"/>
      </w:pPr>
      <w:r w:rsidRPr="00F16265">
        <w:t>–</w:t>
      </w:r>
      <w:r w:rsidRPr="00F16265">
        <w:tab/>
        <w:t xml:space="preserve">wara li kkunsidra l-opinjoni tal-Kumitat </w:t>
      </w:r>
      <w:r w:rsidRPr="00DA7142">
        <w:t>għall-Affarijiet Legali dwar il-bażi legali proposta</w:t>
      </w:r>
      <w:r>
        <w:t>,</w:t>
      </w:r>
    </w:p>
    <w:p w14:paraId="74FEA7E2" w14:textId="7220D5CB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l-Artikolu 294(3)</w:t>
      </w:r>
      <w:r w:rsidR="006F25B8">
        <w:t xml:space="preserve"> u</w:t>
      </w:r>
      <w:r w:rsidR="00DA7142">
        <w:t xml:space="preserve"> l-Artikoli 164 u 172, l-Artikolu 173(3), l-Artikolu 175, it-tielet paragrafu, l-Artikoli 177 u 178, l-Artikolu 182(1) u (4), l-Artikolu 183, l-Artikolu 188, it-tieni paragrafu, u l-Artikolu 192(1)</w:t>
      </w:r>
      <w:r w:rsidRPr="00F16265">
        <w:t xml:space="preserve"> tat-Trattat dwar il-Funzjonament tal-Unjoni Ewropea,</w:t>
      </w:r>
    </w:p>
    <w:p w14:paraId="687B924B" w14:textId="77777777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l-valutazzjoni baġitarja maħruġa mill-Kumitat għall-Baġits,</w:t>
      </w:r>
    </w:p>
    <w:p w14:paraId="67A83790" w14:textId="77777777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l-opinjoni tal-Kumitat Ekonomiku u Soċjali Ewropew tat-18 ta’ Settembru 2025</w:t>
      </w:r>
      <w:r w:rsidRPr="00F16265">
        <w:rPr>
          <w:rStyle w:val="FootnoteReference"/>
        </w:rPr>
        <w:footnoteReference w:id="1"/>
      </w:r>
      <w:r w:rsidRPr="00F16265">
        <w:t>,</w:t>
      </w:r>
    </w:p>
    <w:p w14:paraId="3B6873DE" w14:textId="15075FE7" w:rsidR="006C021F" w:rsidRDefault="006C021F" w:rsidP="006C021F">
      <w:pPr>
        <w:pStyle w:val="NormalHanging12a"/>
      </w:pPr>
      <w:r w:rsidRPr="00F16265">
        <w:t>–</w:t>
      </w:r>
      <w:r w:rsidRPr="00F16265">
        <w:tab/>
        <w:t xml:space="preserve">wara li </w:t>
      </w:r>
      <w:proofErr w:type="spellStart"/>
      <w:r w:rsidR="005B2306" w:rsidRPr="00F16265">
        <w:t>kk</w:t>
      </w:r>
      <w:r w:rsidR="005B2306">
        <w:t>unsidra</w:t>
      </w:r>
      <w:proofErr w:type="spellEnd"/>
      <w:r w:rsidR="005B2306">
        <w:t xml:space="preserve"> l-opinjoni</w:t>
      </w:r>
      <w:r w:rsidR="005B2306" w:rsidRPr="00F16265">
        <w:t xml:space="preserve"> </w:t>
      </w:r>
      <w:r w:rsidR="005B2306">
        <w:t>t</w:t>
      </w:r>
      <w:r w:rsidRPr="00F16265">
        <w:t>al-Kumitat tar-Reġjuni</w:t>
      </w:r>
      <w:r w:rsidR="005B2306">
        <w:t xml:space="preserve"> tal-15 ta’ Ottubru 2025</w:t>
      </w:r>
      <w:r w:rsidR="005B2306">
        <w:rPr>
          <w:rStyle w:val="FootnoteReference"/>
        </w:rPr>
        <w:footnoteReference w:id="2"/>
      </w:r>
      <w:r w:rsidRPr="00F16265">
        <w:t>,</w:t>
      </w:r>
    </w:p>
    <w:p w14:paraId="185A7892" w14:textId="6CE92F68" w:rsidR="00DA7142" w:rsidRPr="00F16265" w:rsidRDefault="00DA7142" w:rsidP="006C021F">
      <w:pPr>
        <w:pStyle w:val="NormalHanging12a"/>
      </w:pPr>
      <w:r w:rsidRPr="00F16265">
        <w:t>–</w:t>
      </w:r>
      <w:r w:rsidRPr="00F16265">
        <w:tab/>
      </w:r>
      <w:r>
        <w:t>wara li kkunsidra l-ftehim proviżorju approvat mill-kumitat responsabbli fis-sens tal-</w:t>
      </w:r>
      <w:r>
        <w:lastRenderedPageBreak/>
        <w:t>Artikolu 75(4) tar-Regoli ta' Proċedura tiegħu u l-impenn meħud mir-rappreżentant tal-Kunsill, permezz tal-ittra tal-10 ta’ Novembru 2025, li japprova l-pożizzjoni tal-Parlament, skont l-Artikolu 294(4) tat-Trattat dwar il-Funzjonament tal-Unjoni Ewropea,</w:t>
      </w:r>
    </w:p>
    <w:p w14:paraId="3131DC59" w14:textId="30051870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l-Artikoli 60</w:t>
      </w:r>
      <w:r w:rsidR="00DA7142">
        <w:t>, 41</w:t>
      </w:r>
      <w:r w:rsidRPr="00F16265">
        <w:t xml:space="preserve"> u 58 tar-Regoli ta’ Proċedura tiegħu,</w:t>
      </w:r>
    </w:p>
    <w:p w14:paraId="60DF0DDC" w14:textId="77777777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r-rapport tal-Kumitat għas-Sigurtà u d-Difiża u tal-Kumitat għat-Trasport u t-Turiżmu,</w:t>
      </w:r>
    </w:p>
    <w:p w14:paraId="68238E5B" w14:textId="77777777" w:rsidR="006C021F" w:rsidRPr="00F16265" w:rsidRDefault="006C021F" w:rsidP="006C021F">
      <w:pPr>
        <w:pStyle w:val="NormalHanging12a"/>
      </w:pPr>
      <w:r w:rsidRPr="00F16265">
        <w:t>–</w:t>
      </w:r>
      <w:r w:rsidRPr="00F16265">
        <w:tab/>
        <w:t>wara li kkunsidra r-rapport tal-Kumitat għall-Industrija, ir-Riċerka u l-Enerġija (A10-0172/2025),</w:t>
      </w:r>
    </w:p>
    <w:p w14:paraId="3719264E" w14:textId="77777777" w:rsidR="006C021F" w:rsidRPr="00F16265" w:rsidRDefault="006C021F" w:rsidP="006C021F">
      <w:pPr>
        <w:pStyle w:val="NormalHanging12a"/>
      </w:pPr>
      <w:r w:rsidRPr="00F16265">
        <w:t>1.</w:t>
      </w:r>
      <w:r w:rsidRPr="00F16265">
        <w:tab/>
        <w:t>Jadotta l-pożizzjoni fl-ewwel qari li tidher hawn taħt;</w:t>
      </w:r>
    </w:p>
    <w:p w14:paraId="5ADF51BB" w14:textId="77777777" w:rsidR="006C021F" w:rsidRPr="00F16265" w:rsidRDefault="006C021F" w:rsidP="006C021F">
      <w:pPr>
        <w:pStyle w:val="NormalHanging12a"/>
      </w:pPr>
      <w:r w:rsidRPr="00F16265">
        <w:t>2.</w:t>
      </w:r>
      <w:r w:rsidRPr="00F16265">
        <w:tab/>
        <w:t xml:space="preserve">Jitlob lill-Kummissjoni terġa’ tirreferi l-kwistjoni lill-Parlament jekk tibdel il-proposta tagħha, </w:t>
      </w:r>
      <w:proofErr w:type="spellStart"/>
      <w:r w:rsidRPr="00F16265">
        <w:t>temendaha</w:t>
      </w:r>
      <w:proofErr w:type="spellEnd"/>
      <w:r w:rsidRPr="00F16265">
        <w:t xml:space="preserve"> b’mod sustanzjali jew ikollha l-ħsieb li </w:t>
      </w:r>
      <w:proofErr w:type="spellStart"/>
      <w:r w:rsidRPr="00F16265">
        <w:t>temendaha</w:t>
      </w:r>
      <w:proofErr w:type="spellEnd"/>
      <w:r w:rsidRPr="00F16265">
        <w:t xml:space="preserve"> b’mod sustanzjali;</w:t>
      </w:r>
    </w:p>
    <w:p w14:paraId="444F5324" w14:textId="77777777" w:rsidR="006C021F" w:rsidRPr="00F16265" w:rsidRDefault="006C021F" w:rsidP="006C021F">
      <w:pPr>
        <w:pStyle w:val="NormalHanging12a"/>
      </w:pPr>
      <w:r w:rsidRPr="00F16265">
        <w:t>3.</w:t>
      </w:r>
      <w:r w:rsidRPr="00F16265">
        <w:tab/>
        <w:t>Jagħti istruzzjonijiet lill-President tiegħu biex tgħaddi l-pożizzjoni tal-Parlament lill-Kunsill u lill-Kummissjoni kif ukoll lill-parlamenti nazzjonali.</w:t>
      </w:r>
    </w:p>
    <w:p w14:paraId="32356E9C" w14:textId="77777777" w:rsidR="006C021F" w:rsidRPr="00F16265" w:rsidRDefault="006C021F" w:rsidP="006C021F"/>
    <w:p w14:paraId="36AC0DE3" w14:textId="77777777" w:rsidR="00DA7142" w:rsidRDefault="00DA7142" w:rsidP="006C021F">
      <w:pPr>
        <w:pStyle w:val="AmNumberTabs"/>
        <w:keepNext/>
        <w:sectPr w:rsidR="00DA7142" w:rsidSect="00F162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03429FB3" w14:textId="77777777" w:rsidR="00DA7142" w:rsidRPr="00763275" w:rsidRDefault="00DA7142" w:rsidP="00F340F6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P10_TC1-COD(2025)0103</w:t>
      </w:r>
    </w:p>
    <w:p w14:paraId="0D8C1C83" w14:textId="77777777" w:rsidR="00065543" w:rsidRDefault="00DA7142" w:rsidP="00F340F6">
      <w:pPr>
        <w:spacing w:before="360" w:after="360"/>
        <w:rPr>
          <w:rFonts w:eastAsia="Calibr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qari </w:t>
      </w:r>
      <w:r w:rsidRPr="00DA7142">
        <w:rPr>
          <w:rFonts w:eastAsia="Calibri"/>
          <w:b/>
          <w:bCs/>
        </w:rPr>
        <w:t>tas-16</w:t>
      </w:r>
      <w:r w:rsidRPr="00DA7142">
        <w:rPr>
          <w:b/>
        </w:rPr>
        <w:t xml:space="preserve"> </w:t>
      </w:r>
      <w:r w:rsidRPr="00DA7142">
        <w:rPr>
          <w:rFonts w:eastAsia="Calibri"/>
          <w:b/>
          <w:bCs/>
        </w:rPr>
        <w:t>ta' Diċembru 2025</w:t>
      </w:r>
      <w:r w:rsidRPr="00CE3598">
        <w:rPr>
          <w:rFonts w:eastAsia="Calibri"/>
          <w:b/>
          <w:bCs/>
        </w:rPr>
        <w:t xml:space="preserve"> bil-ħsieb tal-</w:t>
      </w:r>
      <w:r w:rsidRPr="00DA7142">
        <w:rPr>
          <w:rFonts w:eastAsia="Calibri"/>
          <w:b/>
          <w:bCs/>
        </w:rPr>
        <w:t>adozzjoni tar-Regolament (UE) 2025/...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065543" w:rsidRPr="00065543">
        <w:rPr>
          <w:rFonts w:eastAsia="Calibri"/>
          <w:b/>
          <w:color w:val="000000"/>
          <w:szCs w:val="22"/>
          <w:lang w:eastAsia="en-US"/>
        </w:rPr>
        <w:t xml:space="preserve">li jemenda r-Regolamenti (UE) 2021/694, (UE) 2021/695, (UE) 2021/697, (UE) 2021/1153 ▌u (UE) 2024/795, fir-rigward tal-inċentivar ta’ investiment relatat mad-difiża fil-baġit tal-UE biex jiġi </w:t>
      </w:r>
      <w:proofErr w:type="spellStart"/>
      <w:r w:rsidR="00065543" w:rsidRPr="00065543">
        <w:rPr>
          <w:rFonts w:eastAsia="Calibri"/>
          <w:b/>
          <w:color w:val="000000"/>
          <w:szCs w:val="22"/>
          <w:lang w:eastAsia="en-US"/>
        </w:rPr>
        <w:t>implimentat</w:t>
      </w:r>
      <w:proofErr w:type="spellEnd"/>
      <w:r w:rsidR="00065543" w:rsidRPr="00065543">
        <w:rPr>
          <w:rFonts w:eastAsia="Calibri"/>
          <w:b/>
          <w:color w:val="000000"/>
          <w:szCs w:val="22"/>
          <w:lang w:eastAsia="en-US"/>
        </w:rPr>
        <w:t xml:space="preserve"> il-Pjan </w:t>
      </w:r>
      <w:proofErr w:type="spellStart"/>
      <w:r w:rsidR="00065543" w:rsidRPr="00065543">
        <w:rPr>
          <w:rFonts w:eastAsia="Calibri"/>
          <w:b/>
          <w:color w:val="000000"/>
          <w:szCs w:val="22"/>
          <w:lang w:eastAsia="en-US"/>
        </w:rPr>
        <w:t>ReArm</w:t>
      </w:r>
      <w:proofErr w:type="spellEnd"/>
      <w:r w:rsidR="00065543" w:rsidRPr="00065543">
        <w:rPr>
          <w:rFonts w:eastAsia="Calibri"/>
          <w:b/>
          <w:color w:val="000000"/>
          <w:szCs w:val="22"/>
          <w:lang w:eastAsia="en-US"/>
        </w:rPr>
        <w:t xml:space="preserve"> </w:t>
      </w:r>
      <w:proofErr w:type="spellStart"/>
      <w:r w:rsidR="00065543" w:rsidRPr="00065543">
        <w:rPr>
          <w:rFonts w:eastAsia="Calibri"/>
          <w:b/>
          <w:color w:val="000000"/>
          <w:szCs w:val="22"/>
          <w:lang w:eastAsia="en-US"/>
        </w:rPr>
        <w:t>Europe</w:t>
      </w:r>
      <w:proofErr w:type="spellEnd"/>
    </w:p>
    <w:p w14:paraId="1D003776" w14:textId="0E1E18D8" w:rsidR="00BE196D" w:rsidRPr="00BE196D" w:rsidRDefault="00BE196D" w:rsidP="00F340F6">
      <w:pPr>
        <w:spacing w:before="360" w:after="360"/>
        <w:rPr>
          <w:rFonts w:eastAsia="Calibri"/>
          <w:b/>
          <w:color w:val="000000"/>
          <w:szCs w:val="22"/>
          <w:lang w:eastAsia="en-US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BE196D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</w:t>
      </w:r>
      <w:r w:rsidRPr="00BE196D">
        <w:rPr>
          <w:i/>
        </w:rPr>
        <w:t xml:space="preserve">Regolament </w:t>
      </w:r>
      <w:r w:rsidRPr="00BE196D">
        <w:rPr>
          <w:rFonts w:eastAsia="Calibri"/>
          <w:i/>
          <w:color w:val="000000"/>
          <w:szCs w:val="22"/>
          <w:lang w:eastAsia="en-US"/>
        </w:rPr>
        <w:t>(U</w:t>
      </w:r>
      <w:r>
        <w:rPr>
          <w:rFonts w:eastAsia="Calibri"/>
          <w:i/>
          <w:color w:val="000000"/>
          <w:szCs w:val="22"/>
          <w:lang w:eastAsia="en-US"/>
        </w:rPr>
        <w:t>E</w:t>
      </w:r>
      <w:r w:rsidRPr="00BE196D">
        <w:rPr>
          <w:rFonts w:eastAsia="Calibri"/>
          <w:i/>
          <w:color w:val="000000"/>
          <w:szCs w:val="22"/>
          <w:lang w:eastAsia="en-US"/>
        </w:rPr>
        <w:t>) 2025/2653.)</w:t>
      </w:r>
    </w:p>
    <w:sectPr w:rsidR="00BE196D" w:rsidRPr="00BE196D" w:rsidSect="00F162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53849" w14:textId="77777777" w:rsidR="00F81C24" w:rsidRPr="00F16265" w:rsidRDefault="00F81C24">
      <w:r w:rsidRPr="00F16265">
        <w:separator/>
      </w:r>
    </w:p>
  </w:endnote>
  <w:endnote w:type="continuationSeparator" w:id="0">
    <w:p w14:paraId="7DF47FE6" w14:textId="77777777" w:rsidR="00F81C24" w:rsidRPr="00F16265" w:rsidRDefault="00F81C24">
      <w:r w:rsidRPr="00F162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7C25" w14:textId="77777777" w:rsidR="00064002" w:rsidRPr="00F162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DBA6A" w14:textId="77777777" w:rsidR="00064002" w:rsidRPr="00F162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7326" w14:textId="77777777" w:rsidR="00064002" w:rsidRPr="00F162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D398F" w14:textId="77777777" w:rsidR="00F81C24" w:rsidRPr="00F16265" w:rsidRDefault="00F81C24">
      <w:r w:rsidRPr="00F16265">
        <w:separator/>
      </w:r>
    </w:p>
  </w:footnote>
  <w:footnote w:type="continuationSeparator" w:id="0">
    <w:p w14:paraId="0ABE8F58" w14:textId="77777777" w:rsidR="00F81C24" w:rsidRPr="00F16265" w:rsidRDefault="00F81C24">
      <w:r w:rsidRPr="00F16265">
        <w:continuationSeparator/>
      </w:r>
    </w:p>
  </w:footnote>
  <w:footnote w:id="1">
    <w:p w14:paraId="23B52064" w14:textId="46E4588E" w:rsidR="006C021F" w:rsidRPr="00065543" w:rsidRDefault="006C021F" w:rsidP="00F340F6">
      <w:pPr>
        <w:pStyle w:val="FootnoteText"/>
        <w:ind w:left="709" w:hanging="709"/>
        <w:rPr>
          <w:sz w:val="24"/>
          <w:szCs w:val="24"/>
          <w:lang w:val="mt-MT"/>
        </w:rPr>
      </w:pPr>
      <w:r w:rsidRPr="00065543">
        <w:rPr>
          <w:rStyle w:val="FootnoteReference"/>
          <w:sz w:val="24"/>
          <w:szCs w:val="24"/>
          <w:lang w:val="mt-MT"/>
        </w:rPr>
        <w:footnoteRef/>
      </w:r>
      <w:r w:rsidR="00F16265" w:rsidRPr="00065543">
        <w:rPr>
          <w:color w:val="1E1E1F"/>
          <w:sz w:val="24"/>
          <w:szCs w:val="24"/>
          <w:shd w:val="clear" w:color="auto" w:fill="FFFFFF"/>
          <w:lang w:val="mt-MT"/>
        </w:rPr>
        <w:t xml:space="preserve"> </w:t>
      </w:r>
      <w:r w:rsidR="00F16265" w:rsidRPr="00065543">
        <w:rPr>
          <w:color w:val="1E1E1F"/>
          <w:sz w:val="24"/>
          <w:szCs w:val="24"/>
          <w:shd w:val="clear" w:color="auto" w:fill="FFFFFF"/>
          <w:lang w:val="mt-MT"/>
        </w:rPr>
        <w:tab/>
      </w:r>
      <w:r w:rsidRPr="00065543">
        <w:rPr>
          <w:color w:val="1E1E1F"/>
          <w:sz w:val="24"/>
          <w:szCs w:val="24"/>
          <w:shd w:val="clear" w:color="auto" w:fill="FFFFFF"/>
          <w:lang w:val="mt-MT"/>
        </w:rPr>
        <w:t>Għadha mhijiex ippubblikata fil-Ġurnal Uffiċjali.</w:t>
      </w:r>
    </w:p>
  </w:footnote>
  <w:footnote w:id="2">
    <w:p w14:paraId="63DAF2B9" w14:textId="67509F19" w:rsidR="005B2306" w:rsidRPr="00F340F6" w:rsidRDefault="005B2306" w:rsidP="00F340F6">
      <w:pPr>
        <w:pStyle w:val="FootnoteText"/>
        <w:ind w:left="709" w:hanging="709"/>
        <w:rPr>
          <w:sz w:val="24"/>
          <w:szCs w:val="24"/>
          <w:lang w:val="mt-MT"/>
        </w:rPr>
      </w:pPr>
      <w:r w:rsidRPr="00F340F6">
        <w:rPr>
          <w:rStyle w:val="FootnoteReference"/>
          <w:sz w:val="24"/>
          <w:szCs w:val="24"/>
        </w:rPr>
        <w:footnoteRef/>
      </w:r>
      <w:r w:rsidRPr="00F340F6">
        <w:rPr>
          <w:sz w:val="24"/>
          <w:szCs w:val="24"/>
          <w:lang w:val="fi-FI"/>
        </w:rPr>
        <w:t xml:space="preserve"> </w:t>
      </w:r>
      <w:r w:rsidRPr="00F340F6">
        <w:rPr>
          <w:sz w:val="24"/>
          <w:szCs w:val="24"/>
          <w:lang w:val="mt-MT"/>
        </w:rPr>
        <w:tab/>
        <w:t xml:space="preserve">ĠU C, C/2025/6325, 3.12.2025, ELI: </w:t>
      </w:r>
      <w:r w:rsidR="00BE196D">
        <w:fldChar w:fldCharType="begin"/>
      </w:r>
      <w:r w:rsidR="00BE196D" w:rsidRPr="00BE196D">
        <w:rPr>
          <w:lang w:val="fi-FI"/>
        </w:rPr>
        <w:instrText>HYPERLINK "http://data.europa.eu/eli/C/2025/6325/oj"</w:instrText>
      </w:r>
      <w:r w:rsidR="00BE196D">
        <w:fldChar w:fldCharType="separate"/>
      </w:r>
      <w:r w:rsidRPr="00F340F6">
        <w:rPr>
          <w:rStyle w:val="Hyperlink"/>
          <w:sz w:val="24"/>
          <w:szCs w:val="24"/>
          <w:lang w:val="mt-MT"/>
        </w:rPr>
        <w:t>http://data.europa.eu/eli/C/2025/6325/oj</w:t>
      </w:r>
      <w:r w:rsidR="00BE196D">
        <w:rPr>
          <w:rStyle w:val="Hyperlink"/>
          <w:sz w:val="24"/>
          <w:szCs w:val="24"/>
          <w:lang w:val="mt-MT"/>
        </w:rPr>
        <w:fldChar w:fldCharType="end"/>
      </w:r>
      <w:r w:rsidRPr="00F340F6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F146F" w14:textId="77777777" w:rsidR="00064002" w:rsidRPr="00F162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A5ED" w14:textId="77777777" w:rsidR="00064002" w:rsidRPr="00F162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B1682" w14:textId="77777777" w:rsidR="00064002" w:rsidRPr="00F162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9655830">
    <w:abstractNumId w:val="9"/>
  </w:num>
  <w:num w:numId="2" w16cid:durableId="2050837106">
    <w:abstractNumId w:val="9"/>
  </w:num>
  <w:num w:numId="3" w16cid:durableId="863519783">
    <w:abstractNumId w:val="7"/>
  </w:num>
  <w:num w:numId="4" w16cid:durableId="1713921744">
    <w:abstractNumId w:val="7"/>
  </w:num>
  <w:num w:numId="5" w16cid:durableId="292441327">
    <w:abstractNumId w:val="6"/>
  </w:num>
  <w:num w:numId="6" w16cid:durableId="1276592641">
    <w:abstractNumId w:val="6"/>
  </w:num>
  <w:num w:numId="7" w16cid:durableId="313148983">
    <w:abstractNumId w:val="5"/>
  </w:num>
  <w:num w:numId="8" w16cid:durableId="1728648160">
    <w:abstractNumId w:val="5"/>
  </w:num>
  <w:num w:numId="9" w16cid:durableId="128057659">
    <w:abstractNumId w:val="4"/>
  </w:num>
  <w:num w:numId="10" w16cid:durableId="46492725">
    <w:abstractNumId w:val="4"/>
  </w:num>
  <w:num w:numId="11" w16cid:durableId="517695722">
    <w:abstractNumId w:val="8"/>
  </w:num>
  <w:num w:numId="12" w16cid:durableId="846141693">
    <w:abstractNumId w:val="8"/>
  </w:num>
  <w:num w:numId="13" w16cid:durableId="2065176128">
    <w:abstractNumId w:val="3"/>
  </w:num>
  <w:num w:numId="14" w16cid:durableId="1655718458">
    <w:abstractNumId w:val="3"/>
  </w:num>
  <w:num w:numId="15" w16cid:durableId="86582704">
    <w:abstractNumId w:val="2"/>
  </w:num>
  <w:num w:numId="16" w16cid:durableId="145555852">
    <w:abstractNumId w:val="2"/>
  </w:num>
  <w:num w:numId="17" w16cid:durableId="254361605">
    <w:abstractNumId w:val="1"/>
  </w:num>
  <w:num w:numId="18" w16cid:durableId="1282147095">
    <w:abstractNumId w:val="1"/>
  </w:num>
  <w:num w:numId="19" w16cid:durableId="157774713">
    <w:abstractNumId w:val="0"/>
  </w:num>
  <w:num w:numId="20" w16cid:durableId="151416149">
    <w:abstractNumId w:val="0"/>
  </w:num>
  <w:num w:numId="21" w16cid:durableId="545071374">
    <w:abstractNumId w:val="9"/>
  </w:num>
  <w:num w:numId="22" w16cid:durableId="218250969">
    <w:abstractNumId w:val="7"/>
  </w:num>
  <w:num w:numId="23" w16cid:durableId="377708355">
    <w:abstractNumId w:val="6"/>
  </w:num>
  <w:num w:numId="24" w16cid:durableId="1525827596">
    <w:abstractNumId w:val="5"/>
  </w:num>
  <w:num w:numId="25" w16cid:durableId="260068630">
    <w:abstractNumId w:val="4"/>
  </w:num>
  <w:num w:numId="26" w16cid:durableId="114981206">
    <w:abstractNumId w:val="8"/>
  </w:num>
  <w:num w:numId="27" w16cid:durableId="1539660185">
    <w:abstractNumId w:val="3"/>
  </w:num>
  <w:num w:numId="28" w16cid:durableId="581375974">
    <w:abstractNumId w:val="2"/>
  </w:num>
  <w:num w:numId="29" w16cid:durableId="989791177">
    <w:abstractNumId w:val="1"/>
  </w:num>
  <w:num w:numId="30" w16cid:durableId="1601836839">
    <w:abstractNumId w:val="0"/>
  </w:num>
  <w:num w:numId="31" w16cid:durableId="478697201">
    <w:abstractNumId w:val="9"/>
  </w:num>
  <w:num w:numId="32" w16cid:durableId="1576016143">
    <w:abstractNumId w:val="7"/>
  </w:num>
  <w:num w:numId="33" w16cid:durableId="863785295">
    <w:abstractNumId w:val="6"/>
  </w:num>
  <w:num w:numId="34" w16cid:durableId="51318961">
    <w:abstractNumId w:val="5"/>
  </w:num>
  <w:num w:numId="35" w16cid:durableId="865482654">
    <w:abstractNumId w:val="4"/>
  </w:num>
  <w:num w:numId="36" w16cid:durableId="1766608740">
    <w:abstractNumId w:val="8"/>
  </w:num>
  <w:num w:numId="37" w16cid:durableId="1888948924">
    <w:abstractNumId w:val="3"/>
  </w:num>
  <w:num w:numId="38" w16cid:durableId="200868864">
    <w:abstractNumId w:val="2"/>
  </w:num>
  <w:num w:numId="39" w16cid:durableId="674069256">
    <w:abstractNumId w:val="1"/>
  </w:num>
  <w:num w:numId="40" w16cid:durableId="716903055">
    <w:abstractNumId w:val="0"/>
  </w:num>
  <w:num w:numId="41" w16cid:durableId="334110387">
    <w:abstractNumId w:val="10"/>
  </w:num>
  <w:num w:numId="42" w16cid:durableId="1994287560">
    <w:abstractNumId w:val="10"/>
  </w:num>
  <w:num w:numId="43" w16cid:durableId="1747608225">
    <w:abstractNumId w:val="10"/>
  </w:num>
  <w:num w:numId="44" w16cid:durableId="205605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MT"/>
    <w:docVar w:name="dvnumam" w:val="0"/>
    <w:docVar w:name="dvpe" w:val="774.253"/>
    <w:docVar w:name="dvrapporteur" w:val="Rapporteur: "/>
    <w:docVar w:name="dvstar" w:val="***I"/>
    <w:docVar w:name="dvtitre" w:val="Riżoluzzjoni leġiżlattiva tal-Parlament Ewropew tas-16 ta' Diċembru 2025 dwar il-proposta għal regolament tal-Parlament Ewropew u tal-Kunsill li jemenda r-Regolamenti (UE) 2021/694, (UE) 2021/695, (UE) 2021/697, (UE) 2021/1153, (UE) 2023/1525 u 2024/795 fir-rigward tal-inċentivar ta’ investimenti relatati mad-difiża fil-baġit tal-UE biex jiġi implimentat il-Pjan ReArm Europe(COM(2025)0188 – C10-0070/2025 – 2025/0103(COD))"/>
  </w:docVars>
  <w:rsids>
    <w:rsidRoot w:val="00F81C24"/>
    <w:rsid w:val="00002272"/>
    <w:rsid w:val="000403DF"/>
    <w:rsid w:val="00064002"/>
    <w:rsid w:val="00065543"/>
    <w:rsid w:val="000677B9"/>
    <w:rsid w:val="000831BA"/>
    <w:rsid w:val="0009512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4F5"/>
    <w:rsid w:val="00471C19"/>
    <w:rsid w:val="004867E3"/>
    <w:rsid w:val="00494A28"/>
    <w:rsid w:val="004C0004"/>
    <w:rsid w:val="004C5D52"/>
    <w:rsid w:val="0050509D"/>
    <w:rsid w:val="0050519A"/>
    <w:rsid w:val="005072A1"/>
    <w:rsid w:val="00514517"/>
    <w:rsid w:val="00545827"/>
    <w:rsid w:val="00560270"/>
    <w:rsid w:val="005B2306"/>
    <w:rsid w:val="005C2568"/>
    <w:rsid w:val="005F1B17"/>
    <w:rsid w:val="006037C0"/>
    <w:rsid w:val="006464EF"/>
    <w:rsid w:val="006631B6"/>
    <w:rsid w:val="00680577"/>
    <w:rsid w:val="006C021F"/>
    <w:rsid w:val="006E7392"/>
    <w:rsid w:val="006F25B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96A"/>
    <w:rsid w:val="00A43E52"/>
    <w:rsid w:val="00A4678D"/>
    <w:rsid w:val="00A778C7"/>
    <w:rsid w:val="00AA6A1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96D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14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6265"/>
    <w:rsid w:val="00F340F6"/>
    <w:rsid w:val="00F45051"/>
    <w:rsid w:val="00F5134D"/>
    <w:rsid w:val="00F74202"/>
    <w:rsid w:val="00F81C2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4EDC8"/>
  <w15:chartTrackingRefBased/>
  <w15:docId w15:val="{78622105-6614-4B19-A897-A3A40B648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021F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C021F"/>
    <w:rPr>
      <w:b/>
    </w:rPr>
  </w:style>
  <w:style w:type="paragraph" w:customStyle="1" w:styleId="NormalHanging12a">
    <w:name w:val="NormalHanging12a"/>
    <w:basedOn w:val="Normal"/>
    <w:uiPriority w:val="99"/>
    <w:rsid w:val="006C021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C021F"/>
    <w:pPr>
      <w:spacing w:after="240"/>
      <w:jc w:val="center"/>
    </w:pPr>
  </w:style>
  <w:style w:type="paragraph" w:customStyle="1" w:styleId="AmNumberTabs">
    <w:name w:val="AmNumberTabs"/>
    <w:basedOn w:val="Normal"/>
    <w:rsid w:val="006C02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C021F"/>
    <w:pPr>
      <w:spacing w:before="720" w:after="240"/>
      <w:jc w:val="center"/>
    </w:pPr>
  </w:style>
  <w:style w:type="character" w:customStyle="1" w:styleId="NormalBoldChar">
    <w:name w:val="NormalBold Char"/>
    <w:basedOn w:val="DefaultParagraphFont"/>
    <w:link w:val="NormalBold"/>
    <w:locked/>
    <w:rsid w:val="006C021F"/>
    <w:rPr>
      <w:b/>
      <w:sz w:val="24"/>
      <w:lang w:val="mt-MT"/>
    </w:rPr>
  </w:style>
  <w:style w:type="character" w:styleId="Hyperlink">
    <w:name w:val="Hyperlink"/>
    <w:uiPriority w:val="99"/>
    <w:unhideWhenUsed/>
    <w:rsid w:val="006C021F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6C021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021F"/>
    <w:rPr>
      <w:lang w:val="mt-MT"/>
    </w:rPr>
  </w:style>
  <w:style w:type="paragraph" w:styleId="Revision">
    <w:name w:val="Revision"/>
    <w:hidden/>
    <w:uiPriority w:val="99"/>
    <w:semiHidden/>
    <w:rsid w:val="005B2306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B23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51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3075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2026-03-10T12:40:00Z</dcterms:created>
  <dcterms:modified xsi:type="dcterms:W3CDTF">2026-03-10T12:40:00Z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