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6830" w14:paraId="10442F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B37843" w14:textId="77777777" w:rsidR="00751A4A" w:rsidRPr="000D6830" w:rsidRDefault="00D23EFA" w:rsidP="0010095E">
            <w:pPr>
              <w:pStyle w:val="EPName"/>
            </w:pPr>
            <w:r w:rsidRPr="000D6830">
              <w:t>Europaparlamentet</w:t>
            </w:r>
          </w:p>
          <w:p w14:paraId="37195B10" w14:textId="77777777" w:rsidR="00751A4A" w:rsidRPr="000D68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6830">
              <w:t>2024</w:t>
            </w:r>
            <w:r w:rsidR="00817416" w:rsidRPr="000D6830">
              <w:t>-202</w:t>
            </w:r>
            <w:r w:rsidRPr="000D6830">
              <w:t>9</w:t>
            </w:r>
          </w:p>
        </w:tc>
        <w:tc>
          <w:tcPr>
            <w:tcW w:w="2268" w:type="dxa"/>
            <w:shd w:val="clear" w:color="auto" w:fill="auto"/>
          </w:tcPr>
          <w:p w14:paraId="62C73B8B" w14:textId="77777777" w:rsidR="00751A4A" w:rsidRPr="000D6830" w:rsidRDefault="00187494" w:rsidP="0010095E">
            <w:pPr>
              <w:pStyle w:val="EPLogo"/>
            </w:pPr>
            <w:r w:rsidRPr="000D6830">
              <w:rPr>
                <w:noProof/>
                <w:lang w:eastAsia="ja-JP"/>
              </w:rPr>
              <w:drawing>
                <wp:inline distT="0" distB="0" distL="0" distR="0" wp14:anchorId="2FBCB93A" wp14:editId="761ABA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D81EE1" w14:textId="77777777" w:rsidR="00D058B8" w:rsidRPr="000D6830" w:rsidRDefault="00D058B8" w:rsidP="004C5D52">
      <w:pPr>
        <w:pStyle w:val="LineTop"/>
      </w:pPr>
    </w:p>
    <w:p w14:paraId="58255928" w14:textId="77777777" w:rsidR="00680577" w:rsidRPr="000D6830" w:rsidRDefault="00D23EFA" w:rsidP="00680577">
      <w:pPr>
        <w:pStyle w:val="EPBodyTA1"/>
      </w:pPr>
      <w:r w:rsidRPr="000D6830">
        <w:t>ANTAGNA TEXTER</w:t>
      </w:r>
    </w:p>
    <w:p w14:paraId="2BDA2EF2" w14:textId="77777777" w:rsidR="00D058B8" w:rsidRPr="000D6830" w:rsidRDefault="00D058B8" w:rsidP="00D058B8">
      <w:pPr>
        <w:pStyle w:val="LineBottom"/>
      </w:pPr>
    </w:p>
    <w:p w14:paraId="6C47C477" w14:textId="18BD139A" w:rsidR="00D23EFA" w:rsidRPr="000D6830" w:rsidRDefault="00D23EFA" w:rsidP="00D23EFA">
      <w:pPr>
        <w:pStyle w:val="ATHeading1"/>
      </w:pPr>
      <w:bookmarkStart w:id="0" w:name="TANumber"/>
      <w:r w:rsidRPr="000D6830">
        <w:t>P10_TA(2025)0</w:t>
      </w:r>
      <w:bookmarkEnd w:id="0"/>
      <w:r w:rsidR="00B23948">
        <w:t>320</w:t>
      </w:r>
    </w:p>
    <w:p w14:paraId="1848FF2C" w14:textId="77777777" w:rsidR="00D23EFA" w:rsidRPr="000D6830" w:rsidRDefault="00D23EFA" w:rsidP="00D23EFA">
      <w:pPr>
        <w:pStyle w:val="ATHeading2"/>
      </w:pPr>
      <w:bookmarkStart w:id="1" w:name="title"/>
      <w:r w:rsidRPr="000D6830">
        <w:t xml:space="preserve">Incitament till försvarsrelaterade investeringar i EU:s budget för genomförande av </w:t>
      </w:r>
      <w:proofErr w:type="spellStart"/>
      <w:r w:rsidRPr="000D6830">
        <w:t>ReArm</w:t>
      </w:r>
      <w:proofErr w:type="spellEnd"/>
      <w:r w:rsidRPr="000D6830">
        <w:t xml:space="preserve"> </w:t>
      </w:r>
      <w:proofErr w:type="spellStart"/>
      <w:r w:rsidRPr="000D6830">
        <w:t>Europe</w:t>
      </w:r>
      <w:proofErr w:type="spellEnd"/>
    </w:p>
    <w:p w14:paraId="4371EADD" w14:textId="77777777" w:rsidR="00D23EFA" w:rsidRPr="000D6830" w:rsidRDefault="00D23EFA" w:rsidP="00D23EFA">
      <w:pPr>
        <w:rPr>
          <w:i/>
          <w:vanish/>
        </w:rPr>
      </w:pPr>
      <w:r w:rsidRPr="000D6830">
        <w:rPr>
          <w:i/>
        </w:rPr>
        <w:fldChar w:fldCharType="begin"/>
      </w:r>
      <w:r w:rsidRPr="000D6830">
        <w:rPr>
          <w:i/>
        </w:rPr>
        <w:instrText xml:space="preserve"> TC"(</w:instrText>
      </w:r>
      <w:bookmarkStart w:id="2" w:name="DocNumber"/>
      <w:r w:rsidRPr="000D6830">
        <w:rPr>
          <w:i/>
        </w:rPr>
        <w:instrText>A10-0172/2025</w:instrText>
      </w:r>
      <w:bookmarkEnd w:id="2"/>
      <w:r w:rsidRPr="000D6830">
        <w:rPr>
          <w:i/>
        </w:rPr>
        <w:instrText xml:space="preserve"> - Föredragande: Rihards Kols)"\l3 \n&gt; \* MERGEFORMAT </w:instrText>
      </w:r>
      <w:r w:rsidRPr="000D6830">
        <w:rPr>
          <w:i/>
        </w:rPr>
        <w:fldChar w:fldCharType="end"/>
      </w:r>
    </w:p>
    <w:p w14:paraId="044BFCC0" w14:textId="77777777" w:rsidR="00D23EFA" w:rsidRPr="000D6830" w:rsidRDefault="00D23EFA" w:rsidP="00D23EFA">
      <w:pPr>
        <w:rPr>
          <w:vanish/>
        </w:rPr>
      </w:pPr>
      <w:bookmarkStart w:id="3" w:name="Commission"/>
      <w:r w:rsidRPr="000D6830">
        <w:rPr>
          <w:vanish/>
        </w:rPr>
        <w:t>Utskottet för industrifrågor, forskning och energi</w:t>
      </w:r>
      <w:bookmarkEnd w:id="3"/>
    </w:p>
    <w:p w14:paraId="722C0AC5" w14:textId="77777777" w:rsidR="00D23EFA" w:rsidRPr="000D6830" w:rsidRDefault="00D23EFA" w:rsidP="00D23EFA">
      <w:pPr>
        <w:rPr>
          <w:vanish/>
        </w:rPr>
      </w:pPr>
      <w:bookmarkStart w:id="4" w:name="PE"/>
      <w:r w:rsidRPr="000D6830">
        <w:rPr>
          <w:vanish/>
        </w:rPr>
        <w:t>PE774.253</w:t>
      </w:r>
      <w:bookmarkEnd w:id="4"/>
    </w:p>
    <w:p w14:paraId="1EA60A2D" w14:textId="35E6283C" w:rsidR="00D23EFA" w:rsidRPr="000D6830" w:rsidRDefault="00D23EFA" w:rsidP="00D23EFA">
      <w:pPr>
        <w:pStyle w:val="ATHeading3"/>
      </w:pPr>
      <w:bookmarkStart w:id="5" w:name="Sujet"/>
      <w:r w:rsidRPr="000D6830">
        <w:t xml:space="preserve">Europaparlamentets lagstiftningsresolution av den </w:t>
      </w:r>
      <w:r w:rsidR="009A4EB4" w:rsidRPr="000D6830">
        <w:t xml:space="preserve">16 december </w:t>
      </w:r>
      <w:r w:rsidRPr="000D6830">
        <w:t xml:space="preserve">2025 om förslag till Europaparlamentets och rådets förordning om ändring av förordningarna (EU) 2021/694, (EU) 2021/695, (EU) 2021/697, (EU) 2021/1153, (EU) 2023/1525 och (EU) 2024/795 vad gäller incitament till försvarsrelaterade investeringar i EU:s budget för genomförande av </w:t>
      </w:r>
      <w:proofErr w:type="spellStart"/>
      <w:r w:rsidRPr="000D6830">
        <w:t>ReArm</w:t>
      </w:r>
      <w:proofErr w:type="spellEnd"/>
      <w:r w:rsidRPr="000D6830">
        <w:t xml:space="preserve"> </w:t>
      </w:r>
      <w:proofErr w:type="spellStart"/>
      <w:r w:rsidRPr="000D6830">
        <w:t>Europe</w:t>
      </w:r>
      <w:bookmarkEnd w:id="5"/>
      <w:proofErr w:type="spellEnd"/>
      <w:r w:rsidRPr="000D6830">
        <w:t xml:space="preserve"> </w:t>
      </w:r>
      <w:bookmarkStart w:id="6" w:name="References"/>
      <w:r w:rsidRPr="000D6830">
        <w:t>(COM(2025)0188 – C10-0070/2025 – 2025/0103(COD))</w:t>
      </w:r>
      <w:bookmarkEnd w:id="6"/>
    </w:p>
    <w:p w14:paraId="05B2CE14" w14:textId="77777777" w:rsidR="00400155" w:rsidRPr="000D6830" w:rsidRDefault="00400155" w:rsidP="00400155">
      <w:pPr>
        <w:pStyle w:val="NormalBold"/>
      </w:pPr>
      <w:r w:rsidRPr="000D6830">
        <w:t>(Ordinarie lagstiftningsförfarande: första behandlingen)</w:t>
      </w:r>
    </w:p>
    <w:p w14:paraId="37987E41" w14:textId="77777777" w:rsidR="00400155" w:rsidRPr="000D6830" w:rsidRDefault="00400155" w:rsidP="00400155">
      <w:pPr>
        <w:pStyle w:val="EPComma"/>
      </w:pPr>
      <w:r w:rsidRPr="000D6830">
        <w:rPr>
          <w:i/>
        </w:rPr>
        <w:t>Europaparlamentet utfärdar denna resolution</w:t>
      </w:r>
    </w:p>
    <w:p w14:paraId="703044CC" w14:textId="77777777" w:rsidR="00400155" w:rsidRPr="000D6830" w:rsidRDefault="00400155" w:rsidP="00400155">
      <w:pPr>
        <w:pStyle w:val="NormalHanging12a"/>
      </w:pPr>
      <w:r w:rsidRPr="000D6830">
        <w:t>–</w:t>
      </w:r>
      <w:r w:rsidRPr="000D6830">
        <w:tab/>
        <w:t>med beaktande av kommissionens förslag till Europaparlamentet och rådet (COM(2025)0188),</w:t>
      </w:r>
    </w:p>
    <w:p w14:paraId="06CC475D" w14:textId="45EA1003" w:rsidR="00400155" w:rsidRPr="000D6830" w:rsidRDefault="00400155" w:rsidP="00400155">
      <w:pPr>
        <w:pStyle w:val="NormalHanging12a"/>
      </w:pPr>
      <w:r w:rsidRPr="000D6830">
        <w:t>–</w:t>
      </w:r>
      <w:r w:rsidRPr="000D6830">
        <w:tab/>
        <w:t>med beaktande av artikel 294.2</w:t>
      </w:r>
      <w:r w:rsidR="009C6958" w:rsidRPr="000D6830">
        <w:t>,</w:t>
      </w:r>
      <w:r w:rsidRPr="000D6830">
        <w:t xml:space="preserve"> artiklarna 114, 164, 172</w:t>
      </w:r>
      <w:r w:rsidR="00AD58D2">
        <w:t xml:space="preserve"> och</w:t>
      </w:r>
      <w:r w:rsidRPr="000D6830">
        <w:t xml:space="preserve"> 173, artikel 175 tredje stycket, artiklarna 176, 177</w:t>
      </w:r>
      <w:r w:rsidR="00334628" w:rsidRPr="000D6830">
        <w:t>,</w:t>
      </w:r>
      <w:r w:rsidRPr="000D6830">
        <w:t xml:space="preserve"> 178, 182, 183</w:t>
      </w:r>
      <w:r w:rsidR="00AD58D2">
        <w:t xml:space="preserve"> och</w:t>
      </w:r>
      <w:r w:rsidRPr="000D6830">
        <w:t xml:space="preserve"> 188 </w:t>
      </w:r>
      <w:r w:rsidR="00AD58D2">
        <w:t>samt</w:t>
      </w:r>
      <w:r w:rsidR="00B6532F" w:rsidRPr="000D6830">
        <w:t xml:space="preserve"> artikel </w:t>
      </w:r>
      <w:r w:rsidRPr="000D6830">
        <w:t>192.1 i fördraget om Europeiska unionens funktionssätt, i enlighet med vilka kommissionen har lagt fram sitt förslag för parlamentet (C10-0070/2025),</w:t>
      </w:r>
    </w:p>
    <w:p w14:paraId="16E6EA38" w14:textId="09DF8583" w:rsidR="00327729" w:rsidRPr="000D6830" w:rsidRDefault="00327729" w:rsidP="00400155">
      <w:pPr>
        <w:pStyle w:val="NormalHanging12a"/>
      </w:pPr>
      <w:r w:rsidRPr="000D6830">
        <w:t>–</w:t>
      </w:r>
      <w:r w:rsidRPr="000D6830">
        <w:tab/>
        <w:t>med beaktande av yttrandet från utskottet för rättsliga frågor över den föreslagna rättsliga grunden,</w:t>
      </w:r>
    </w:p>
    <w:p w14:paraId="65DA7AFF" w14:textId="55CB337A" w:rsidR="00400155" w:rsidRPr="000D6830" w:rsidRDefault="00400155" w:rsidP="00400155">
      <w:pPr>
        <w:pStyle w:val="NormalHanging12a"/>
      </w:pPr>
      <w:r w:rsidRPr="000D6830">
        <w:t>–</w:t>
      </w:r>
      <w:r w:rsidRPr="000D6830">
        <w:tab/>
        <w:t>med beaktande av artikel 294.3</w:t>
      </w:r>
      <w:r w:rsidR="00B6532F" w:rsidRPr="000D6830">
        <w:t>, artik</w:t>
      </w:r>
      <w:r w:rsidR="00BA53A1" w:rsidRPr="000D6830">
        <w:t xml:space="preserve">larna </w:t>
      </w:r>
      <w:r w:rsidR="00B6532F" w:rsidRPr="000D6830">
        <w:t>164 och 172, artikel 173.3, artikel 175 tredje stycket, artik</w:t>
      </w:r>
      <w:r w:rsidR="00BA53A1" w:rsidRPr="000D6830">
        <w:t xml:space="preserve">larna </w:t>
      </w:r>
      <w:r w:rsidR="00B6532F" w:rsidRPr="000D6830">
        <w:t>177 och 178, artik</w:t>
      </w:r>
      <w:r w:rsidR="00B91C06" w:rsidRPr="000D6830">
        <w:t>el</w:t>
      </w:r>
      <w:r w:rsidR="00B6532F" w:rsidRPr="000D6830">
        <w:t xml:space="preserve"> 182.1 och </w:t>
      </w:r>
      <w:r w:rsidR="00D05494" w:rsidRPr="000D6830">
        <w:t>182.</w:t>
      </w:r>
      <w:r w:rsidR="00B6532F" w:rsidRPr="000D6830">
        <w:t xml:space="preserve">4, </w:t>
      </w:r>
      <w:r w:rsidR="00D05494" w:rsidRPr="000D6830">
        <w:t>artikel</w:t>
      </w:r>
      <w:r w:rsidR="00B6532F" w:rsidRPr="000D6830">
        <w:t xml:space="preserve"> 183</w:t>
      </w:r>
      <w:r w:rsidR="00BA53A1" w:rsidRPr="000D6830">
        <w:t>,</w:t>
      </w:r>
      <w:r w:rsidR="00B6532F" w:rsidRPr="000D6830">
        <w:t xml:space="preserve"> </w:t>
      </w:r>
      <w:r w:rsidR="00BA53A1" w:rsidRPr="000D6830">
        <w:t xml:space="preserve">artikel </w:t>
      </w:r>
      <w:r w:rsidR="00B6532F" w:rsidRPr="000D6830">
        <w:t xml:space="preserve">188 </w:t>
      </w:r>
      <w:r w:rsidR="00D05494" w:rsidRPr="000D6830">
        <w:t>andra stycket</w:t>
      </w:r>
      <w:r w:rsidR="00B6532F" w:rsidRPr="000D6830">
        <w:t xml:space="preserve"> </w:t>
      </w:r>
      <w:r w:rsidR="00D05494" w:rsidRPr="000D6830">
        <w:t>och artikel</w:t>
      </w:r>
      <w:r w:rsidR="00B6532F" w:rsidRPr="000D6830">
        <w:t xml:space="preserve"> 192</w:t>
      </w:r>
      <w:r w:rsidR="00D05494" w:rsidRPr="000D6830">
        <w:t>.</w:t>
      </w:r>
      <w:r w:rsidR="00B6532F" w:rsidRPr="000D6830">
        <w:t xml:space="preserve">1 </w:t>
      </w:r>
      <w:r w:rsidRPr="000D6830">
        <w:t>i fördraget om Europeiska unionens funktionssätt,</w:t>
      </w:r>
    </w:p>
    <w:p w14:paraId="09AD7C08" w14:textId="77777777" w:rsidR="00400155" w:rsidRPr="000D6830" w:rsidRDefault="00400155" w:rsidP="00400155">
      <w:pPr>
        <w:pStyle w:val="NormalHanging12a"/>
      </w:pPr>
      <w:r w:rsidRPr="000D6830">
        <w:t>–</w:t>
      </w:r>
      <w:r w:rsidRPr="000D6830">
        <w:tab/>
        <w:t>med beaktande av budgetbedömningen från budgetutskottet,</w:t>
      </w:r>
    </w:p>
    <w:p w14:paraId="5F7BE7E4" w14:textId="77777777" w:rsidR="00400155" w:rsidRPr="000D6830" w:rsidRDefault="00400155" w:rsidP="00400155">
      <w:pPr>
        <w:pStyle w:val="NormalHanging12a"/>
      </w:pPr>
      <w:r w:rsidRPr="000D6830">
        <w:t>–</w:t>
      </w:r>
      <w:r w:rsidRPr="000D6830">
        <w:tab/>
        <w:t>med beaktande av Europeiska ekonomiska och sociala kommitténs yttrande av den 18 september 2025</w:t>
      </w:r>
      <w:r w:rsidRPr="000D6830">
        <w:rPr>
          <w:rStyle w:val="FootnoteReference"/>
        </w:rPr>
        <w:footnoteReference w:id="1"/>
      </w:r>
      <w:r w:rsidRPr="000D6830">
        <w:t>,</w:t>
      </w:r>
    </w:p>
    <w:p w14:paraId="2F7BFD61" w14:textId="21994B80" w:rsidR="00400155" w:rsidRPr="000D6830" w:rsidRDefault="00400155" w:rsidP="00400155">
      <w:pPr>
        <w:pStyle w:val="NormalHanging12a"/>
      </w:pPr>
      <w:r w:rsidRPr="000D6830">
        <w:t>–</w:t>
      </w:r>
      <w:r w:rsidRPr="000D6830">
        <w:tab/>
      </w:r>
      <w:r w:rsidR="007704FA" w:rsidRPr="000D6830">
        <w:t xml:space="preserve">med beaktande av </w:t>
      </w:r>
      <w:r w:rsidRPr="000D6830">
        <w:t>Regionkommittén</w:t>
      </w:r>
      <w:r w:rsidR="007704FA" w:rsidRPr="000D6830">
        <w:t>s yttrande av den 15 oktober 2025</w:t>
      </w:r>
      <w:r w:rsidR="007704FA" w:rsidRPr="000D6830">
        <w:rPr>
          <w:rStyle w:val="FootnoteReference"/>
        </w:rPr>
        <w:footnoteReference w:id="2"/>
      </w:r>
      <w:r w:rsidRPr="000D6830">
        <w:t>,</w:t>
      </w:r>
    </w:p>
    <w:p w14:paraId="2CDBA2FF" w14:textId="0E225295" w:rsidR="00327729" w:rsidRPr="000D6830" w:rsidRDefault="00327729" w:rsidP="00400155">
      <w:pPr>
        <w:pStyle w:val="NormalHanging12a"/>
      </w:pPr>
      <w:r w:rsidRPr="000D6830">
        <w:lastRenderedPageBreak/>
        <w:t>–</w:t>
      </w:r>
      <w:r w:rsidRPr="000D6830">
        <w:tab/>
        <w:t>med beaktande av den preliminära överenskommelse som godkänts av det ansvariga utskottet enligt artikel 75.4 i arbetsordningen och det skriftliga åtagandet från rådets företrädare av den 10 november 2025 att godkänna parlamentets ståndpunkt i enlighet med artikel 294.4 i fördraget om Europeiska unionens funktionssätt,</w:t>
      </w:r>
    </w:p>
    <w:p w14:paraId="42B44D20" w14:textId="1ACBE8AB" w:rsidR="00400155" w:rsidRPr="000D6830" w:rsidRDefault="00400155" w:rsidP="00400155">
      <w:pPr>
        <w:pStyle w:val="NormalHanging12a"/>
      </w:pPr>
      <w:r w:rsidRPr="000D6830">
        <w:t>–</w:t>
      </w:r>
      <w:r w:rsidRPr="000D6830">
        <w:tab/>
        <w:t>med beaktande av artiklarna 60</w:t>
      </w:r>
      <w:r w:rsidR="00327729" w:rsidRPr="000D6830">
        <w:t>, 41</w:t>
      </w:r>
      <w:r w:rsidRPr="000D6830">
        <w:t xml:space="preserve"> och 58 i arbetsordningen,</w:t>
      </w:r>
    </w:p>
    <w:p w14:paraId="19FFAB21" w14:textId="77777777" w:rsidR="00400155" w:rsidRPr="000D6830" w:rsidRDefault="00400155" w:rsidP="00400155">
      <w:pPr>
        <w:pStyle w:val="NormalHanging12a"/>
      </w:pPr>
      <w:r w:rsidRPr="000D6830">
        <w:t>–</w:t>
      </w:r>
      <w:r w:rsidRPr="000D6830">
        <w:tab/>
        <w:t>med beaktande av yttrandena från utskottet för säkerhet och försvar och utskottet för transport och turism,</w:t>
      </w:r>
    </w:p>
    <w:p w14:paraId="0054D70D" w14:textId="77777777" w:rsidR="00400155" w:rsidRPr="000D6830" w:rsidRDefault="00400155" w:rsidP="00400155">
      <w:pPr>
        <w:pStyle w:val="NormalHanging12a"/>
      </w:pPr>
      <w:r w:rsidRPr="000D6830">
        <w:t>–</w:t>
      </w:r>
      <w:r w:rsidRPr="000D6830">
        <w:tab/>
        <w:t>med beaktande av betänkandet från utskottet för industrifrågor, forskning och energi (A10-0172/2025).</w:t>
      </w:r>
    </w:p>
    <w:p w14:paraId="51CABAD4" w14:textId="77777777" w:rsidR="00400155" w:rsidRPr="000D6830" w:rsidRDefault="00400155" w:rsidP="00400155">
      <w:pPr>
        <w:pStyle w:val="NormalHanging12a"/>
      </w:pPr>
      <w:r w:rsidRPr="000D6830">
        <w:t>1.</w:t>
      </w:r>
      <w:r w:rsidRPr="000D6830">
        <w:tab/>
        <w:t>Europaparlamentet antar nedanstående ståndpunkt vid första behandlingen.</w:t>
      </w:r>
    </w:p>
    <w:p w14:paraId="696E3E31" w14:textId="77777777" w:rsidR="00400155" w:rsidRPr="000D6830" w:rsidRDefault="00400155" w:rsidP="00400155">
      <w:pPr>
        <w:pStyle w:val="NormalHanging12a"/>
      </w:pPr>
      <w:r w:rsidRPr="000D6830">
        <w:t>2.</w:t>
      </w:r>
      <w:r w:rsidRPr="000D6830">
        <w:tab/>
        <w:t>Europaparlamentet uppmanar kommissionen att på nytt lägga fram ärendet för parlamentet om den ersätter, väsentligt ändrar eller har för avsikt att väsentligt ändra sitt förslag.</w:t>
      </w:r>
    </w:p>
    <w:p w14:paraId="4554CA99" w14:textId="77777777" w:rsidR="00400155" w:rsidRPr="000D6830" w:rsidRDefault="00400155" w:rsidP="00400155">
      <w:pPr>
        <w:pStyle w:val="NormalHanging12a"/>
      </w:pPr>
      <w:r w:rsidRPr="000D6830">
        <w:t>3.</w:t>
      </w:r>
      <w:r w:rsidRPr="000D6830">
        <w:tab/>
        <w:t>Europaparlamentet uppdrar åt talmannen att översända parlamentets ståndpunkt till rådet, kommissionen och de nationella parlamenten.</w:t>
      </w:r>
    </w:p>
    <w:p w14:paraId="2C589643" w14:textId="77777777" w:rsidR="0022215E" w:rsidRPr="000D6830" w:rsidRDefault="0022215E" w:rsidP="00400155">
      <w:pPr>
        <w:sectPr w:rsidR="0022215E" w:rsidRPr="000D6830" w:rsidSect="00AC333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DD38BAD" w14:textId="16E2CAAC" w:rsidR="0022215E" w:rsidRPr="000D6830" w:rsidRDefault="0022215E" w:rsidP="0022215E">
      <w:pPr>
        <w:widowControl/>
        <w:spacing w:after="240"/>
        <w:rPr>
          <w:b/>
          <w:snapToGrid w:val="0"/>
        </w:rPr>
      </w:pPr>
      <w:r w:rsidRPr="000D6830">
        <w:rPr>
          <w:b/>
          <w:snapToGrid w:val="0"/>
        </w:rPr>
        <w:lastRenderedPageBreak/>
        <w:t>P10_TC1-COD(2025)0103</w:t>
      </w:r>
    </w:p>
    <w:p w14:paraId="3DE4842F" w14:textId="77777777" w:rsidR="00051517" w:rsidRDefault="0022215E" w:rsidP="00051517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0D6830">
        <w:rPr>
          <w:b/>
          <w:snapToGrid w:val="0"/>
        </w:rPr>
        <w:t xml:space="preserve">Europaparlamentets ståndpunkt fastställd vid första behandlingen den 16 december 2025 inför antagandet av Europaparlamentets och rådets förordning (EU) 2025/… om </w:t>
      </w:r>
      <w:r w:rsidRPr="000D6830">
        <w:rPr>
          <w:rFonts w:eastAsia="Calibri"/>
          <w:b/>
          <w:szCs w:val="22"/>
          <w:lang w:eastAsia="en-US"/>
        </w:rPr>
        <w:t xml:space="preserve">ändring av förordningarna (EU) 2021/694, (EU) 2021/695, (EU) 2021/697, (EU) 2021/1153 och (EU) 2024/795 vad gäller incitament till försvarsrelaterade investeringar i EU:s budget för genomförande av </w:t>
      </w:r>
      <w:proofErr w:type="spellStart"/>
      <w:r w:rsidRPr="000D6830">
        <w:rPr>
          <w:rFonts w:eastAsia="Calibri"/>
          <w:b/>
          <w:szCs w:val="22"/>
          <w:lang w:eastAsia="en-US"/>
        </w:rPr>
        <w:t>ReArm</w:t>
      </w:r>
      <w:proofErr w:type="spellEnd"/>
      <w:r w:rsidRPr="000D6830">
        <w:rPr>
          <w:rFonts w:eastAsia="Calibri"/>
          <w:b/>
          <w:szCs w:val="22"/>
          <w:lang w:eastAsia="en-US"/>
        </w:rPr>
        <w:t xml:space="preserve"> </w:t>
      </w:r>
      <w:proofErr w:type="spellStart"/>
      <w:r w:rsidRPr="000D6830">
        <w:rPr>
          <w:rFonts w:eastAsia="Calibri"/>
          <w:b/>
          <w:szCs w:val="22"/>
          <w:lang w:eastAsia="en-US"/>
        </w:rPr>
        <w:t>Europe</w:t>
      </w:r>
      <w:proofErr w:type="spellEnd"/>
    </w:p>
    <w:p w14:paraId="60ED1F87" w14:textId="23572ADF" w:rsidR="00400155" w:rsidRPr="00051517" w:rsidRDefault="00051517" w:rsidP="00051517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051517">
        <w:rPr>
          <w:i/>
          <w:iCs/>
        </w:rPr>
        <w:t>(Eftersom det nåddes en överenskommelse mellan parlamentet och rådet, motsvarar parlamentets ståndpunkt den slutliga rättsakten, förordning</w:t>
      </w:r>
      <w:r>
        <w:rPr>
          <w:i/>
          <w:iCs/>
        </w:rPr>
        <w:t xml:space="preserve"> </w:t>
      </w:r>
      <w:r w:rsidRPr="00051517">
        <w:rPr>
          <w:i/>
          <w:iCs/>
        </w:rPr>
        <w:t>(EU) 202</w:t>
      </w:r>
      <w:r>
        <w:rPr>
          <w:i/>
          <w:iCs/>
        </w:rPr>
        <w:t>5/2653</w:t>
      </w:r>
      <w:r w:rsidRPr="00051517">
        <w:rPr>
          <w:i/>
          <w:iCs/>
        </w:rPr>
        <w:t>.)</w:t>
      </w:r>
    </w:p>
    <w:bookmarkEnd w:id="1"/>
    <w:sectPr w:rsidR="00400155" w:rsidRPr="00051517" w:rsidSect="002221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209D2" w14:textId="77777777" w:rsidR="00D23EFA" w:rsidRPr="00AC3334" w:rsidRDefault="00D23EFA">
      <w:r w:rsidRPr="00AC3334">
        <w:separator/>
      </w:r>
    </w:p>
  </w:endnote>
  <w:endnote w:type="continuationSeparator" w:id="0">
    <w:p w14:paraId="1A3A2FBC" w14:textId="77777777" w:rsidR="00D23EFA" w:rsidRPr="00AC3334" w:rsidRDefault="00D23EFA">
      <w:r w:rsidRPr="00AC33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9F406" w14:textId="77777777" w:rsidR="00E82E40" w:rsidRDefault="00E82E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644C8" w14:textId="71F99912" w:rsidR="00E82E40" w:rsidRPr="0022215E" w:rsidRDefault="00E82E40" w:rsidP="00FB235E">
    <w:pPr>
      <w:pStyle w:val="EPFooter2"/>
      <w:rPr>
        <w:rFonts w:ascii="Times New Roman" w:hAnsi="Times New Roman" w:cs="Times New Roman"/>
        <w:b w:val="0"/>
        <w:bCs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FC59C" w14:textId="77777777" w:rsidR="00E82E40" w:rsidRDefault="00E82E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D77D7" w14:textId="77777777" w:rsidR="00D23EFA" w:rsidRPr="00AC3334" w:rsidRDefault="00D23EFA">
      <w:r w:rsidRPr="00AC3334">
        <w:separator/>
      </w:r>
    </w:p>
  </w:footnote>
  <w:footnote w:type="continuationSeparator" w:id="0">
    <w:p w14:paraId="1854DC02" w14:textId="77777777" w:rsidR="00D23EFA" w:rsidRPr="00AC3334" w:rsidRDefault="00D23EFA">
      <w:r w:rsidRPr="00AC3334">
        <w:continuationSeparator/>
      </w:r>
    </w:p>
  </w:footnote>
  <w:footnote w:id="1">
    <w:p w14:paraId="1E07DE32" w14:textId="6DB34FE2" w:rsidR="00400155" w:rsidRPr="000D6830" w:rsidRDefault="00400155" w:rsidP="00AC3334">
      <w:pPr>
        <w:pStyle w:val="FootnoteText"/>
        <w:ind w:left="567" w:hanging="567"/>
        <w:rPr>
          <w:sz w:val="24"/>
          <w:szCs w:val="24"/>
          <w:lang w:val="sv-SE"/>
        </w:rPr>
      </w:pPr>
      <w:r w:rsidRPr="000D6830">
        <w:rPr>
          <w:rStyle w:val="FootnoteReference"/>
          <w:sz w:val="24"/>
          <w:szCs w:val="24"/>
          <w:lang w:val="sv-SE"/>
        </w:rPr>
        <w:footnoteRef/>
      </w:r>
      <w:r w:rsidR="00AC3334" w:rsidRPr="000D6830">
        <w:rPr>
          <w:color w:val="1E1E1F"/>
          <w:sz w:val="24"/>
          <w:szCs w:val="24"/>
          <w:shd w:val="clear" w:color="auto" w:fill="FFFFFF"/>
          <w:lang w:val="sv-SE"/>
        </w:rPr>
        <w:t xml:space="preserve"> </w:t>
      </w:r>
      <w:r w:rsidR="00AC3334" w:rsidRPr="000D6830">
        <w:rPr>
          <w:color w:val="1E1E1F"/>
          <w:sz w:val="24"/>
          <w:szCs w:val="24"/>
          <w:shd w:val="clear" w:color="auto" w:fill="FFFFFF"/>
          <w:lang w:val="sv-SE"/>
        </w:rPr>
        <w:tab/>
      </w:r>
      <w:r w:rsidRPr="000D6830">
        <w:rPr>
          <w:color w:val="1E1E1F"/>
          <w:sz w:val="24"/>
          <w:szCs w:val="24"/>
          <w:shd w:val="clear" w:color="auto" w:fill="FFFFFF"/>
          <w:lang w:val="sv-SE"/>
        </w:rPr>
        <w:t>Ännu inte offentliggjort i EUT.</w:t>
      </w:r>
    </w:p>
  </w:footnote>
  <w:footnote w:id="2">
    <w:p w14:paraId="7537452F" w14:textId="1981A090" w:rsidR="007704FA" w:rsidRPr="000D6830" w:rsidRDefault="007704FA" w:rsidP="000D6830">
      <w:pPr>
        <w:pStyle w:val="FootnoteText"/>
        <w:ind w:left="567" w:hanging="567"/>
        <w:rPr>
          <w:sz w:val="24"/>
          <w:szCs w:val="24"/>
          <w:lang w:val="fi-FI"/>
        </w:rPr>
      </w:pPr>
      <w:r w:rsidRPr="000D6830">
        <w:rPr>
          <w:rStyle w:val="FootnoteReference"/>
          <w:sz w:val="24"/>
          <w:szCs w:val="24"/>
        </w:rPr>
        <w:footnoteRef/>
      </w:r>
      <w:r w:rsidRPr="000D6830">
        <w:rPr>
          <w:sz w:val="24"/>
          <w:szCs w:val="24"/>
          <w:lang w:val="fi-FI"/>
        </w:rPr>
        <w:t xml:space="preserve"> </w:t>
      </w:r>
      <w:r w:rsidRPr="000D6830">
        <w:rPr>
          <w:sz w:val="24"/>
          <w:szCs w:val="24"/>
          <w:lang w:val="fi-FI"/>
        </w:rPr>
        <w:tab/>
        <w:t xml:space="preserve">EUT C, C/2025/6325, 3.12.2025, ELI: </w:t>
      </w:r>
      <w:hyperlink r:id="rId1" w:history="1">
        <w:r w:rsidRPr="000D6830">
          <w:rPr>
            <w:rStyle w:val="Hyperlink"/>
            <w:sz w:val="24"/>
            <w:szCs w:val="24"/>
            <w:lang w:val="fi-FI"/>
          </w:rPr>
          <w:t>http://data.europa.eu/eli/C/2025/6325/oj</w:t>
        </w:r>
      </w:hyperlink>
      <w:r w:rsidRPr="000D6830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43E6A" w14:textId="77777777" w:rsidR="00E82E40" w:rsidRDefault="00E82E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53AD5" w14:textId="77777777" w:rsidR="00E82E40" w:rsidRDefault="00E82E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0299B" w14:textId="77777777" w:rsidR="00E82E40" w:rsidRDefault="00E82E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9442955">
    <w:abstractNumId w:val="9"/>
  </w:num>
  <w:num w:numId="2" w16cid:durableId="1578786284">
    <w:abstractNumId w:val="9"/>
  </w:num>
  <w:num w:numId="3" w16cid:durableId="1666782545">
    <w:abstractNumId w:val="7"/>
  </w:num>
  <w:num w:numId="4" w16cid:durableId="107823702">
    <w:abstractNumId w:val="7"/>
  </w:num>
  <w:num w:numId="5" w16cid:durableId="1082677616">
    <w:abstractNumId w:val="6"/>
  </w:num>
  <w:num w:numId="6" w16cid:durableId="1698701780">
    <w:abstractNumId w:val="6"/>
  </w:num>
  <w:num w:numId="7" w16cid:durableId="956837152">
    <w:abstractNumId w:val="5"/>
  </w:num>
  <w:num w:numId="8" w16cid:durableId="305088688">
    <w:abstractNumId w:val="5"/>
  </w:num>
  <w:num w:numId="9" w16cid:durableId="164560897">
    <w:abstractNumId w:val="4"/>
  </w:num>
  <w:num w:numId="10" w16cid:durableId="1014720931">
    <w:abstractNumId w:val="4"/>
  </w:num>
  <w:num w:numId="11" w16cid:durableId="672219773">
    <w:abstractNumId w:val="8"/>
  </w:num>
  <w:num w:numId="12" w16cid:durableId="1698658287">
    <w:abstractNumId w:val="8"/>
  </w:num>
  <w:num w:numId="13" w16cid:durableId="1632861689">
    <w:abstractNumId w:val="3"/>
  </w:num>
  <w:num w:numId="14" w16cid:durableId="1999190831">
    <w:abstractNumId w:val="3"/>
  </w:num>
  <w:num w:numId="15" w16cid:durableId="468978998">
    <w:abstractNumId w:val="2"/>
  </w:num>
  <w:num w:numId="16" w16cid:durableId="1862937554">
    <w:abstractNumId w:val="2"/>
  </w:num>
  <w:num w:numId="17" w16cid:durableId="1527861792">
    <w:abstractNumId w:val="1"/>
  </w:num>
  <w:num w:numId="18" w16cid:durableId="813331418">
    <w:abstractNumId w:val="1"/>
  </w:num>
  <w:num w:numId="19" w16cid:durableId="1265649823">
    <w:abstractNumId w:val="0"/>
  </w:num>
  <w:num w:numId="20" w16cid:durableId="716516015">
    <w:abstractNumId w:val="0"/>
  </w:num>
  <w:num w:numId="21" w16cid:durableId="429860674">
    <w:abstractNumId w:val="9"/>
  </w:num>
  <w:num w:numId="22" w16cid:durableId="63188307">
    <w:abstractNumId w:val="7"/>
  </w:num>
  <w:num w:numId="23" w16cid:durableId="536821552">
    <w:abstractNumId w:val="6"/>
  </w:num>
  <w:num w:numId="24" w16cid:durableId="1588533139">
    <w:abstractNumId w:val="5"/>
  </w:num>
  <w:num w:numId="25" w16cid:durableId="696463143">
    <w:abstractNumId w:val="4"/>
  </w:num>
  <w:num w:numId="26" w16cid:durableId="451167438">
    <w:abstractNumId w:val="8"/>
  </w:num>
  <w:num w:numId="27" w16cid:durableId="480733716">
    <w:abstractNumId w:val="3"/>
  </w:num>
  <w:num w:numId="28" w16cid:durableId="1350374728">
    <w:abstractNumId w:val="2"/>
  </w:num>
  <w:num w:numId="29" w16cid:durableId="1840929345">
    <w:abstractNumId w:val="1"/>
  </w:num>
  <w:num w:numId="30" w16cid:durableId="1762263217">
    <w:abstractNumId w:val="0"/>
  </w:num>
  <w:num w:numId="31" w16cid:durableId="1833253410">
    <w:abstractNumId w:val="9"/>
  </w:num>
  <w:num w:numId="32" w16cid:durableId="416832921">
    <w:abstractNumId w:val="7"/>
  </w:num>
  <w:num w:numId="33" w16cid:durableId="37750382">
    <w:abstractNumId w:val="6"/>
  </w:num>
  <w:num w:numId="34" w16cid:durableId="180316315">
    <w:abstractNumId w:val="5"/>
  </w:num>
  <w:num w:numId="35" w16cid:durableId="1971930920">
    <w:abstractNumId w:val="4"/>
  </w:num>
  <w:num w:numId="36" w16cid:durableId="1025331359">
    <w:abstractNumId w:val="8"/>
  </w:num>
  <w:num w:numId="37" w16cid:durableId="347216652">
    <w:abstractNumId w:val="3"/>
  </w:num>
  <w:num w:numId="38" w16cid:durableId="2080245932">
    <w:abstractNumId w:val="2"/>
  </w:num>
  <w:num w:numId="39" w16cid:durableId="172915959">
    <w:abstractNumId w:val="1"/>
  </w:num>
  <w:num w:numId="40" w16cid:durableId="527838202">
    <w:abstractNumId w:val="0"/>
  </w:num>
  <w:num w:numId="41" w16cid:durableId="310641775">
    <w:abstractNumId w:val="10"/>
  </w:num>
  <w:num w:numId="42" w16cid:durableId="90904085">
    <w:abstractNumId w:val="10"/>
  </w:num>
  <w:num w:numId="43" w16cid:durableId="1283655792">
    <w:abstractNumId w:val="10"/>
  </w:num>
  <w:num w:numId="44" w16cid:durableId="17460270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SV"/>
    <w:docVar w:name="dvnumam" w:val="63"/>
    <w:docVar w:name="dvpe" w:val="774.253"/>
    <w:docVar w:name="dvrapporteur" w:val="Föredragande: "/>
    <w:docVar w:name="dvstar" w:val="***I"/>
    <w:docVar w:name="dvtitre" w:val="Europaparlamentets lagstiftningsresolution av den xx xx 2025 om förslag till Europaparlamentets och rådets förordning om ändring av förordningarna (EU) 2021/694, (EU) 2021/695, (EU) 2021/697, (EU) 2021/1153, (EU) 2023/1525 och (EU) 2024/795 vad gäller incitament till försvarsrelaterade investeringar i EU:s budget för genomförande av ReArm Europe(COM(2025)0188 – C10-0070/2025 – 2025/0103(COD))"/>
  </w:docVars>
  <w:rsids>
    <w:rsidRoot w:val="00D23EFA"/>
    <w:rsid w:val="00002272"/>
    <w:rsid w:val="00051517"/>
    <w:rsid w:val="00064002"/>
    <w:rsid w:val="000677B9"/>
    <w:rsid w:val="000831BA"/>
    <w:rsid w:val="000A42CC"/>
    <w:rsid w:val="000A56DF"/>
    <w:rsid w:val="000D6830"/>
    <w:rsid w:val="000E4852"/>
    <w:rsid w:val="000E7DD9"/>
    <w:rsid w:val="0010095E"/>
    <w:rsid w:val="00125B37"/>
    <w:rsid w:val="00187494"/>
    <w:rsid w:val="001D6F19"/>
    <w:rsid w:val="001F32AE"/>
    <w:rsid w:val="0022215E"/>
    <w:rsid w:val="00226F3E"/>
    <w:rsid w:val="002767FF"/>
    <w:rsid w:val="002B18FE"/>
    <w:rsid w:val="002B5493"/>
    <w:rsid w:val="00327729"/>
    <w:rsid w:val="00327CD2"/>
    <w:rsid w:val="0033217A"/>
    <w:rsid w:val="00334628"/>
    <w:rsid w:val="00343214"/>
    <w:rsid w:val="00361C00"/>
    <w:rsid w:val="00395FA1"/>
    <w:rsid w:val="003E15D4"/>
    <w:rsid w:val="0040015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6422"/>
    <w:rsid w:val="006631B6"/>
    <w:rsid w:val="00680577"/>
    <w:rsid w:val="006917CF"/>
    <w:rsid w:val="006F74FA"/>
    <w:rsid w:val="00731ADD"/>
    <w:rsid w:val="00734777"/>
    <w:rsid w:val="007378B2"/>
    <w:rsid w:val="00747932"/>
    <w:rsid w:val="00751A4A"/>
    <w:rsid w:val="00756632"/>
    <w:rsid w:val="00762C74"/>
    <w:rsid w:val="007704F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3BA"/>
    <w:rsid w:val="0091655D"/>
    <w:rsid w:val="00930C23"/>
    <w:rsid w:val="0093193B"/>
    <w:rsid w:val="009509D8"/>
    <w:rsid w:val="00950B64"/>
    <w:rsid w:val="00981893"/>
    <w:rsid w:val="009A4EB4"/>
    <w:rsid w:val="009B285C"/>
    <w:rsid w:val="009C6958"/>
    <w:rsid w:val="009D2699"/>
    <w:rsid w:val="009D302B"/>
    <w:rsid w:val="00A067BE"/>
    <w:rsid w:val="00A1687D"/>
    <w:rsid w:val="00A20128"/>
    <w:rsid w:val="00A43E52"/>
    <w:rsid w:val="00A4678D"/>
    <w:rsid w:val="00A778C7"/>
    <w:rsid w:val="00AB441E"/>
    <w:rsid w:val="00AB6293"/>
    <w:rsid w:val="00AC3334"/>
    <w:rsid w:val="00AD58D2"/>
    <w:rsid w:val="00AE0928"/>
    <w:rsid w:val="00AF3B82"/>
    <w:rsid w:val="00AF6318"/>
    <w:rsid w:val="00B12E95"/>
    <w:rsid w:val="00B22876"/>
    <w:rsid w:val="00B23948"/>
    <w:rsid w:val="00B558F0"/>
    <w:rsid w:val="00B6532F"/>
    <w:rsid w:val="00B91C06"/>
    <w:rsid w:val="00BA53A1"/>
    <w:rsid w:val="00BD48FE"/>
    <w:rsid w:val="00BD7BD8"/>
    <w:rsid w:val="00BE6ADC"/>
    <w:rsid w:val="00C05BFE"/>
    <w:rsid w:val="00C23CD4"/>
    <w:rsid w:val="00C61C0C"/>
    <w:rsid w:val="00C93D5C"/>
    <w:rsid w:val="00C941CB"/>
    <w:rsid w:val="00CC2357"/>
    <w:rsid w:val="00CF071A"/>
    <w:rsid w:val="00D05494"/>
    <w:rsid w:val="00D058B8"/>
    <w:rsid w:val="00D23EFA"/>
    <w:rsid w:val="00D5483C"/>
    <w:rsid w:val="00D56C11"/>
    <w:rsid w:val="00D834A0"/>
    <w:rsid w:val="00D872DF"/>
    <w:rsid w:val="00D91E21"/>
    <w:rsid w:val="00DA7FCD"/>
    <w:rsid w:val="00DD4569"/>
    <w:rsid w:val="00E365E1"/>
    <w:rsid w:val="00E820A4"/>
    <w:rsid w:val="00E82E40"/>
    <w:rsid w:val="00EB006A"/>
    <w:rsid w:val="00EB4772"/>
    <w:rsid w:val="00ED136D"/>
    <w:rsid w:val="00ED169E"/>
    <w:rsid w:val="00ED4235"/>
    <w:rsid w:val="00F04346"/>
    <w:rsid w:val="00F075DC"/>
    <w:rsid w:val="00F149E9"/>
    <w:rsid w:val="00F4216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7391E"/>
  <w15:chartTrackingRefBased/>
  <w15:docId w15:val="{0F93B1DF-2B0B-44BF-9DEB-1559A01E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00155"/>
    <w:rPr>
      <w:b/>
    </w:rPr>
  </w:style>
  <w:style w:type="paragraph" w:customStyle="1" w:styleId="NormalHanging12a">
    <w:name w:val="NormalHanging12a"/>
    <w:basedOn w:val="Normal"/>
    <w:uiPriority w:val="99"/>
    <w:rsid w:val="0040015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001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00155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400155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400155"/>
    <w:rPr>
      <w:b/>
      <w:sz w:val="24"/>
      <w:lang w:val="sv-SE"/>
    </w:rPr>
  </w:style>
  <w:style w:type="paragraph" w:styleId="CommentText">
    <w:name w:val="annotation text"/>
    <w:basedOn w:val="Normal"/>
    <w:link w:val="CommentTextChar"/>
    <w:rsid w:val="004001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00155"/>
    <w:rPr>
      <w:lang w:val="sv-SE"/>
    </w:rPr>
  </w:style>
  <w:style w:type="paragraph" w:customStyle="1" w:styleId="NormalCenter12a">
    <w:name w:val="NormalCenter12a"/>
    <w:basedOn w:val="Normal"/>
    <w:rsid w:val="00400155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400155"/>
    <w:pPr>
      <w:spacing w:before="720" w:after="240"/>
      <w:jc w:val="center"/>
    </w:pPr>
  </w:style>
  <w:style w:type="paragraph" w:customStyle="1" w:styleId="Text1">
    <w:name w:val="Text 1"/>
    <w:basedOn w:val="Normal"/>
    <w:rsid w:val="0040015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0015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0015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0015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400155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0015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0015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0015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0015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0015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0015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400155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0015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0E4852"/>
    <w:rPr>
      <w:sz w:val="24"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7704F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3217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332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217A"/>
    <w:rPr>
      <w:b/>
      <w:bCs/>
      <w:lang w:val="sv-SE"/>
    </w:rPr>
  </w:style>
  <w:style w:type="paragraph" w:styleId="Header">
    <w:name w:val="header"/>
    <w:basedOn w:val="Normal"/>
    <w:link w:val="HeaderChar"/>
    <w:rsid w:val="002221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2215E"/>
    <w:rPr>
      <w:sz w:val="24"/>
      <w:lang w:val="sv-SE"/>
    </w:rPr>
  </w:style>
  <w:style w:type="paragraph" w:customStyle="1" w:styleId="EPFooter2">
    <w:name w:val="EPFooter2"/>
    <w:basedOn w:val="Normal"/>
    <w:next w:val="Normal"/>
    <w:rsid w:val="0022215E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22215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2221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2215E"/>
    <w:rPr>
      <w:sz w:val="24"/>
      <w:lang w:val="sv-SE"/>
    </w:rPr>
  </w:style>
  <w:style w:type="character" w:customStyle="1" w:styleId="Hyperlink1">
    <w:name w:val="Hyperlink1"/>
    <w:basedOn w:val="DefaultParagraphFont"/>
    <w:uiPriority w:val="99"/>
    <w:unhideWhenUsed/>
    <w:rsid w:val="0022215E"/>
    <w:rPr>
      <w:color w:val="0000FF"/>
      <w:u w:val="single"/>
    </w:rPr>
  </w:style>
  <w:style w:type="character" w:styleId="FollowedHyperlink">
    <w:name w:val="FollowedHyperlink"/>
    <w:basedOn w:val="DefaultParagraphFont"/>
    <w:rsid w:val="00AF63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2025-12-15T15:34:00Z</cp:lastPrinted>
  <dcterms:created xsi:type="dcterms:W3CDTF">2026-03-04T12:52:00Z</dcterms:created>
  <dcterms:modified xsi:type="dcterms:W3CDTF">2026-03-04T12:52:00Z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