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70F9" w14:paraId="6B6F1B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AB17BC" w14:textId="77777777" w:rsidR="00751A4A" w:rsidRPr="00B370F9" w:rsidRDefault="00CF306A" w:rsidP="0010095E">
            <w:pPr>
              <w:pStyle w:val="EPName"/>
            </w:pPr>
            <w:r w:rsidRPr="00B370F9">
              <w:t>Evropský parlament</w:t>
            </w:r>
          </w:p>
          <w:p w14:paraId="6CBA2EDB" w14:textId="77777777" w:rsidR="00751A4A" w:rsidRPr="00B370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70F9">
              <w:t>2024</w:t>
            </w:r>
            <w:r w:rsidR="00817416" w:rsidRPr="00B370F9">
              <w:t>-202</w:t>
            </w:r>
            <w:r w:rsidRPr="00B370F9">
              <w:t>9</w:t>
            </w:r>
          </w:p>
        </w:tc>
        <w:tc>
          <w:tcPr>
            <w:tcW w:w="2268" w:type="dxa"/>
            <w:shd w:val="clear" w:color="auto" w:fill="auto"/>
          </w:tcPr>
          <w:p w14:paraId="3DA4842A" w14:textId="77777777" w:rsidR="00751A4A" w:rsidRPr="00B370F9" w:rsidRDefault="00187494" w:rsidP="0010095E">
            <w:pPr>
              <w:pStyle w:val="EPLogo"/>
            </w:pPr>
            <w:r w:rsidRPr="00B370F9">
              <w:rPr>
                <w:noProof/>
                <w:lang w:eastAsia="ja-JP"/>
              </w:rPr>
              <w:drawing>
                <wp:inline distT="0" distB="0" distL="0" distR="0" wp14:anchorId="1C9E6066" wp14:editId="02E4F5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8A211A" w14:textId="77777777" w:rsidR="00D058B8" w:rsidRPr="00B370F9" w:rsidRDefault="00D058B8" w:rsidP="004C5D52">
      <w:pPr>
        <w:pStyle w:val="LineTop"/>
      </w:pPr>
    </w:p>
    <w:p w14:paraId="6E249AB7" w14:textId="77777777" w:rsidR="00680577" w:rsidRPr="00B370F9" w:rsidRDefault="00CF306A" w:rsidP="00680577">
      <w:pPr>
        <w:pStyle w:val="EPBodyTA1"/>
      </w:pPr>
      <w:r w:rsidRPr="00B370F9">
        <w:t>PŘIJATÉ TEXTY</w:t>
      </w:r>
    </w:p>
    <w:p w14:paraId="0D504822" w14:textId="77777777" w:rsidR="00D058B8" w:rsidRPr="00B370F9" w:rsidRDefault="00D058B8" w:rsidP="00D058B8">
      <w:pPr>
        <w:pStyle w:val="LineBottom"/>
      </w:pPr>
    </w:p>
    <w:p w14:paraId="5BEBF852" w14:textId="5BEB380C" w:rsidR="00CF306A" w:rsidRPr="00B370F9" w:rsidRDefault="00CF306A" w:rsidP="00CF306A">
      <w:pPr>
        <w:pStyle w:val="ATHeading1"/>
      </w:pPr>
      <w:bookmarkStart w:id="0" w:name="TANumber"/>
      <w:r w:rsidRPr="00B370F9">
        <w:t>P10_</w:t>
      </w:r>
      <w:proofErr w:type="gramStart"/>
      <w:r w:rsidRPr="00B370F9">
        <w:t>TA(</w:t>
      </w:r>
      <w:proofErr w:type="gramEnd"/>
      <w:r w:rsidRPr="00B370F9">
        <w:t>2025)0</w:t>
      </w:r>
      <w:r w:rsidR="009C2BE5">
        <w:t>321</w:t>
      </w:r>
      <w:bookmarkEnd w:id="0"/>
    </w:p>
    <w:p w14:paraId="06A255EF" w14:textId="1D355782" w:rsidR="00CF306A" w:rsidRPr="00B370F9" w:rsidRDefault="009B6603" w:rsidP="009B6603">
      <w:pPr>
        <w:pStyle w:val="ATHeading2"/>
      </w:pPr>
      <w:r>
        <w:t>Změna některých nařízení o SZP, pokud jde o systém podmíněnosti, typy intervencí formou přímých plateb, typy intervencí v některých odvětvích a v oblasti rozvoje venkova, výroční zprávy o výkonnosti, správu údajů a řízení interoperability, pozastavení plateb, výroční schvalování výkonnosti a kontroly a sankce</w:t>
      </w:r>
    </w:p>
    <w:p w14:paraId="1CC753C5" w14:textId="77777777" w:rsidR="00CF306A" w:rsidRPr="00B370F9" w:rsidRDefault="00CF306A" w:rsidP="00CF306A">
      <w:pPr>
        <w:rPr>
          <w:i/>
          <w:vanish/>
        </w:rPr>
      </w:pPr>
      <w:r w:rsidRPr="00B370F9">
        <w:rPr>
          <w:i/>
        </w:rPr>
        <w:fldChar w:fldCharType="begin"/>
      </w:r>
      <w:r w:rsidRPr="00B370F9">
        <w:rPr>
          <w:i/>
        </w:rPr>
        <w:instrText xml:space="preserve"> TC"(</w:instrText>
      </w:r>
      <w:bookmarkStart w:id="1" w:name="DocNumber"/>
      <w:r w:rsidRPr="00B370F9">
        <w:rPr>
          <w:i/>
        </w:rPr>
        <w:instrText>A10-0164/2025</w:instrText>
      </w:r>
      <w:bookmarkEnd w:id="1"/>
      <w:r w:rsidRPr="00B370F9">
        <w:rPr>
          <w:i/>
        </w:rPr>
        <w:instrText xml:space="preserve"> - Zpravodaj: André Rodrigues)"\l3 \n&gt; \* MERGEFORMAT </w:instrText>
      </w:r>
      <w:r w:rsidRPr="00B370F9">
        <w:rPr>
          <w:i/>
        </w:rPr>
        <w:fldChar w:fldCharType="end"/>
      </w:r>
    </w:p>
    <w:p w14:paraId="25E56AE9" w14:textId="77777777" w:rsidR="00CF306A" w:rsidRPr="00B370F9" w:rsidRDefault="00CF306A" w:rsidP="00CF306A">
      <w:pPr>
        <w:rPr>
          <w:vanish/>
        </w:rPr>
      </w:pPr>
      <w:bookmarkStart w:id="2" w:name="Commission"/>
      <w:r w:rsidRPr="00B370F9">
        <w:rPr>
          <w:vanish/>
        </w:rPr>
        <w:t>Výbor pro zemědělství a rozvoj venkova</w:t>
      </w:r>
      <w:bookmarkEnd w:id="2"/>
    </w:p>
    <w:p w14:paraId="6D4324EA" w14:textId="77777777" w:rsidR="00CF306A" w:rsidRPr="00B370F9" w:rsidRDefault="00CF306A" w:rsidP="00CF306A">
      <w:pPr>
        <w:rPr>
          <w:vanish/>
        </w:rPr>
      </w:pPr>
      <w:bookmarkStart w:id="3" w:name="PE"/>
      <w:r w:rsidRPr="00B370F9">
        <w:rPr>
          <w:vanish/>
        </w:rPr>
        <w:t>PE776.996</w:t>
      </w:r>
      <w:bookmarkEnd w:id="3"/>
    </w:p>
    <w:p w14:paraId="43EC0EA8" w14:textId="12CA640E" w:rsidR="00CF306A" w:rsidRPr="00B370F9" w:rsidRDefault="00CF306A" w:rsidP="00CF306A">
      <w:pPr>
        <w:pStyle w:val="ATHeading3"/>
      </w:pPr>
      <w:bookmarkStart w:id="4" w:name="Sujet"/>
      <w:r w:rsidRPr="00B370F9">
        <w:t>Legislativní usnesení Evropského parlamentu ze dne</w:t>
      </w:r>
      <w:r w:rsidR="009B6603">
        <w:t xml:space="preserve"> </w:t>
      </w:r>
      <w:r w:rsidR="00267BB6">
        <w:t>16. prosince</w:t>
      </w:r>
      <w:r w:rsidRPr="00B370F9">
        <w:t xml:space="preserve"> 2025 o návrhu nařízení Evropského parlamentu a Rady, kterým se mění nařízení (EU) 2021/2115, pokud jde o systém podmíněnosti, typy intervencí formou přímých plateb, typy intervencí v některých odvětvích a v oblasti rozvoje venkova a výroční zprávy o výkonnosti, a nařízení (EU) 2021/2116, pokud jde o správu údajů a řízení interoperability, pozastavení plateb, výroční schvalování výkonnosti a kontroly a sankce</w:t>
      </w:r>
      <w:bookmarkEnd w:id="4"/>
      <w:r w:rsidRPr="00B370F9">
        <w:t xml:space="preserve"> </w:t>
      </w:r>
      <w:bookmarkStart w:id="5" w:name="References"/>
      <w:r w:rsidRPr="00B370F9">
        <w:t>(COM(2025)0236 – C10-0086/2025 – 2025/0236(COD))</w:t>
      </w:r>
      <w:bookmarkEnd w:id="5"/>
    </w:p>
    <w:p w14:paraId="51FB215D" w14:textId="77777777" w:rsidR="00CF306A" w:rsidRPr="00B370F9" w:rsidRDefault="00CF306A" w:rsidP="00CF306A"/>
    <w:p w14:paraId="205532AE" w14:textId="77777777" w:rsidR="002F322A" w:rsidRPr="00B370F9" w:rsidRDefault="002F322A" w:rsidP="002F322A">
      <w:pPr>
        <w:pStyle w:val="NormalBold"/>
      </w:pPr>
      <w:bookmarkStart w:id="6" w:name="TextBodyBegin"/>
      <w:bookmarkEnd w:id="6"/>
      <w:r w:rsidRPr="00B370F9">
        <w:t>(Řádný legislativní postup: první čtení)</w:t>
      </w:r>
    </w:p>
    <w:p w14:paraId="7F85F15C" w14:textId="790617C6" w:rsidR="002F322A" w:rsidRPr="00B370F9" w:rsidRDefault="002F322A" w:rsidP="002F322A">
      <w:pPr>
        <w:pStyle w:val="EPComma"/>
      </w:pPr>
      <w:r w:rsidRPr="00B370F9">
        <w:rPr>
          <w:i/>
        </w:rPr>
        <w:t>Evropský parlament</w:t>
      </w:r>
      <w:r w:rsidRPr="00B370F9">
        <w:t>,</w:t>
      </w:r>
    </w:p>
    <w:p w14:paraId="50894072" w14:textId="79FAB668" w:rsidR="002F322A" w:rsidRPr="00B370F9" w:rsidRDefault="002F322A" w:rsidP="002F322A">
      <w:pPr>
        <w:pStyle w:val="NormalHanging12a"/>
      </w:pPr>
      <w:r w:rsidRPr="00B370F9">
        <w:t>–</w:t>
      </w:r>
      <w:r w:rsidRPr="00B370F9">
        <w:tab/>
        <w:t>s ohledem na návrh Komise předložený Evropskému parlamentu a Radě (</w:t>
      </w:r>
      <w:proofErr w:type="gramStart"/>
      <w:r w:rsidRPr="00B370F9">
        <w:t>COM(</w:t>
      </w:r>
      <w:proofErr w:type="gramEnd"/>
      <w:r w:rsidRPr="00B370F9">
        <w:t>2025)0236),</w:t>
      </w:r>
    </w:p>
    <w:p w14:paraId="3C7A3027" w14:textId="5E012041" w:rsidR="002F322A" w:rsidRPr="00B370F9" w:rsidRDefault="002F322A" w:rsidP="002F322A">
      <w:pPr>
        <w:pStyle w:val="NormalHanging12a"/>
      </w:pPr>
      <w:r w:rsidRPr="00B370F9">
        <w:t>–</w:t>
      </w:r>
      <w:r w:rsidRPr="00B370F9">
        <w:tab/>
        <w:t>s ohledem na čl. 294 odst. 2 a čl. 43 odst. 2 Smlouvy o fungování Evropské unie, v </w:t>
      </w:r>
      <w:proofErr w:type="gramStart"/>
      <w:r w:rsidRPr="00B370F9">
        <w:t>souladu</w:t>
      </w:r>
      <w:proofErr w:type="gramEnd"/>
      <w:r w:rsidRPr="00B370F9">
        <w:t xml:space="preserve"> </w:t>
      </w:r>
      <w:r w:rsidR="009B6603">
        <w:t>se kterými</w:t>
      </w:r>
      <w:r w:rsidRPr="00B370F9">
        <w:t xml:space="preserve"> Komise předložila svůj návrh Parlamentu (C10</w:t>
      </w:r>
      <w:r w:rsidRPr="00B370F9">
        <w:noBreakHyphen/>
        <w:t>0086/2025),</w:t>
      </w:r>
    </w:p>
    <w:p w14:paraId="369620BC" w14:textId="51E8B2AD" w:rsidR="002F322A" w:rsidRPr="00B370F9" w:rsidRDefault="002F322A" w:rsidP="002F322A">
      <w:pPr>
        <w:pStyle w:val="NormalHanging12a"/>
      </w:pPr>
      <w:r w:rsidRPr="00B370F9">
        <w:t>–</w:t>
      </w:r>
      <w:r w:rsidRPr="00B370F9">
        <w:tab/>
        <w:t>s ohledem na čl. 294 odst. 3 Smlouvy o fungování Evropské unie,</w:t>
      </w:r>
    </w:p>
    <w:p w14:paraId="38729A99" w14:textId="76C0C008" w:rsidR="002F322A" w:rsidRDefault="002F322A" w:rsidP="002F322A">
      <w:pPr>
        <w:pStyle w:val="NormalHanging12a"/>
      </w:pPr>
      <w:r w:rsidRPr="00B370F9">
        <w:t>–</w:t>
      </w:r>
      <w:r w:rsidRPr="00B370F9">
        <w:tab/>
        <w:t>s ohledem na stanovisko Evropského hospodářského a sociálního výboru ze dne 18. září 2025</w:t>
      </w:r>
      <w:r w:rsidRPr="00B370F9">
        <w:rPr>
          <w:rStyle w:val="FootnoteReference"/>
        </w:rPr>
        <w:footnoteReference w:id="1"/>
      </w:r>
      <w:r w:rsidRPr="00B370F9">
        <w:t>,</w:t>
      </w:r>
    </w:p>
    <w:p w14:paraId="6F6DBFBA" w14:textId="59DD7509" w:rsidR="002F45A5" w:rsidRPr="00B370F9" w:rsidRDefault="002F45A5" w:rsidP="002F322A">
      <w:pPr>
        <w:pStyle w:val="NormalHanging12a"/>
      </w:pPr>
      <w:r w:rsidRPr="002F45A5">
        <w:t>–</w:t>
      </w:r>
      <w:r w:rsidRPr="002F45A5">
        <w:tab/>
        <w:t>s ohledem na předběžnou dohodu přijatou příslušným výborem podle čl. 7</w:t>
      </w:r>
      <w:r>
        <w:t>5</w:t>
      </w:r>
      <w:r w:rsidRPr="002F45A5">
        <w:t xml:space="preserve"> odst. 4 jednacího řádu a s ohledem na to, že se zástupce Rady dopisem ze dne </w:t>
      </w:r>
      <w:r>
        <w:t>19</w:t>
      </w:r>
      <w:r w:rsidRPr="002F45A5">
        <w:t xml:space="preserve">. </w:t>
      </w:r>
      <w:r>
        <w:t>listopadu</w:t>
      </w:r>
      <w:r w:rsidRPr="002F45A5">
        <w:t xml:space="preserve"> 202</w:t>
      </w:r>
      <w:r>
        <w:t>5</w:t>
      </w:r>
      <w:r w:rsidRPr="002F45A5">
        <w:t xml:space="preserve"> zavázal schválit postoj Parlamentu v souladu s čl. 294 odst. 4 Smlouvy o fungování Evropské unie,</w:t>
      </w:r>
    </w:p>
    <w:p w14:paraId="1FA1B24E" w14:textId="529530F1" w:rsidR="002F322A" w:rsidRPr="00B370F9" w:rsidRDefault="002F322A" w:rsidP="002F322A">
      <w:pPr>
        <w:pStyle w:val="NormalHanging12a"/>
      </w:pPr>
      <w:r w:rsidRPr="00B370F9">
        <w:t>–</w:t>
      </w:r>
      <w:r w:rsidRPr="00B370F9">
        <w:tab/>
        <w:t>s ohledem na článek 60 jednacího řádu,</w:t>
      </w:r>
    </w:p>
    <w:p w14:paraId="19422232" w14:textId="0AB5296E" w:rsidR="002F322A" w:rsidRPr="00B370F9" w:rsidRDefault="002F322A" w:rsidP="002F322A">
      <w:pPr>
        <w:pStyle w:val="NormalHanging12a"/>
      </w:pPr>
      <w:r w:rsidRPr="00B370F9">
        <w:lastRenderedPageBreak/>
        <w:t>–</w:t>
      </w:r>
      <w:r w:rsidRPr="00B370F9">
        <w:tab/>
        <w:t>s ohledem na zprávu Výboru pro zemědělství a rozvoj venkova (A10</w:t>
      </w:r>
      <w:r w:rsidRPr="00B370F9">
        <w:noBreakHyphen/>
        <w:t>0164/2025),</w:t>
      </w:r>
    </w:p>
    <w:p w14:paraId="1926930F" w14:textId="78F9190B" w:rsidR="002F322A" w:rsidRPr="00B370F9" w:rsidRDefault="002F322A" w:rsidP="002F322A">
      <w:pPr>
        <w:pStyle w:val="NormalHanging12a"/>
      </w:pPr>
      <w:r w:rsidRPr="00B370F9">
        <w:t>1.</w:t>
      </w:r>
      <w:r w:rsidRPr="00B370F9">
        <w:tab/>
        <w:t>přijímá níže uvedený postoj v prvním čtení</w:t>
      </w:r>
      <w:r w:rsidR="002F45A5">
        <w:rPr>
          <w:rStyle w:val="FootnoteReference"/>
        </w:rPr>
        <w:footnoteReference w:id="2"/>
      </w:r>
      <w:r w:rsidRPr="00B370F9">
        <w:t>;</w:t>
      </w:r>
    </w:p>
    <w:p w14:paraId="77E47772" w14:textId="562CEB77" w:rsidR="002F322A" w:rsidRPr="00B370F9" w:rsidRDefault="002F322A" w:rsidP="002F322A">
      <w:pPr>
        <w:pStyle w:val="NormalHanging12a"/>
      </w:pPr>
      <w:r w:rsidRPr="00B370F9">
        <w:t>2.</w:t>
      </w:r>
      <w:r w:rsidRPr="00B370F9">
        <w:tab/>
        <w:t>vyzývá Komisi, aby věc znovu postoupila Parlamentu, jestliže svůj návrh nahradí jiným textem, podstatně jej změní nebo má v úmyslu jej podstatně změnit;</w:t>
      </w:r>
    </w:p>
    <w:p w14:paraId="12C737D1" w14:textId="2AD8BB60" w:rsidR="002F322A" w:rsidRPr="00B370F9" w:rsidRDefault="002F322A" w:rsidP="002F322A">
      <w:pPr>
        <w:pStyle w:val="NormalHanging12a"/>
      </w:pPr>
      <w:r w:rsidRPr="00B370F9">
        <w:t>3.</w:t>
      </w:r>
      <w:r w:rsidRPr="00B370F9">
        <w:tab/>
        <w:t>pověřuje svou předsedkyni, aby předala postoj Parlamentu Radě a Komisi, jakož i vnitrostátním parlamentům.</w:t>
      </w:r>
    </w:p>
    <w:p w14:paraId="7FB519E0" w14:textId="77777777" w:rsidR="002F322A" w:rsidRPr="00B370F9" w:rsidRDefault="002F322A" w:rsidP="002F322A"/>
    <w:p w14:paraId="3032511A" w14:textId="77777777" w:rsidR="00267BB6" w:rsidRDefault="00267BB6" w:rsidP="002F322A">
      <w:pPr>
        <w:sectPr w:rsidR="00267BB6" w:rsidSect="00B370F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29408C9" w14:textId="2E1BD1F6" w:rsidR="00267BB6" w:rsidRPr="006C05F1" w:rsidRDefault="00267BB6" w:rsidP="00267BB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</w:t>
      </w:r>
      <w:proofErr w:type="gramStart"/>
      <w:r w:rsidRPr="006C05F1">
        <w:rPr>
          <w:b/>
          <w:bCs/>
          <w:color w:val="000000"/>
        </w:rPr>
        <w:t>COD(</w:t>
      </w:r>
      <w:proofErr w:type="gramEnd"/>
      <w:r w:rsidRPr="006C05F1">
        <w:rPr>
          <w:b/>
          <w:bCs/>
          <w:color w:val="000000"/>
        </w:rPr>
        <w:t>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236</w:t>
      </w:r>
    </w:p>
    <w:p w14:paraId="75840781" w14:textId="3AB0189B" w:rsidR="00267BB6" w:rsidRDefault="00267BB6" w:rsidP="00A4062C">
      <w:pPr>
        <w:rPr>
          <w:b/>
        </w:rPr>
      </w:pPr>
      <w:r w:rsidRPr="00A4062C">
        <w:rPr>
          <w:b/>
          <w:bCs/>
        </w:rPr>
        <w:t>Postoj Evropského parlamentu přijatý v prvním čtení dne 16. prosince 2025 k přijetí nařízení Evropského parlamentu a Rady (EU) 2025/...</w:t>
      </w:r>
      <w:r w:rsidR="002F45A5">
        <w:rPr>
          <w:b/>
          <w:bCs/>
        </w:rPr>
        <w:t xml:space="preserve">, </w:t>
      </w:r>
      <w:r w:rsidRPr="0090224F">
        <w:rPr>
          <w:b/>
        </w:rPr>
        <w:t>kterým se mění nařízení (EU) 2021/2115, pokud jde o systém podmíněnosti, typy intervencí formou přímých plateb, typy intervencí v některých odvětvích a v oblasti rozvoje venkova a výroční zprávy o výkonnosti, a nařízení (EU) 2021/2116, pokud jde o</w:t>
      </w:r>
      <w:r w:rsidR="00DD33D7">
        <w:rPr>
          <w:b/>
        </w:rPr>
        <w:t xml:space="preserve"> </w:t>
      </w:r>
      <w:r w:rsidRPr="0090224F">
        <w:rPr>
          <w:b/>
        </w:rPr>
        <w:t>pozastavení plateb, výroční schvalování výkonnosti a kontroly a sankce</w:t>
      </w:r>
    </w:p>
    <w:p w14:paraId="5133996A" w14:textId="17A086E5" w:rsidR="00DD33D7" w:rsidRPr="00DD33D7" w:rsidRDefault="00DD33D7" w:rsidP="00DD33D7">
      <w:pPr>
        <w:spacing w:before="480"/>
        <w:rPr>
          <w:i/>
          <w:iCs/>
        </w:rPr>
      </w:pPr>
      <w:r w:rsidRPr="00DD33D7">
        <w:rPr>
          <w:i/>
          <w:iCs/>
        </w:rPr>
        <w:t>(Vzhledem k tomu, že bylo dosaženo dohody mezi Parlamentem a Radou, postoj Parlamentu odpovídá konečnému znění legislativního aktu, nařízení (EU) 2025/</w:t>
      </w:r>
      <w:r>
        <w:rPr>
          <w:i/>
          <w:iCs/>
        </w:rPr>
        <w:t>2649</w:t>
      </w:r>
      <w:r w:rsidRPr="00DD33D7">
        <w:rPr>
          <w:i/>
          <w:iCs/>
        </w:rPr>
        <w:t>.)</w:t>
      </w:r>
    </w:p>
    <w:sectPr w:rsidR="00DD33D7" w:rsidRPr="00DD33D7" w:rsidSect="00DD33D7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4C638" w14:textId="77777777" w:rsidR="00CF306A" w:rsidRPr="00B370F9" w:rsidRDefault="00CF306A">
      <w:r w:rsidRPr="00B370F9">
        <w:separator/>
      </w:r>
    </w:p>
  </w:endnote>
  <w:endnote w:type="continuationSeparator" w:id="0">
    <w:p w14:paraId="1BED7C63" w14:textId="77777777" w:rsidR="00CF306A" w:rsidRPr="00B370F9" w:rsidRDefault="00CF306A">
      <w:r w:rsidRPr="00B370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E50D3" w14:textId="77777777" w:rsidR="00064002" w:rsidRPr="00B370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23455" w14:textId="77777777" w:rsidR="00064002" w:rsidRPr="00B370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63983" w14:textId="77777777" w:rsidR="00064002" w:rsidRPr="00B370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8AB81" w14:textId="77777777" w:rsidR="00CF306A" w:rsidRPr="00B370F9" w:rsidRDefault="00CF306A">
      <w:r w:rsidRPr="00B370F9">
        <w:separator/>
      </w:r>
    </w:p>
  </w:footnote>
  <w:footnote w:type="continuationSeparator" w:id="0">
    <w:p w14:paraId="7D32EFB1" w14:textId="77777777" w:rsidR="00CF306A" w:rsidRPr="00B370F9" w:rsidRDefault="00CF306A">
      <w:r w:rsidRPr="00B370F9">
        <w:continuationSeparator/>
      </w:r>
    </w:p>
  </w:footnote>
  <w:footnote w:id="1">
    <w:p w14:paraId="504A28A8" w14:textId="75ADCE7E" w:rsidR="002F322A" w:rsidRPr="002F45A5" w:rsidRDefault="002F322A" w:rsidP="00B370F9">
      <w:pPr>
        <w:pStyle w:val="FootnoteText"/>
        <w:ind w:left="567" w:hanging="567"/>
        <w:rPr>
          <w:sz w:val="24"/>
          <w:szCs w:val="24"/>
          <w:lang w:val="cs-CZ"/>
        </w:rPr>
      </w:pPr>
      <w:r w:rsidRPr="002F45A5">
        <w:rPr>
          <w:rStyle w:val="FootnoteReference"/>
          <w:sz w:val="24"/>
          <w:szCs w:val="24"/>
          <w:lang w:val="cs-CZ"/>
        </w:rPr>
        <w:footnoteRef/>
      </w:r>
      <w:r w:rsidR="00B370F9" w:rsidRPr="002F45A5">
        <w:rPr>
          <w:sz w:val="24"/>
          <w:szCs w:val="24"/>
          <w:lang w:val="cs-CZ"/>
        </w:rPr>
        <w:t xml:space="preserve"> </w:t>
      </w:r>
      <w:r w:rsidR="00B370F9" w:rsidRPr="002F45A5">
        <w:rPr>
          <w:sz w:val="24"/>
          <w:szCs w:val="24"/>
          <w:lang w:val="cs-CZ"/>
        </w:rPr>
        <w:tab/>
      </w:r>
      <w:r w:rsidRPr="002F45A5">
        <w:rPr>
          <w:sz w:val="24"/>
          <w:szCs w:val="24"/>
          <w:lang w:val="cs-CZ"/>
        </w:rPr>
        <w:t>Dosud nezveřejněné v Úředním věstníku.</w:t>
      </w:r>
    </w:p>
  </w:footnote>
  <w:footnote w:id="2">
    <w:p w14:paraId="0742B8E1" w14:textId="7B9E89D2" w:rsidR="002F45A5" w:rsidRPr="00A4062C" w:rsidRDefault="002F45A5" w:rsidP="00A4062C">
      <w:pPr>
        <w:pStyle w:val="FootnoteText"/>
        <w:ind w:left="851" w:hanging="851"/>
        <w:rPr>
          <w:sz w:val="24"/>
          <w:szCs w:val="24"/>
          <w:lang w:val="cs-CZ"/>
        </w:rPr>
      </w:pPr>
      <w:r w:rsidRPr="00A4062C">
        <w:rPr>
          <w:rStyle w:val="FootnoteReference"/>
          <w:sz w:val="24"/>
          <w:szCs w:val="24"/>
        </w:rPr>
        <w:footnoteRef/>
      </w:r>
      <w:r w:rsidRPr="00A4062C">
        <w:rPr>
          <w:sz w:val="24"/>
          <w:szCs w:val="24"/>
          <w:lang w:val="cs-CZ"/>
        </w:rPr>
        <w:t xml:space="preserve"> </w:t>
      </w:r>
      <w:r w:rsidRPr="00A4062C">
        <w:rPr>
          <w:sz w:val="24"/>
          <w:szCs w:val="24"/>
          <w:lang w:val="cs-CZ"/>
        </w:rPr>
        <w:tab/>
        <w:t>Tento postoj nahrazuje pozměňovací návrhy přijaté dne 8. října 2025 (Přijaté texty P10_</w:t>
      </w:r>
      <w:proofErr w:type="gramStart"/>
      <w:r w:rsidRPr="00A4062C">
        <w:rPr>
          <w:sz w:val="24"/>
          <w:szCs w:val="24"/>
          <w:lang w:val="cs-CZ"/>
        </w:rPr>
        <w:t>TA(</w:t>
      </w:r>
      <w:proofErr w:type="gramEnd"/>
      <w:r w:rsidRPr="00A4062C">
        <w:rPr>
          <w:sz w:val="24"/>
          <w:szCs w:val="24"/>
          <w:lang w:val="cs-CZ"/>
        </w:rPr>
        <w:t>2025)0213).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F678" w14:textId="77777777" w:rsidR="00064002" w:rsidRPr="00B370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BBE9" w14:textId="77777777" w:rsidR="00064002" w:rsidRPr="00B370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C9137" w14:textId="77777777" w:rsidR="00064002" w:rsidRPr="00B370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104180096">
    <w:abstractNumId w:val="0"/>
  </w:num>
  <w:num w:numId="2" w16cid:durableId="1179151885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CS"/>
    <w:docVar w:name="dvnumam" w:val="75"/>
    <w:docVar w:name="dvpe" w:val="776.996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2021/2115, pokud jde o systém podmíněnosti, typy intervencí formou přímých plateb, typy intervencí v některých odvětvích a v oblasti rozvoje venkova a výroční zprávy o výkonnosti, a nařízení (EU) 2021/2116, pokud jde o správu údajů a řízení interoperability, pozastavení plateb, výroční schvalování výkonnosti a kontroly a sankce(COM(2025)0236 – C10-0086/2025 – 2025/0236(COD))"/>
  </w:docVars>
  <w:rsids>
    <w:rsidRoot w:val="00CF306A"/>
    <w:rsid w:val="00002272"/>
    <w:rsid w:val="000361C2"/>
    <w:rsid w:val="00064002"/>
    <w:rsid w:val="000677B9"/>
    <w:rsid w:val="000831BA"/>
    <w:rsid w:val="000A42CC"/>
    <w:rsid w:val="000C5A18"/>
    <w:rsid w:val="000E7DD9"/>
    <w:rsid w:val="0010095E"/>
    <w:rsid w:val="00125B37"/>
    <w:rsid w:val="00187494"/>
    <w:rsid w:val="001959D8"/>
    <w:rsid w:val="001F32AE"/>
    <w:rsid w:val="00267BB6"/>
    <w:rsid w:val="00276169"/>
    <w:rsid w:val="002767FF"/>
    <w:rsid w:val="002B18FE"/>
    <w:rsid w:val="002B5493"/>
    <w:rsid w:val="002F322A"/>
    <w:rsid w:val="002F45A5"/>
    <w:rsid w:val="00312FE6"/>
    <w:rsid w:val="0033445A"/>
    <w:rsid w:val="00343214"/>
    <w:rsid w:val="00361C00"/>
    <w:rsid w:val="00395FA1"/>
    <w:rsid w:val="003E15D4"/>
    <w:rsid w:val="00411CCE"/>
    <w:rsid w:val="0041666E"/>
    <w:rsid w:val="00417BFE"/>
    <w:rsid w:val="00421060"/>
    <w:rsid w:val="004466A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0E7"/>
    <w:rsid w:val="005C2568"/>
    <w:rsid w:val="005F1B17"/>
    <w:rsid w:val="006037C0"/>
    <w:rsid w:val="00643A76"/>
    <w:rsid w:val="006631B6"/>
    <w:rsid w:val="00680577"/>
    <w:rsid w:val="006F74FA"/>
    <w:rsid w:val="00704DC4"/>
    <w:rsid w:val="00731ADD"/>
    <w:rsid w:val="00734777"/>
    <w:rsid w:val="00741118"/>
    <w:rsid w:val="00747932"/>
    <w:rsid w:val="00751A4A"/>
    <w:rsid w:val="00756632"/>
    <w:rsid w:val="00762C74"/>
    <w:rsid w:val="00786EC0"/>
    <w:rsid w:val="007D1690"/>
    <w:rsid w:val="007E22AD"/>
    <w:rsid w:val="00817416"/>
    <w:rsid w:val="00822AA9"/>
    <w:rsid w:val="00842779"/>
    <w:rsid w:val="00865F67"/>
    <w:rsid w:val="00881A7B"/>
    <w:rsid w:val="008840E5"/>
    <w:rsid w:val="00887B3E"/>
    <w:rsid w:val="008C2AC6"/>
    <w:rsid w:val="00930C23"/>
    <w:rsid w:val="0093193B"/>
    <w:rsid w:val="00937C89"/>
    <w:rsid w:val="009509D8"/>
    <w:rsid w:val="00950B64"/>
    <w:rsid w:val="00981893"/>
    <w:rsid w:val="009A07FE"/>
    <w:rsid w:val="009A696B"/>
    <w:rsid w:val="009B6603"/>
    <w:rsid w:val="009C2BE5"/>
    <w:rsid w:val="00A1687D"/>
    <w:rsid w:val="00A4062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0F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06A"/>
    <w:rsid w:val="00D058B8"/>
    <w:rsid w:val="00D252B9"/>
    <w:rsid w:val="00D56C11"/>
    <w:rsid w:val="00D834A0"/>
    <w:rsid w:val="00D872DF"/>
    <w:rsid w:val="00D91E21"/>
    <w:rsid w:val="00DA7FCD"/>
    <w:rsid w:val="00DC1B76"/>
    <w:rsid w:val="00DD33D7"/>
    <w:rsid w:val="00DF24E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76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C8A7C"/>
  <w15:chartTrackingRefBased/>
  <w15:docId w15:val="{5AADBDD3-CDDA-4D74-8317-354FF357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322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22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22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22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22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22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22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22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22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2F322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F322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F322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F322A"/>
    <w:pPr>
      <w:spacing w:after="120"/>
    </w:pPr>
  </w:style>
  <w:style w:type="paragraph" w:customStyle="1" w:styleId="PageHeading">
    <w:name w:val="PageHeading"/>
    <w:basedOn w:val="Normal"/>
    <w:rsid w:val="002F322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F322A"/>
    <w:rPr>
      <w:b/>
    </w:rPr>
  </w:style>
  <w:style w:type="paragraph" w:customStyle="1" w:styleId="NormalBold12a">
    <w:name w:val="NormalBold12a"/>
    <w:basedOn w:val="Normal"/>
    <w:rsid w:val="002F322A"/>
    <w:pPr>
      <w:spacing w:after="240"/>
    </w:pPr>
    <w:rPr>
      <w:b/>
    </w:rPr>
  </w:style>
  <w:style w:type="paragraph" w:customStyle="1" w:styleId="AmJustText">
    <w:name w:val="AmJustText"/>
    <w:basedOn w:val="Normal"/>
    <w:rsid w:val="002F322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F322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F322A"/>
    <w:pPr>
      <w:spacing w:after="480"/>
      <w:ind w:left="1417"/>
    </w:pPr>
  </w:style>
  <w:style w:type="paragraph" w:customStyle="1" w:styleId="CoverNormal">
    <w:name w:val="CoverNormal"/>
    <w:basedOn w:val="Normal"/>
    <w:rsid w:val="002F322A"/>
    <w:pPr>
      <w:ind w:left="1418"/>
    </w:pPr>
  </w:style>
  <w:style w:type="paragraph" w:customStyle="1" w:styleId="AmCrossRef">
    <w:name w:val="AmCrossRef"/>
    <w:basedOn w:val="Normal"/>
    <w:rsid w:val="002F322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F322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F322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F322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F322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F322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32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22A"/>
    <w:rPr>
      <w:sz w:val="24"/>
      <w:lang w:val="cs-CZ"/>
    </w:rPr>
  </w:style>
  <w:style w:type="paragraph" w:customStyle="1" w:styleId="AmOrLang">
    <w:name w:val="AmOrLang"/>
    <w:basedOn w:val="Normal"/>
    <w:rsid w:val="002F322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F322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F322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F322A"/>
    <w:pPr>
      <w:spacing w:before="240"/>
    </w:pPr>
    <w:rPr>
      <w:b/>
    </w:rPr>
  </w:style>
  <w:style w:type="paragraph" w:customStyle="1" w:styleId="EPBody">
    <w:name w:val="EPBody"/>
    <w:basedOn w:val="Normal"/>
    <w:rsid w:val="002F322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F322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F322A"/>
    <w:pPr>
      <w:spacing w:before="480" w:after="240"/>
    </w:pPr>
  </w:style>
  <w:style w:type="paragraph" w:customStyle="1" w:styleId="Lgendesigne">
    <w:name w:val="Légende signe"/>
    <w:basedOn w:val="Normal"/>
    <w:rsid w:val="002F322A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2F322A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2F322A"/>
    <w:rPr>
      <w:sz w:val="18"/>
      <w:lang w:val="en-GB"/>
    </w:rPr>
  </w:style>
  <w:style w:type="character" w:customStyle="1" w:styleId="AmNumberTabsChar">
    <w:name w:val="AmNumberTabs Char"/>
    <w:basedOn w:val="DefaultParagraphFont"/>
    <w:link w:val="AmNumberTabs"/>
    <w:rsid w:val="002F322A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2F322A"/>
    <w:rPr>
      <w:b/>
      <w:sz w:val="24"/>
      <w:lang w:val="cs-CZ"/>
    </w:rPr>
  </w:style>
  <w:style w:type="table" w:customStyle="1" w:styleId="TableGrid1">
    <w:name w:val="Table Grid1"/>
    <w:basedOn w:val="TableNormal"/>
    <w:uiPriority w:val="39"/>
    <w:rsid w:val="002F322A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2F322A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F322A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2F322A"/>
    <w:rPr>
      <w:b/>
      <w:sz w:val="24"/>
      <w:lang w:val="cs-CZ"/>
    </w:rPr>
  </w:style>
  <w:style w:type="paragraph" w:customStyle="1" w:styleId="ColumnHeading">
    <w:name w:val="ColumnHeading"/>
    <w:basedOn w:val="Normal"/>
    <w:rsid w:val="002F322A"/>
    <w:pPr>
      <w:spacing w:after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2F322A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2F322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F322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F322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F322A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rsid w:val="002F322A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2F322A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2F322A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2F322A"/>
    <w:rPr>
      <w:szCs w:val="24"/>
      <w:lang w:val="en-GB"/>
    </w:rPr>
  </w:style>
  <w:style w:type="character" w:styleId="Hyperlink">
    <w:name w:val="Hyperlink"/>
    <w:basedOn w:val="DefaultParagraphFont"/>
    <w:uiPriority w:val="99"/>
    <w:rsid w:val="002F322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2F322A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2F322A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2F322A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F322A"/>
    <w:rPr>
      <w:sz w:val="24"/>
    </w:rPr>
  </w:style>
  <w:style w:type="paragraph" w:customStyle="1" w:styleId="Default">
    <w:name w:val="Default"/>
    <w:rsid w:val="002F322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F322A"/>
    <w:rPr>
      <w:sz w:val="24"/>
    </w:rPr>
  </w:style>
  <w:style w:type="character" w:styleId="CommentReference">
    <w:name w:val="annotation reference"/>
    <w:basedOn w:val="DefaultParagraphFont"/>
    <w:uiPriority w:val="99"/>
    <w:rsid w:val="002F32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322A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22A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32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F322A"/>
    <w:rPr>
      <w:b/>
      <w:bCs/>
    </w:rPr>
  </w:style>
  <w:style w:type="paragraph" w:customStyle="1" w:styleId="li">
    <w:name w:val="li"/>
    <w:basedOn w:val="Normal"/>
    <w:rsid w:val="002F322A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um">
    <w:name w:val="num"/>
    <w:basedOn w:val="DefaultParagraphFont"/>
    <w:rsid w:val="002F322A"/>
  </w:style>
  <w:style w:type="paragraph" w:customStyle="1" w:styleId="Normal1">
    <w:name w:val="Normal1"/>
    <w:basedOn w:val="Normal"/>
    <w:rsid w:val="002F322A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32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52B9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67BB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7BB6"/>
    <w:rPr>
      <w:rFonts w:ascii="Arial" w:eastAsiaTheme="majorEastAsia" w:hAnsi="Arial" w:cs="Arial"/>
      <w:b/>
      <w:bCs/>
      <w:kern w:val="28"/>
      <w:sz w:val="32"/>
      <w:szCs w:val="32"/>
      <w:lang w:val="cs-CZ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BB6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7BB6"/>
    <w:rPr>
      <w:rFonts w:ascii="Arial" w:eastAsiaTheme="majorEastAsia" w:hAnsi="Arial" w:cs="Arial"/>
      <w:kern w:val="2"/>
      <w:sz w:val="24"/>
      <w:szCs w:val="24"/>
      <w:lang w:val="cs-CZ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267BB6"/>
    <w:rPr>
      <w:b/>
      <w:bCs/>
    </w:rPr>
  </w:style>
  <w:style w:type="character" w:styleId="Emphasis">
    <w:name w:val="Emphasis"/>
    <w:basedOn w:val="DefaultParagraphFont"/>
    <w:uiPriority w:val="20"/>
    <w:qFormat/>
    <w:rsid w:val="00267BB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67BB6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67BB6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7BB6"/>
    <w:rPr>
      <w:rFonts w:eastAsiaTheme="minorHAnsi"/>
      <w:i/>
      <w:kern w:val="2"/>
      <w:sz w:val="24"/>
      <w:szCs w:val="24"/>
      <w:lang w:val="cs-CZ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BB6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BB6"/>
    <w:rPr>
      <w:rFonts w:eastAsiaTheme="minorHAnsi"/>
      <w:b/>
      <w:i/>
      <w:kern w:val="2"/>
      <w:sz w:val="24"/>
      <w:szCs w:val="22"/>
      <w:lang w:val="cs-CZ" w:eastAsia="en-US"/>
      <w14:ligatures w14:val="standardContextual"/>
    </w:rPr>
  </w:style>
  <w:style w:type="character" w:styleId="SubtleEmphasis">
    <w:name w:val="Subtle Emphasis"/>
    <w:uiPriority w:val="19"/>
    <w:qFormat/>
    <w:rsid w:val="00267BB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67BB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67BB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67BB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67BB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67BB6"/>
  </w:style>
  <w:style w:type="paragraph" w:styleId="TOC4">
    <w:name w:val="toc 4"/>
    <w:basedOn w:val="Normal"/>
    <w:next w:val="Normal"/>
    <w:uiPriority w:val="39"/>
    <w:unhideWhenUsed/>
    <w:rsid w:val="00267BB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67BB6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67BB6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67BB6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67BB6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67BB6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67BB6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67BB6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267BB6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67BB6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267BB6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267BB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67BB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67BB6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67BB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67BB6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67BB6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267BB6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267BB6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267BB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267BB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267BB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267BB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67BB6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67BB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67BB6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67BB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67BB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67BB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67BB6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67BB6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67BB6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267BB6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267BB6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267BB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267BB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267BB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267BB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67BB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67BB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67BB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67BB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267BB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67BB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67BB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67BB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67BB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67BB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267BB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267BB6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267BB6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267BB6"/>
    <w:pPr>
      <w:widowControl/>
      <w:numPr>
        <w:numId w:val="5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267BB6"/>
    <w:pPr>
      <w:widowControl/>
      <w:numPr>
        <w:numId w:val="6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267BB6"/>
    <w:pPr>
      <w:widowControl/>
      <w:numPr>
        <w:numId w:val="7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267BB6"/>
    <w:pPr>
      <w:widowControl/>
      <w:numPr>
        <w:numId w:val="8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267BB6"/>
    <w:pPr>
      <w:widowControl/>
      <w:numPr>
        <w:numId w:val="9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267BB6"/>
    <w:pPr>
      <w:widowControl/>
      <w:numPr>
        <w:numId w:val="10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267BB6"/>
    <w:pPr>
      <w:widowControl/>
      <w:numPr>
        <w:numId w:val="11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267BB6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67BB6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67BB6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67BB6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267BB6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67BB6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67BB6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67BB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67BB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67BB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67BB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67BB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67BB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67BB6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67BB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67BB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67B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67B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67B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67B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67B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67BB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67BB6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67BB6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67BB6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67BB6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267BB6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67BB6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67BB6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67BB6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67BB6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67BB6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67BB6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67BB6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67BB6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67BB6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67BB6"/>
    <w:pPr>
      <w:widowControl/>
      <w:numPr>
        <w:numId w:val="15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67BB6"/>
    <w:pPr>
      <w:widowControl/>
      <w:numPr>
        <w:numId w:val="16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67BB6"/>
    <w:pPr>
      <w:widowControl/>
      <w:numPr>
        <w:numId w:val="17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67BB6"/>
    <w:pPr>
      <w:widowControl/>
      <w:numPr>
        <w:numId w:val="18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267BB6"/>
    <w:pPr>
      <w:widowControl/>
      <w:numPr>
        <w:numId w:val="19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267BB6"/>
    <w:pPr>
      <w:widowControl/>
      <w:numPr>
        <w:numId w:val="20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267BB6"/>
    <w:pPr>
      <w:widowControl/>
      <w:numPr>
        <w:numId w:val="21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267BB6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67BB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67BB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67BB6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267BB6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67BB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67BB6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67BB6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67BB6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67BB6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67BB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67BB6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267BB6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67BB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67BB6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267BB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267BB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267BB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67BB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67BB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267BB6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267BB6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267BB6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267BB6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267BB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267BB6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67BB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267BB6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67BB6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67BB6"/>
    <w:pPr>
      <w:spacing w:before="240"/>
    </w:pPr>
  </w:style>
  <w:style w:type="paragraph" w:customStyle="1" w:styleId="Accordtitre">
    <w:name w:val="Accord titre"/>
    <w:basedOn w:val="Normal"/>
    <w:rsid w:val="00267BB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267BB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267BB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67BB6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67BB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67BB6"/>
    <w:pPr>
      <w:spacing w:after="240"/>
    </w:pPr>
  </w:style>
  <w:style w:type="paragraph" w:customStyle="1" w:styleId="Annexetitre">
    <w:name w:val="Annexe titre"/>
    <w:basedOn w:val="Normal"/>
    <w:next w:val="Normal"/>
    <w:rsid w:val="00267BB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267BB6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67BB6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67BB6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267BB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67BB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67BB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67BB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67BB6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67BB6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67BB6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67BB6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67BB6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67BB6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67BB6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67BB6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67BB6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67BB6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67BB6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67BB6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67BB6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67BB6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67BB6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67BB6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67BB6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67BB6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67BB6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67BB6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67BB6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67BB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67BB6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267BB6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267BB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67BB6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267BB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393</Words>
  <Characters>2440</Characters>
  <Application>Microsoft Office Word</Application>
  <DocSecurity>0</DocSecurity>
  <Lines>106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2026-03-04T14:46:00Z</dcterms:created>
  <dcterms:modified xsi:type="dcterms:W3CDTF">2026-03-04T14:46:00Z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