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4B88" w14:paraId="327B1D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739FC9" w14:textId="77777777" w:rsidR="00751A4A" w:rsidRPr="00284B88" w:rsidRDefault="006907E3" w:rsidP="0010095E">
            <w:pPr>
              <w:pStyle w:val="EPName"/>
            </w:pPr>
            <w:r w:rsidRPr="00284B88">
              <w:t>Parlaimint na hEorpa</w:t>
            </w:r>
          </w:p>
          <w:p w14:paraId="1FC5D0FE" w14:textId="77777777" w:rsidR="00751A4A" w:rsidRPr="00284B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4B88">
              <w:t>2024</w:t>
            </w:r>
            <w:r w:rsidR="00817416" w:rsidRPr="00284B88">
              <w:t>-202</w:t>
            </w:r>
            <w:r w:rsidRPr="00284B88">
              <w:t>9</w:t>
            </w:r>
          </w:p>
        </w:tc>
        <w:tc>
          <w:tcPr>
            <w:tcW w:w="2268" w:type="dxa"/>
            <w:shd w:val="clear" w:color="auto" w:fill="auto"/>
          </w:tcPr>
          <w:p w14:paraId="02EF5421" w14:textId="77777777" w:rsidR="00751A4A" w:rsidRPr="00284B88" w:rsidRDefault="00187494" w:rsidP="0010095E">
            <w:pPr>
              <w:pStyle w:val="EPLogo"/>
            </w:pPr>
            <w:r w:rsidRPr="00284B88">
              <w:rPr>
                <w:noProof/>
                <w:lang w:eastAsia="ja-JP"/>
              </w:rPr>
              <w:drawing>
                <wp:inline distT="0" distB="0" distL="0" distR="0" wp14:anchorId="3EC152DA" wp14:editId="199442F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322015" w14:textId="77777777" w:rsidR="00D058B8" w:rsidRPr="00284B88" w:rsidRDefault="00D058B8" w:rsidP="004C5D52">
      <w:pPr>
        <w:pStyle w:val="LineTop"/>
      </w:pPr>
    </w:p>
    <w:p w14:paraId="7605865D" w14:textId="77777777" w:rsidR="00680577" w:rsidRPr="00284B88" w:rsidRDefault="006907E3" w:rsidP="00680577">
      <w:pPr>
        <w:pStyle w:val="EPBodyTA1"/>
      </w:pPr>
      <w:r w:rsidRPr="00284B88">
        <w:t xml:space="preserve">TÉACSANNA ARNA </w:t>
      </w:r>
      <w:proofErr w:type="spellStart"/>
      <w:r w:rsidRPr="00284B88">
        <w:t>nGLACADH</w:t>
      </w:r>
      <w:proofErr w:type="spellEnd"/>
    </w:p>
    <w:p w14:paraId="4D009B97" w14:textId="77777777" w:rsidR="00D058B8" w:rsidRPr="00284B88" w:rsidRDefault="00D058B8" w:rsidP="00D058B8">
      <w:pPr>
        <w:pStyle w:val="LineBottom"/>
      </w:pPr>
    </w:p>
    <w:p w14:paraId="2B5DC8CC" w14:textId="6A20B713" w:rsidR="006907E3" w:rsidRPr="00284B88" w:rsidRDefault="006907E3" w:rsidP="006907E3">
      <w:pPr>
        <w:pStyle w:val="ATHeading1"/>
      </w:pPr>
      <w:bookmarkStart w:id="0" w:name="TANumber"/>
      <w:r w:rsidRPr="00284B88">
        <w:t>P10_TA(2025)0</w:t>
      </w:r>
      <w:bookmarkEnd w:id="0"/>
      <w:r w:rsidR="00196F1C">
        <w:t>321</w:t>
      </w:r>
    </w:p>
    <w:p w14:paraId="47ED04E3" w14:textId="2BF90CD9" w:rsidR="006907E3" w:rsidRPr="00284B88" w:rsidRDefault="00F95E89" w:rsidP="006907E3">
      <w:pPr>
        <w:pStyle w:val="ATHeading2"/>
      </w:pPr>
      <w:r w:rsidRPr="00F95E89">
        <w:t xml:space="preserve">Leasú a dhéanamh ar Rialachán áirithe CBT a mhéid a bhaineann leis an gcóras </w:t>
      </w:r>
      <w:proofErr w:type="spellStart"/>
      <w:r w:rsidRPr="00F95E89">
        <w:t>coinníollachta</w:t>
      </w:r>
      <w:proofErr w:type="spellEnd"/>
      <w:r w:rsidRPr="00F95E89">
        <w:t>, cineálacha idirghabhála i bhfoirm íocaíocht dhíreach, cineálacha idirghabhála in earnálacha ar leith agus tuarascálacha forbartha tuaithe agus tuarascálacha feidhmíochta bliantúla, rialachas sonraí agus idir-inoibritheachta, íocaíochtaí a chur ar fionraí, imréiteach feidhmíochta bliantúil agus rialuithe agus pionóis</w:t>
      </w:r>
    </w:p>
    <w:p w14:paraId="6AE15CF1" w14:textId="4E41869A" w:rsidR="006907E3" w:rsidRPr="00284B88" w:rsidRDefault="006907E3" w:rsidP="006907E3">
      <w:pPr>
        <w:rPr>
          <w:i/>
          <w:vanish/>
        </w:rPr>
      </w:pPr>
      <w:r w:rsidRPr="00284B88">
        <w:rPr>
          <w:i/>
        </w:rPr>
        <w:fldChar w:fldCharType="begin"/>
      </w:r>
      <w:r w:rsidRPr="00284B88">
        <w:rPr>
          <w:i/>
        </w:rPr>
        <w:instrText xml:space="preserve"> TC"(</w:instrText>
      </w:r>
      <w:bookmarkStart w:id="1" w:name="DocNumber"/>
      <w:r w:rsidRPr="00284B88">
        <w:rPr>
          <w:i/>
        </w:rPr>
        <w:instrText>A10-0164/2025</w:instrText>
      </w:r>
      <w:bookmarkEnd w:id="1"/>
      <w:r w:rsidRPr="00284B88">
        <w:rPr>
          <w:i/>
        </w:rPr>
        <w:instrText xml:space="preserve"> -  Rapóirtéir:</w:instrText>
      </w:r>
      <w:r w:rsidR="00F95E89">
        <w:rPr>
          <w:i/>
        </w:rPr>
        <w:instrText xml:space="preserve"> </w:instrText>
      </w:r>
      <w:r w:rsidRPr="00284B88">
        <w:rPr>
          <w:i/>
        </w:rPr>
        <w:instrText xml:space="preserve">André Rodrigues)"\l3 \n&gt; \* MERGEFORMAT </w:instrText>
      </w:r>
      <w:r w:rsidRPr="00284B88">
        <w:rPr>
          <w:i/>
        </w:rPr>
        <w:fldChar w:fldCharType="end"/>
      </w:r>
    </w:p>
    <w:p w14:paraId="62B779A4" w14:textId="77777777" w:rsidR="006907E3" w:rsidRPr="00284B88" w:rsidRDefault="006907E3" w:rsidP="006907E3">
      <w:pPr>
        <w:rPr>
          <w:vanish/>
        </w:rPr>
      </w:pPr>
      <w:bookmarkStart w:id="2" w:name="Commission"/>
      <w:r w:rsidRPr="00284B88">
        <w:rPr>
          <w:vanish/>
        </w:rPr>
        <w:t>An Coiste um Thalmhaíocht agus um Fhorbairt Tuaithe</w:t>
      </w:r>
      <w:bookmarkEnd w:id="2"/>
    </w:p>
    <w:p w14:paraId="33C27E97" w14:textId="77777777" w:rsidR="006907E3" w:rsidRPr="00284B88" w:rsidRDefault="006907E3" w:rsidP="006907E3">
      <w:pPr>
        <w:rPr>
          <w:vanish/>
        </w:rPr>
      </w:pPr>
      <w:bookmarkStart w:id="3" w:name="PE"/>
      <w:r w:rsidRPr="00284B88">
        <w:rPr>
          <w:vanish/>
        </w:rPr>
        <w:t>PE776.996</w:t>
      </w:r>
      <w:bookmarkEnd w:id="3"/>
    </w:p>
    <w:p w14:paraId="477F43EB" w14:textId="26AC61ED" w:rsidR="006907E3" w:rsidRPr="00284B88" w:rsidRDefault="006907E3" w:rsidP="006907E3">
      <w:pPr>
        <w:pStyle w:val="ATHeading3"/>
      </w:pPr>
      <w:bookmarkStart w:id="4" w:name="Sujet"/>
      <w:r w:rsidRPr="00284B88">
        <w:t xml:space="preserve">Rún reachtach ó Pharlaimint na hEorpa an </w:t>
      </w:r>
      <w:r w:rsidR="00F95E89">
        <w:t>16</w:t>
      </w:r>
      <w:r w:rsidRPr="00284B88">
        <w:t xml:space="preserve"> </w:t>
      </w:r>
      <w:r w:rsidR="00F95E89">
        <w:t>Nollaig</w:t>
      </w:r>
      <w:r w:rsidRPr="00284B88">
        <w:t xml:space="preserve"> 2025 ar an togra le haghaidh Rialachán ó Pharlaimint na hEorpa agus ón gComhairle lena leasaítear Rialachán (AE) 2021/2115 a mhéid a bhaineann leis an gcóras </w:t>
      </w:r>
      <w:proofErr w:type="spellStart"/>
      <w:r w:rsidRPr="00284B88">
        <w:t>coinníollachta</w:t>
      </w:r>
      <w:proofErr w:type="spellEnd"/>
      <w:r w:rsidRPr="00284B88">
        <w:t>, cineálacha idirghabhála i bhfoirm íocaíochta dírí, cineálacha idirghabhála in earnálacha áirithe agus tuarascálacha forbartha tuaithe agus tuarascálacha feidhmíochta bliantúla agus Rialachán (AE) 2021/2116 a mhéid a bhaineann le rialachas sonraí agus idir-inoibritheachta, íocaíochtaí a chur ar fionraí agus imréiteach feidhmíochta bliantúil agus rialuithe agus pionóis</w:t>
      </w:r>
      <w:bookmarkEnd w:id="4"/>
      <w:r w:rsidRPr="00284B88">
        <w:t xml:space="preserve"> </w:t>
      </w:r>
      <w:bookmarkStart w:id="5" w:name="References"/>
      <w:r w:rsidRPr="00284B88">
        <w:t>(COM(2025)0236 – C10-0086/2025 – 2025/0236(COD))</w:t>
      </w:r>
      <w:bookmarkEnd w:id="5"/>
    </w:p>
    <w:p w14:paraId="1CE95050" w14:textId="77777777" w:rsidR="002E39E4" w:rsidRPr="00284B88" w:rsidRDefault="002E39E4" w:rsidP="002E39E4">
      <w:pPr>
        <w:pStyle w:val="NormalBold"/>
      </w:pPr>
      <w:bookmarkStart w:id="6" w:name="TextBodyBegin"/>
      <w:bookmarkEnd w:id="6"/>
      <w:r w:rsidRPr="00284B88">
        <w:t>(An gnáthnós imeachta reachtach: an chéad léamh)</w:t>
      </w:r>
    </w:p>
    <w:p w14:paraId="3DBADD3C" w14:textId="77777777" w:rsidR="002E39E4" w:rsidRPr="00284B88" w:rsidRDefault="002E39E4" w:rsidP="002E39E4">
      <w:pPr>
        <w:pStyle w:val="EPComma"/>
      </w:pPr>
      <w:r w:rsidRPr="00284B88">
        <w:rPr>
          <w:i/>
          <w:iCs/>
        </w:rPr>
        <w:t>Tá Parlaimint na hEorpa</w:t>
      </w:r>
      <w:r w:rsidRPr="00284B88">
        <w:t>,</w:t>
      </w:r>
    </w:p>
    <w:p w14:paraId="44C62E46" w14:textId="77777777" w:rsidR="002E39E4" w:rsidRPr="00284B88" w:rsidRDefault="002E39E4" w:rsidP="002E39E4">
      <w:pPr>
        <w:pStyle w:val="NormalHanging12a"/>
      </w:pPr>
      <w:r w:rsidRPr="00284B88">
        <w:t>–</w:t>
      </w:r>
      <w:r w:rsidRPr="00284B88">
        <w:tab/>
        <w:t>ag féachaint don togra ón gCoimisiún chuig Parlaimint na hEorpa agus chuig an gComhairle (COM(2025)0236),</w:t>
      </w:r>
    </w:p>
    <w:p w14:paraId="01EA075A" w14:textId="77777777" w:rsidR="002E39E4" w:rsidRPr="00284B88" w:rsidRDefault="002E39E4" w:rsidP="002E39E4">
      <w:pPr>
        <w:pStyle w:val="NormalHanging12a"/>
      </w:pPr>
      <w:r w:rsidRPr="00284B88">
        <w:t>–</w:t>
      </w:r>
      <w:r w:rsidRPr="00284B88">
        <w:tab/>
        <w:t>ag féachaint d’Airteagal 294(2) agus d’Airteagal 43(2) den Chonradh ar Fheidhmiú an Aontais Eorpaigh, ar dá mbun a thíolaic an Coimisiún an togra do Pharlaimint na hEorpa (C10</w:t>
      </w:r>
      <w:r w:rsidRPr="00284B88">
        <w:noBreakHyphen/>
        <w:t>0086/2025),</w:t>
      </w:r>
    </w:p>
    <w:p w14:paraId="0A28CBF5" w14:textId="77777777" w:rsidR="002E39E4" w:rsidRPr="00284B88" w:rsidRDefault="002E39E4" w:rsidP="002E39E4">
      <w:pPr>
        <w:pStyle w:val="NormalHanging12a"/>
      </w:pPr>
      <w:r w:rsidRPr="00284B88">
        <w:t>–</w:t>
      </w:r>
      <w:r w:rsidRPr="00284B88">
        <w:tab/>
        <w:t>ag féachaint d’Airteagal 294(3) den Chonradh ar Fheidhmiú an Aontais Eorpaigh,</w:t>
      </w:r>
    </w:p>
    <w:p w14:paraId="5A253BB0" w14:textId="77777777" w:rsidR="002E39E4" w:rsidRDefault="002E39E4" w:rsidP="002E39E4">
      <w:pPr>
        <w:pStyle w:val="NormalHanging12a"/>
      </w:pPr>
      <w:r w:rsidRPr="00284B88">
        <w:t>–</w:t>
      </w:r>
      <w:r w:rsidRPr="00284B88">
        <w:tab/>
        <w:t>ag féachaint do thuairim ó Choiste Eacnamaíoch agus Sóisialta na hEorpa an 18 Meán Fómhair 2025</w:t>
      </w:r>
      <w:r w:rsidRPr="00284B88">
        <w:rPr>
          <w:rStyle w:val="FootnoteReference"/>
        </w:rPr>
        <w:footnoteReference w:id="1"/>
      </w:r>
      <w:r w:rsidRPr="00284B88">
        <w:t>,</w:t>
      </w:r>
    </w:p>
    <w:p w14:paraId="11B359FF" w14:textId="778FB042" w:rsidR="00F95E89" w:rsidRPr="00284B88" w:rsidRDefault="00F95E89" w:rsidP="002E39E4">
      <w:pPr>
        <w:pStyle w:val="NormalHanging12a"/>
      </w:pPr>
      <w:r w:rsidRPr="00284B88">
        <w:t>–</w:t>
      </w:r>
      <w:r w:rsidRPr="00284B88">
        <w:tab/>
      </w:r>
      <w:r w:rsidRPr="00F95E89">
        <w:t>ag féachaint don chomhaontú sealadach arna fhormheas de bhun Riail 75(4) dá Rialacha Nós Imeachta ag an gcoiste freagrach, agus don ghealltanas a thug ionadaí na Comhairle i litir dar dáta an 1</w:t>
      </w:r>
      <w:r>
        <w:t>9</w:t>
      </w:r>
      <w:r w:rsidRPr="00F95E89">
        <w:t xml:space="preserve"> Samhain 2025 go ndéanfadh sí seasamh Pharlaimint na hEorpa a fhormheas, i gcomhréir le hAirteagal 294(4) den Chonradh ar Fheidhmiú an Aontais Eorpaigh,</w:t>
      </w:r>
    </w:p>
    <w:p w14:paraId="616FBCEC" w14:textId="77777777" w:rsidR="002E39E4" w:rsidRPr="00284B88" w:rsidRDefault="002E39E4" w:rsidP="002E39E4">
      <w:pPr>
        <w:pStyle w:val="NormalHanging12a"/>
      </w:pPr>
      <w:r w:rsidRPr="00284B88">
        <w:t>–</w:t>
      </w:r>
      <w:r w:rsidRPr="00284B88">
        <w:tab/>
        <w:t>ag féachaint do Riail 60 dá Rialacha Nós Imeachta,</w:t>
      </w:r>
    </w:p>
    <w:p w14:paraId="16AF8D2B" w14:textId="77777777" w:rsidR="002E39E4" w:rsidRPr="00284B88" w:rsidRDefault="002E39E4" w:rsidP="002E39E4">
      <w:pPr>
        <w:pStyle w:val="NormalHanging12a"/>
      </w:pPr>
      <w:r w:rsidRPr="00284B88">
        <w:t>–</w:t>
      </w:r>
      <w:r w:rsidRPr="00284B88">
        <w:tab/>
        <w:t>ag féachaint don tuarascáil ón gCoiste um Thalmhaíocht agus um Fhorbairt Tuaithe (A10-</w:t>
      </w:r>
      <w:r w:rsidRPr="00284B88">
        <w:lastRenderedPageBreak/>
        <w:t>0164/2025),</w:t>
      </w:r>
    </w:p>
    <w:p w14:paraId="67C75F85" w14:textId="35157BA1" w:rsidR="002E39E4" w:rsidRPr="00284B88" w:rsidRDefault="002E39E4" w:rsidP="002E39E4">
      <w:pPr>
        <w:pStyle w:val="NormalHanging12a"/>
      </w:pPr>
      <w:r w:rsidRPr="00284B88">
        <w:t>1.</w:t>
      </w:r>
      <w:r w:rsidRPr="00284B88">
        <w:tab/>
        <w:t>ag glacadh a seasaimh ar an gcéad léamh mar a leagtar amach ina dhiaidh seo é</w:t>
      </w:r>
      <w:r w:rsidR="00F95E89">
        <w:rPr>
          <w:rStyle w:val="FootnoteReference"/>
        </w:rPr>
        <w:footnoteReference w:id="2"/>
      </w:r>
      <w:r w:rsidRPr="00284B88">
        <w:t>;</w:t>
      </w:r>
    </w:p>
    <w:p w14:paraId="66A8544B" w14:textId="77777777" w:rsidR="002E39E4" w:rsidRPr="00284B88" w:rsidRDefault="002E39E4" w:rsidP="002E39E4">
      <w:pPr>
        <w:pStyle w:val="NormalHanging12a"/>
      </w:pPr>
      <w:r w:rsidRPr="00284B88">
        <w:t>2.</w:t>
      </w:r>
      <w:r w:rsidRPr="00284B88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2B6BF6C" w14:textId="77777777" w:rsidR="002E39E4" w:rsidRPr="00284B88" w:rsidRDefault="002E39E4" w:rsidP="002E39E4">
      <w:pPr>
        <w:pStyle w:val="NormalHanging12a"/>
      </w:pPr>
      <w:r w:rsidRPr="00284B88">
        <w:t>3.</w:t>
      </w:r>
      <w:r w:rsidRPr="00284B88">
        <w:tab/>
        <w:t>á threorú dá hUachtarán a seasamh a chur ar aghaidh chuig an gComhairle, chuig an gCoimisiún agus chuig na parlaimintí náisiúnta.</w:t>
      </w:r>
    </w:p>
    <w:p w14:paraId="593AFDCB" w14:textId="77777777" w:rsidR="00A20316" w:rsidRDefault="00A20316">
      <w:pPr>
        <w:widowControl/>
        <w:sectPr w:rsidR="00A20316" w:rsidSect="009C7D7A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14:paraId="5F5E16A2" w14:textId="77777777" w:rsidR="00F95E89" w:rsidRPr="006C05F1" w:rsidRDefault="00F95E89" w:rsidP="00F95E8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236</w:t>
      </w:r>
    </w:p>
    <w:p w14:paraId="179AD3CC" w14:textId="7E4AE12F" w:rsidR="009C7D7A" w:rsidRDefault="00F95E89" w:rsidP="009C7D7A">
      <w:pPr>
        <w:spacing w:before="360" w:after="360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9C7D7A">
        <w:rPr>
          <w:b/>
          <w:bCs/>
        </w:rPr>
        <w:t xml:space="preserve">Seasamh ó Pharlaimint na hEorpa arna ghlacadh ar an gcéad léamh an 16 Nollaig 2025 chun go nglacfaí Rialachán (AE) 2025/... ó Pharlaimint na hEorpa agus ón gComhairle </w:t>
      </w:r>
      <w:r w:rsidR="009C7D7A" w:rsidRPr="009C7D7A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 xml:space="preserve">lena leasaítear Rialachán (AE) 2021/2115 a mhéid a bhaineann leis an gcóras </w:t>
      </w:r>
      <w:proofErr w:type="spellStart"/>
      <w:r w:rsidR="009C7D7A" w:rsidRPr="009C7D7A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coinníollachta</w:t>
      </w:r>
      <w:proofErr w:type="spellEnd"/>
      <w:r w:rsidR="009C7D7A" w:rsidRPr="009C7D7A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, cineálacha idirghabhála i bhfoirm íocaíochta dírí, cineálacha idirghabhála in earnálacha áirithe agus tuarascálacha forbartha tuaithe agus tuarascálacha feidhmíochta bliantúla agus Rialachán (AE) 2021/2116 a mhéid a bhaineann le híocaíochtaí a chur ar fionraí agus imréiteach feidhmíochta bliantúil agus rialuithe agus pionóis</w:t>
      </w:r>
    </w:p>
    <w:p w14:paraId="5FDB0736" w14:textId="7CAD51CC" w:rsidR="00D83ACC" w:rsidRPr="00D83ACC" w:rsidRDefault="00D83ACC" w:rsidP="009C7D7A">
      <w:pPr>
        <w:spacing w:before="360" w:after="360"/>
        <w:rPr>
          <w:rFonts w:eastAsia="Calibri"/>
          <w:i/>
          <w:iCs/>
          <w:szCs w:val="22"/>
          <w:lang w:eastAsia="en-US"/>
        </w:rPr>
      </w:pPr>
      <w:r w:rsidRPr="00D83ACC">
        <w:rPr>
          <w:rFonts w:eastAsia="Calibri"/>
          <w:i/>
          <w:iCs/>
          <w:szCs w:val="22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r>
        <w:rPr>
          <w:rFonts w:eastAsia="Calibri"/>
          <w:i/>
          <w:iCs/>
          <w:szCs w:val="22"/>
          <w:lang w:eastAsia="en-US"/>
        </w:rPr>
        <w:t>Rialachán (AE) 2025/2649.)</w:t>
      </w:r>
    </w:p>
    <w:sectPr w:rsidR="00D83ACC" w:rsidRPr="00D83ACC" w:rsidSect="00D83A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63741" w14:textId="77777777" w:rsidR="006907E3" w:rsidRPr="00284B88" w:rsidRDefault="006907E3">
      <w:r w:rsidRPr="00284B88">
        <w:separator/>
      </w:r>
    </w:p>
  </w:endnote>
  <w:endnote w:type="continuationSeparator" w:id="0">
    <w:p w14:paraId="65B48BB5" w14:textId="77777777" w:rsidR="006907E3" w:rsidRPr="00284B88" w:rsidRDefault="006907E3">
      <w:r w:rsidRPr="00284B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52D27" w14:textId="77777777" w:rsidR="00064002" w:rsidRPr="00284B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02EEE" w14:textId="77777777" w:rsidR="00064002" w:rsidRPr="00284B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66490" w14:textId="77777777" w:rsidR="00064002" w:rsidRPr="00284B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EA78B" w14:textId="77777777" w:rsidR="006907E3" w:rsidRPr="00284B88" w:rsidRDefault="006907E3">
      <w:r w:rsidRPr="00284B88">
        <w:separator/>
      </w:r>
    </w:p>
  </w:footnote>
  <w:footnote w:type="continuationSeparator" w:id="0">
    <w:p w14:paraId="40AE01A3" w14:textId="77777777" w:rsidR="006907E3" w:rsidRPr="00284B88" w:rsidRDefault="006907E3">
      <w:r w:rsidRPr="00284B88">
        <w:continuationSeparator/>
      </w:r>
    </w:p>
  </w:footnote>
  <w:footnote w:id="1">
    <w:p w14:paraId="0B9AB374" w14:textId="65AC5DB0" w:rsidR="002E39E4" w:rsidRPr="00284B88" w:rsidRDefault="002E39E4" w:rsidP="00284B88">
      <w:pPr>
        <w:pStyle w:val="FootnoteText"/>
        <w:ind w:left="567" w:hanging="567"/>
        <w:rPr>
          <w:sz w:val="24"/>
          <w:lang w:val="ga-IE"/>
        </w:rPr>
      </w:pPr>
      <w:r w:rsidRPr="00284B88">
        <w:rPr>
          <w:rStyle w:val="FootnoteReference"/>
          <w:sz w:val="24"/>
          <w:lang w:val="ga-IE"/>
        </w:rPr>
        <w:footnoteRef/>
      </w:r>
      <w:r w:rsidR="00284B88" w:rsidRPr="00284B88">
        <w:rPr>
          <w:sz w:val="24"/>
          <w:lang w:val="ga-IE"/>
        </w:rPr>
        <w:t xml:space="preserve"> </w:t>
      </w:r>
      <w:r w:rsidR="00284B88" w:rsidRPr="00284B88">
        <w:rPr>
          <w:sz w:val="24"/>
          <w:lang w:val="ga-IE"/>
        </w:rPr>
        <w:tab/>
      </w:r>
      <w:r w:rsidRPr="00284B88">
        <w:rPr>
          <w:sz w:val="24"/>
          <w:lang w:val="ga-IE"/>
        </w:rPr>
        <w:t>Nár foilsíodh fós san Iris Oifigiúil.</w:t>
      </w:r>
    </w:p>
  </w:footnote>
  <w:footnote w:id="2">
    <w:p w14:paraId="14348C55" w14:textId="43019774" w:rsidR="00F95E89" w:rsidRPr="00713E90" w:rsidRDefault="00F95E89">
      <w:pPr>
        <w:pStyle w:val="FootnoteText"/>
        <w:rPr>
          <w:lang w:val="ga-IE"/>
        </w:rPr>
      </w:pPr>
      <w:r>
        <w:rPr>
          <w:rStyle w:val="FootnoteReference"/>
        </w:rPr>
        <w:footnoteRef/>
      </w:r>
      <w:r w:rsidRPr="00713E90">
        <w:rPr>
          <w:lang w:val="ga-IE"/>
        </w:rPr>
        <w:t xml:space="preserve"> </w:t>
      </w:r>
      <w:r w:rsidRPr="00713E90">
        <w:rPr>
          <w:lang w:val="ga-IE"/>
        </w:rPr>
        <w:tab/>
        <w:t xml:space="preserve">Tá an seasamh seo ag gabháil in ionad na leasuithe a glacadh an </w:t>
      </w:r>
      <w:r>
        <w:rPr>
          <w:lang w:val="ga-IE"/>
        </w:rPr>
        <w:t xml:space="preserve">8 Deireadh Fómhair 2025 </w:t>
      </w:r>
      <w:r w:rsidRPr="00713E90">
        <w:rPr>
          <w:lang w:val="ga-IE"/>
        </w:rPr>
        <w:t>(Téacsanna a</w:t>
      </w:r>
      <w:r>
        <w:rPr>
          <w:lang w:val="ga-IE"/>
        </w:rPr>
        <w:t>rna</w:t>
      </w:r>
      <w:r w:rsidRPr="00713E90">
        <w:rPr>
          <w:lang w:val="ga-IE"/>
        </w:rPr>
        <w:t xml:space="preserve"> </w:t>
      </w:r>
      <w:r>
        <w:rPr>
          <w:lang w:val="ga-IE"/>
        </w:rPr>
        <w:t>n</w:t>
      </w:r>
      <w:r w:rsidRPr="00713E90">
        <w:rPr>
          <w:lang w:val="ga-IE"/>
        </w:rPr>
        <w:t>glacadh, P</w:t>
      </w:r>
      <w:r>
        <w:rPr>
          <w:lang w:val="ga-IE"/>
        </w:rPr>
        <w:t>10</w:t>
      </w:r>
      <w:r w:rsidRPr="00713E90">
        <w:rPr>
          <w:lang w:val="ga-IE"/>
        </w:rPr>
        <w:t>_TA(20</w:t>
      </w:r>
      <w:r>
        <w:rPr>
          <w:lang w:val="ga-IE"/>
        </w:rPr>
        <w:t>25</w:t>
      </w:r>
      <w:r w:rsidRPr="00713E90">
        <w:rPr>
          <w:lang w:val="ga-IE"/>
        </w:rPr>
        <w:t>)0</w:t>
      </w:r>
      <w:r>
        <w:rPr>
          <w:lang w:val="ga-IE"/>
        </w:rPr>
        <w:t>213</w:t>
      </w:r>
      <w:r w:rsidRPr="00713E90">
        <w:rPr>
          <w:lang w:val="ga-I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3904D" w14:textId="77777777" w:rsidR="00064002" w:rsidRPr="00284B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D49AB" w14:textId="77777777" w:rsidR="00064002" w:rsidRPr="00284B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B04FB" w14:textId="77777777" w:rsidR="00064002" w:rsidRPr="00284B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921330602">
    <w:abstractNumId w:val="0"/>
  </w:num>
  <w:num w:numId="2" w16cid:durableId="1353413581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4/2025"/>
    <w:docVar w:name="dvlangue" w:val="GA"/>
    <w:docVar w:name="dvnumam" w:val="75"/>
    <w:docVar w:name="dvpe" w:val="776.996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leasaítear Rialachán (AE) 2021/2115 a mhéid a bhaineann leis an gcóras coinníollachta, cineálacha idirghabhála i bhfoirm íocaíochta dírí, cineálacha idirghabhála in earnálacha áirithe agus tuarascálacha forbartha tuaithe agus tuarascálacha feidhmíochta bliantúla agus Rialachán (AE) 2021/2116 a mhéid a bhaineann le rialachas sonraí agus idir-inoibritheachta, íocaíochtaí a chur ar fionraí agus imréiteach feidhmíochta bliantúil agus rialuithe agus pionóis(COM(2025)0236 – C10-0086/2025 – 2025/0236(COD))"/>
  </w:docVars>
  <w:rsids>
    <w:rsidRoot w:val="006907E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6F1C"/>
    <w:rsid w:val="001F32AE"/>
    <w:rsid w:val="002767FF"/>
    <w:rsid w:val="00284B88"/>
    <w:rsid w:val="002B18FE"/>
    <w:rsid w:val="002B5493"/>
    <w:rsid w:val="002E39E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4A9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07E3"/>
    <w:rsid w:val="006F74FA"/>
    <w:rsid w:val="00713E9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AC6"/>
    <w:rsid w:val="00930C23"/>
    <w:rsid w:val="0093193B"/>
    <w:rsid w:val="009509D8"/>
    <w:rsid w:val="00950B64"/>
    <w:rsid w:val="00981893"/>
    <w:rsid w:val="009C7D7A"/>
    <w:rsid w:val="00A1687D"/>
    <w:rsid w:val="00A2031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302"/>
    <w:rsid w:val="00D058B8"/>
    <w:rsid w:val="00D20A9C"/>
    <w:rsid w:val="00D56C11"/>
    <w:rsid w:val="00D834A0"/>
    <w:rsid w:val="00D83ACC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E8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EF4B76"/>
  <w15:chartTrackingRefBased/>
  <w15:docId w15:val="{1708FB80-8BD5-4E37-BDC3-50812C0A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E39E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39E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9E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9E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9E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9E4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9E4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9E4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9E4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2E39E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E39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E39E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E39E4"/>
    <w:pPr>
      <w:spacing w:after="120"/>
    </w:pPr>
  </w:style>
  <w:style w:type="paragraph" w:customStyle="1" w:styleId="PageHeading">
    <w:name w:val="PageHeading"/>
    <w:basedOn w:val="Normal"/>
    <w:rsid w:val="002E39E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E39E4"/>
    <w:rPr>
      <w:b/>
    </w:rPr>
  </w:style>
  <w:style w:type="paragraph" w:customStyle="1" w:styleId="NormalBold12a">
    <w:name w:val="NormalBold12a"/>
    <w:basedOn w:val="Normal"/>
    <w:rsid w:val="002E39E4"/>
    <w:pPr>
      <w:spacing w:after="240"/>
    </w:pPr>
    <w:rPr>
      <w:b/>
    </w:rPr>
  </w:style>
  <w:style w:type="paragraph" w:customStyle="1" w:styleId="AmJustText">
    <w:name w:val="AmJustText"/>
    <w:basedOn w:val="Normal"/>
    <w:rsid w:val="002E39E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E39E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E39E4"/>
    <w:pPr>
      <w:spacing w:after="480"/>
      <w:ind w:left="1417"/>
    </w:pPr>
  </w:style>
  <w:style w:type="paragraph" w:customStyle="1" w:styleId="CoverNormal">
    <w:name w:val="CoverNormal"/>
    <w:basedOn w:val="Normal"/>
    <w:rsid w:val="002E39E4"/>
    <w:pPr>
      <w:ind w:left="1418"/>
    </w:pPr>
  </w:style>
  <w:style w:type="paragraph" w:customStyle="1" w:styleId="AmCrossRef">
    <w:name w:val="AmCrossRef"/>
    <w:basedOn w:val="Normal"/>
    <w:rsid w:val="002E39E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E39E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E39E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E39E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E39E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E39E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E39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39E4"/>
    <w:rPr>
      <w:sz w:val="24"/>
      <w:lang w:val="ga-IE"/>
    </w:rPr>
  </w:style>
  <w:style w:type="paragraph" w:customStyle="1" w:styleId="AmOrLang">
    <w:name w:val="AmOrLang"/>
    <w:basedOn w:val="Normal"/>
    <w:rsid w:val="002E39E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E39E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E39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E39E4"/>
    <w:pPr>
      <w:spacing w:before="240"/>
    </w:pPr>
    <w:rPr>
      <w:b/>
    </w:rPr>
  </w:style>
  <w:style w:type="paragraph" w:customStyle="1" w:styleId="EPBody">
    <w:name w:val="EPBody"/>
    <w:basedOn w:val="Normal"/>
    <w:rsid w:val="002E39E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E39E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E39E4"/>
    <w:pPr>
      <w:spacing w:before="480" w:after="240"/>
    </w:pPr>
  </w:style>
  <w:style w:type="paragraph" w:customStyle="1" w:styleId="Lgendesigne">
    <w:name w:val="Légende signe"/>
    <w:basedOn w:val="Normal"/>
    <w:rsid w:val="002E39E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E39E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E39E4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2E39E4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2E39E4"/>
    <w:rPr>
      <w:b/>
      <w:sz w:val="24"/>
      <w:lang w:val="ga-IE"/>
    </w:rPr>
  </w:style>
  <w:style w:type="table" w:customStyle="1" w:styleId="TableGrid1">
    <w:name w:val="Table Grid1"/>
    <w:basedOn w:val="TableNormal"/>
    <w:uiPriority w:val="39"/>
    <w:rsid w:val="002E39E4"/>
    <w:rPr>
      <w:rFonts w:asciiTheme="minorHAnsi" w:eastAsiaTheme="minorHAnsi" w:hAnsiTheme="minorHAnsi" w:cstheme="minorBidi"/>
      <w:sz w:val="22"/>
      <w:szCs w:val="22"/>
      <w:lang w:val="ga-IE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6Char">
    <w:name w:val="Normal6 Char"/>
    <w:basedOn w:val="DefaultParagraphFont"/>
    <w:link w:val="Normal6"/>
    <w:locked/>
    <w:rsid w:val="002E39E4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2E39E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E39E4"/>
    <w:rPr>
      <w:b/>
      <w:sz w:val="24"/>
      <w:lang w:val="ga-IE"/>
    </w:rPr>
  </w:style>
  <w:style w:type="paragraph" w:customStyle="1" w:styleId="ColumnHeading">
    <w:name w:val="ColumnHeading"/>
    <w:basedOn w:val="Normal"/>
    <w:rsid w:val="002E39E4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2E39E4"/>
    <w:pPr>
      <w:spacing w:after="240"/>
    </w:pPr>
  </w:style>
  <w:style w:type="paragraph" w:customStyle="1" w:styleId="RollCallVotes">
    <w:name w:val="RollCallVotes"/>
    <w:basedOn w:val="Normal"/>
    <w:rsid w:val="002E39E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E39E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E39E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E39E4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2E39E4"/>
    <w:pPr>
      <w:spacing w:after="480"/>
    </w:pPr>
  </w:style>
  <w:style w:type="paragraph" w:customStyle="1" w:styleId="NormalBoldCenter">
    <w:name w:val="NormalBoldCenter"/>
    <w:basedOn w:val="Normal"/>
    <w:rsid w:val="002E39E4"/>
    <w:pPr>
      <w:jc w:val="center"/>
    </w:pPr>
    <w:rPr>
      <w:b/>
    </w:rPr>
  </w:style>
  <w:style w:type="paragraph" w:customStyle="1" w:styleId="Footprint12b">
    <w:name w:val="Footprint12b"/>
    <w:basedOn w:val="Normal"/>
    <w:rsid w:val="002E39E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E39E4"/>
    <w:rPr>
      <w:szCs w:val="24"/>
    </w:rPr>
  </w:style>
  <w:style w:type="character" w:styleId="Hyperlink">
    <w:name w:val="Hyperlink"/>
    <w:basedOn w:val="DefaultParagraphFont"/>
    <w:uiPriority w:val="99"/>
    <w:rsid w:val="002E39E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nhideWhenUsed/>
    <w:rsid w:val="002E39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39E4"/>
    <w:rPr>
      <w:rFonts w:ascii="Segoe UI" w:hAnsi="Segoe UI" w:cs="Segoe UI"/>
      <w:sz w:val="18"/>
      <w:szCs w:val="18"/>
      <w:lang w:val="ga-IE"/>
    </w:rPr>
  </w:style>
  <w:style w:type="paragraph" w:styleId="Footer">
    <w:name w:val="footer"/>
    <w:basedOn w:val="Normal"/>
    <w:link w:val="FooterChar"/>
    <w:uiPriority w:val="99"/>
    <w:rsid w:val="002E39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39E4"/>
    <w:rPr>
      <w:sz w:val="24"/>
      <w:lang w:val="ga-IE"/>
    </w:rPr>
  </w:style>
  <w:style w:type="paragraph" w:customStyle="1" w:styleId="Default">
    <w:name w:val="Default"/>
    <w:rsid w:val="002E39E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ga-IE" w:eastAsia="en-US"/>
    </w:rPr>
  </w:style>
  <w:style w:type="paragraph" w:styleId="Revision">
    <w:name w:val="Revision"/>
    <w:hidden/>
    <w:uiPriority w:val="99"/>
    <w:semiHidden/>
    <w:rsid w:val="002E39E4"/>
    <w:rPr>
      <w:sz w:val="24"/>
      <w:lang w:val="ga-IE"/>
    </w:rPr>
  </w:style>
  <w:style w:type="character" w:styleId="CommentReference">
    <w:name w:val="annotation reference"/>
    <w:basedOn w:val="DefaultParagraphFont"/>
    <w:uiPriority w:val="99"/>
    <w:rsid w:val="002E39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E39E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39E4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E39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E39E4"/>
    <w:rPr>
      <w:b/>
      <w:bCs/>
      <w:lang w:val="ga-IE"/>
    </w:rPr>
  </w:style>
  <w:style w:type="paragraph" w:customStyle="1" w:styleId="li">
    <w:name w:val="li"/>
    <w:basedOn w:val="Normal"/>
    <w:rsid w:val="002E39E4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2E39E4"/>
  </w:style>
  <w:style w:type="paragraph" w:customStyle="1" w:styleId="Normal1">
    <w:name w:val="Normal1"/>
    <w:basedOn w:val="Normal"/>
    <w:rsid w:val="002E39E4"/>
    <w:pPr>
      <w:widowControl/>
      <w:spacing w:before="100" w:beforeAutospacing="1" w:after="100" w:afterAutospacing="1"/>
    </w:pPr>
    <w:rPr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9C7D7A"/>
  </w:style>
  <w:style w:type="paragraph" w:customStyle="1" w:styleId="Title1">
    <w:name w:val="Title1"/>
    <w:basedOn w:val="Normal"/>
    <w:next w:val="Normal"/>
    <w:uiPriority w:val="10"/>
    <w:qFormat/>
    <w:rsid w:val="009C7D7A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7D7A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9C7D7A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7D7A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9C7D7A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9C7D7A"/>
    <w:rPr>
      <w:rFonts w:ascii="Aptos" w:hAnsi="Aptos"/>
      <w:b/>
      <w:i/>
      <w:iCs/>
    </w:rPr>
  </w:style>
  <w:style w:type="paragraph" w:customStyle="1" w:styleId="NoSpacing1">
    <w:name w:val="No Spacing1"/>
    <w:basedOn w:val="Normal"/>
    <w:next w:val="NoSpacing"/>
    <w:uiPriority w:val="1"/>
    <w:qFormat/>
    <w:rsid w:val="009C7D7A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9C7D7A"/>
    <w:pPr>
      <w:widowControl/>
      <w:ind w:left="720"/>
      <w:contextualSpacing/>
      <w:jc w:val="both"/>
    </w:pPr>
    <w:rPr>
      <w:rFonts w:eastAsia="Aptos"/>
      <w:kern w:val="2"/>
      <w:szCs w:val="24"/>
      <w:lang w:eastAsia="en-US"/>
      <w14:ligatures w14:val="standardContextual"/>
    </w:rPr>
  </w:style>
  <w:style w:type="paragraph" w:customStyle="1" w:styleId="Quote1">
    <w:name w:val="Quote1"/>
    <w:basedOn w:val="Normal"/>
    <w:next w:val="Normal"/>
    <w:uiPriority w:val="29"/>
    <w:qFormat/>
    <w:rsid w:val="009C7D7A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7D7A"/>
    <w:rPr>
      <w:rFonts w:ascii="Times New Roman" w:hAnsi="Times New Roman"/>
      <w:i/>
      <w:sz w:val="24"/>
      <w:szCs w:val="24"/>
    </w:rPr>
  </w:style>
  <w:style w:type="paragraph" w:customStyle="1" w:styleId="IntenseQuote1">
    <w:name w:val="Intense Quote1"/>
    <w:basedOn w:val="Normal"/>
    <w:next w:val="Normal"/>
    <w:uiPriority w:val="30"/>
    <w:qFormat/>
    <w:rsid w:val="009C7D7A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D7A"/>
    <w:rPr>
      <w:rFonts w:ascii="Times New Roman" w:hAnsi="Times New Roman"/>
      <w:b/>
      <w:i/>
      <w:sz w:val="24"/>
    </w:rPr>
  </w:style>
  <w:style w:type="character" w:customStyle="1" w:styleId="SubtleEmphasis1">
    <w:name w:val="Subtle Emphasis1"/>
    <w:uiPriority w:val="19"/>
    <w:qFormat/>
    <w:rsid w:val="009C7D7A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9C7D7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C7D7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C7D7A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9C7D7A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9C7D7A"/>
  </w:style>
  <w:style w:type="paragraph" w:customStyle="1" w:styleId="TOC41">
    <w:name w:val="TOC 41"/>
    <w:basedOn w:val="Normal"/>
    <w:next w:val="Normal"/>
    <w:uiPriority w:val="39"/>
    <w:semiHidden/>
    <w:unhideWhenUsed/>
    <w:rsid w:val="009C7D7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9C7D7A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9C7D7A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9C7D7A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9C7D7A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9C7D7A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9C7D7A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9C7D7A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9C7D7A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C7D7A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C7D7A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9C7D7A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9C7D7A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9C7D7A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9C7D7A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9C7D7A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9C7D7A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9C7D7A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9C7D7A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9C7D7A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9C7D7A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9C7D7A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9C7D7A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9C7D7A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9C7D7A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9C7D7A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9C7D7A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9C7D7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9C7D7A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9C7D7A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9C7D7A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9C7D7A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9C7D7A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9C7D7A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9C7D7A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9C7D7A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9C7D7A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9C7D7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9C7D7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9C7D7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9C7D7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9C7D7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9C7D7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9C7D7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9C7D7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9C7D7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9C7D7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9C7D7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9C7D7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9C7D7A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9C7D7A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9C7D7A"/>
    <w:pPr>
      <w:widowControl/>
      <w:numPr>
        <w:numId w:val="5"/>
      </w:numPr>
      <w:tabs>
        <w:tab w:val="clear" w:pos="1984"/>
        <w:tab w:val="num" w:pos="360"/>
        <w:tab w:val="num" w:pos="643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9C7D7A"/>
    <w:pPr>
      <w:widowControl/>
      <w:numPr>
        <w:numId w:val="6"/>
      </w:numPr>
      <w:tabs>
        <w:tab w:val="clear" w:pos="2551"/>
        <w:tab w:val="num" w:pos="360"/>
        <w:tab w:val="num" w:pos="643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9C7D7A"/>
    <w:pPr>
      <w:widowControl/>
      <w:numPr>
        <w:numId w:val="7"/>
      </w:numPr>
      <w:tabs>
        <w:tab w:val="clear" w:pos="3118"/>
        <w:tab w:val="num" w:pos="360"/>
        <w:tab w:val="num" w:pos="92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9C7D7A"/>
    <w:pPr>
      <w:widowControl/>
      <w:numPr>
        <w:numId w:val="8"/>
      </w:numPr>
      <w:tabs>
        <w:tab w:val="clear" w:pos="3685"/>
        <w:tab w:val="num" w:pos="360"/>
        <w:tab w:val="num" w:pos="92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9C7D7A"/>
    <w:pPr>
      <w:widowControl/>
      <w:numPr>
        <w:numId w:val="9"/>
      </w:numPr>
      <w:tabs>
        <w:tab w:val="clear" w:pos="4252"/>
        <w:tab w:val="num" w:pos="360"/>
        <w:tab w:val="num" w:pos="120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9C7D7A"/>
    <w:pPr>
      <w:widowControl/>
      <w:numPr>
        <w:numId w:val="10"/>
      </w:numPr>
      <w:tabs>
        <w:tab w:val="clear" w:pos="4819"/>
        <w:tab w:val="num" w:pos="360"/>
        <w:tab w:val="num" w:pos="120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9C7D7A"/>
    <w:pPr>
      <w:widowControl/>
      <w:numPr>
        <w:numId w:val="11"/>
      </w:numPr>
      <w:tabs>
        <w:tab w:val="clear" w:pos="5386"/>
        <w:tab w:val="num" w:pos="36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1">
    <w:name w:val="NumPar 1"/>
    <w:basedOn w:val="Normal"/>
    <w:next w:val="Text1"/>
    <w:rsid w:val="009C7D7A"/>
    <w:pPr>
      <w:widowControl/>
      <w:numPr>
        <w:numId w:val="12"/>
      </w:numPr>
      <w:tabs>
        <w:tab w:val="num" w:pos="360"/>
        <w:tab w:val="left" w:pos="85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2">
    <w:name w:val="NumPar 2"/>
    <w:basedOn w:val="Normal"/>
    <w:next w:val="Text1"/>
    <w:rsid w:val="009C7D7A"/>
    <w:pPr>
      <w:widowControl/>
      <w:numPr>
        <w:ilvl w:val="1"/>
        <w:numId w:val="12"/>
      </w:numPr>
      <w:tabs>
        <w:tab w:val="num" w:pos="360"/>
        <w:tab w:val="left" w:pos="85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3">
    <w:name w:val="NumPar 3"/>
    <w:basedOn w:val="Normal"/>
    <w:next w:val="Text1"/>
    <w:rsid w:val="009C7D7A"/>
    <w:pPr>
      <w:widowControl/>
      <w:numPr>
        <w:ilvl w:val="2"/>
        <w:numId w:val="12"/>
      </w:numPr>
      <w:tabs>
        <w:tab w:val="num" w:pos="360"/>
        <w:tab w:val="left" w:pos="85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4">
    <w:name w:val="NumPar 4"/>
    <w:basedOn w:val="Normal"/>
    <w:next w:val="Text1"/>
    <w:rsid w:val="009C7D7A"/>
    <w:pPr>
      <w:widowControl/>
      <w:numPr>
        <w:ilvl w:val="3"/>
        <w:numId w:val="12"/>
      </w:numPr>
      <w:tabs>
        <w:tab w:val="num" w:pos="360"/>
        <w:tab w:val="left" w:pos="85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5">
    <w:name w:val="NumPar 5"/>
    <w:basedOn w:val="Normal"/>
    <w:next w:val="Text2"/>
    <w:rsid w:val="009C7D7A"/>
    <w:pPr>
      <w:widowControl/>
      <w:numPr>
        <w:ilvl w:val="4"/>
        <w:numId w:val="12"/>
      </w:numPr>
      <w:tabs>
        <w:tab w:val="num" w:pos="360"/>
        <w:tab w:val="left" w:pos="1417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6">
    <w:name w:val="NumPar 6"/>
    <w:basedOn w:val="Normal"/>
    <w:next w:val="Text2"/>
    <w:rsid w:val="009C7D7A"/>
    <w:pPr>
      <w:widowControl/>
      <w:numPr>
        <w:ilvl w:val="5"/>
        <w:numId w:val="12"/>
      </w:numPr>
      <w:tabs>
        <w:tab w:val="num" w:pos="360"/>
        <w:tab w:val="left" w:pos="1417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7">
    <w:name w:val="NumPar 7"/>
    <w:basedOn w:val="Normal"/>
    <w:next w:val="Text2"/>
    <w:rsid w:val="009C7D7A"/>
    <w:pPr>
      <w:widowControl/>
      <w:numPr>
        <w:ilvl w:val="6"/>
        <w:numId w:val="12"/>
      </w:numPr>
      <w:tabs>
        <w:tab w:val="num" w:pos="360"/>
        <w:tab w:val="left" w:pos="1417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C7D7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C7D7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C7D7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C7D7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C7D7A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C7D7A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C7D7A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9C7D7A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C7D7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C7D7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C7D7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C7D7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C7D7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C7D7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C7D7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C7D7A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C7D7A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C7D7A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C7D7A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9C7D7A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9C7D7A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9C7D7A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9C7D7A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9C7D7A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9C7D7A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9C7D7A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9C7D7A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9C7D7A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9C7D7A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9C7D7A"/>
    <w:pPr>
      <w:widowControl/>
      <w:numPr>
        <w:numId w:val="15"/>
      </w:numPr>
      <w:tabs>
        <w:tab w:val="clear" w:pos="1417"/>
        <w:tab w:val="num" w:pos="360"/>
        <w:tab w:val="num" w:pos="643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9C7D7A"/>
    <w:pPr>
      <w:widowControl/>
      <w:numPr>
        <w:numId w:val="16"/>
      </w:numPr>
      <w:tabs>
        <w:tab w:val="clear" w:pos="1984"/>
        <w:tab w:val="num" w:pos="360"/>
        <w:tab w:val="num" w:pos="643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9C7D7A"/>
    <w:pPr>
      <w:widowControl/>
      <w:numPr>
        <w:numId w:val="17"/>
      </w:numPr>
      <w:tabs>
        <w:tab w:val="clear" w:pos="2551"/>
        <w:tab w:val="num" w:pos="360"/>
        <w:tab w:val="num" w:pos="92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9C7D7A"/>
    <w:pPr>
      <w:widowControl/>
      <w:numPr>
        <w:numId w:val="18"/>
      </w:numPr>
      <w:tabs>
        <w:tab w:val="clear" w:pos="3118"/>
        <w:tab w:val="num" w:pos="360"/>
        <w:tab w:val="num" w:pos="92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9C7D7A"/>
    <w:pPr>
      <w:widowControl/>
      <w:numPr>
        <w:numId w:val="19"/>
      </w:numPr>
      <w:tabs>
        <w:tab w:val="clear" w:pos="3685"/>
        <w:tab w:val="num" w:pos="360"/>
        <w:tab w:val="num" w:pos="120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9C7D7A"/>
    <w:pPr>
      <w:widowControl/>
      <w:numPr>
        <w:numId w:val="20"/>
      </w:numPr>
      <w:tabs>
        <w:tab w:val="clear" w:pos="4252"/>
        <w:tab w:val="num" w:pos="360"/>
        <w:tab w:val="num" w:pos="120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9C7D7A"/>
    <w:pPr>
      <w:widowControl/>
      <w:numPr>
        <w:numId w:val="21"/>
      </w:numPr>
      <w:tabs>
        <w:tab w:val="clear" w:pos="4819"/>
        <w:tab w:val="num" w:pos="36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9C7D7A"/>
    <w:pPr>
      <w:widowControl/>
      <w:numPr>
        <w:numId w:val="22"/>
      </w:numPr>
      <w:tabs>
        <w:tab w:val="clear" w:pos="5386"/>
        <w:tab w:val="num" w:pos="36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C7D7A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C7D7A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C7D7A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9C7D7A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C7D7A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C7D7A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C7D7A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C7D7A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C7D7A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ManualConsidrant">
    <w:name w:val="Manual Considérant"/>
    <w:basedOn w:val="Normal"/>
    <w:rsid w:val="009C7D7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C7D7A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9C7D7A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C7D7A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C7D7A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C7D7A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C7D7A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C7D7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C7D7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C7D7A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9C7D7A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9C7D7A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9C7D7A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9C7D7A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9C7D7A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9C7D7A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C7D7A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9C7D7A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C7D7A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C7D7A"/>
    <w:pPr>
      <w:spacing w:before="240"/>
    </w:pPr>
  </w:style>
  <w:style w:type="paragraph" w:customStyle="1" w:styleId="Accordtitre">
    <w:name w:val="Accord titre"/>
    <w:basedOn w:val="Normal"/>
    <w:rsid w:val="009C7D7A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9C7D7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9C7D7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C7D7A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C7D7A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C7D7A"/>
    <w:pPr>
      <w:spacing w:after="240"/>
    </w:pPr>
  </w:style>
  <w:style w:type="paragraph" w:customStyle="1" w:styleId="Annexetitre">
    <w:name w:val="Annexe titre"/>
    <w:basedOn w:val="Normal"/>
    <w:next w:val="Normal"/>
    <w:rsid w:val="009C7D7A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C7D7A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9C7D7A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9C7D7A"/>
    <w:rPr>
      <w:rFonts w:ascii="Times New Roman" w:hAnsi="Times New Roman"/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unhideWhenUsed/>
    <w:rsid w:val="009C7D7A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C7D7A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9C7D7A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9C7D7A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9C7D7A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C7D7A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C7D7A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C7D7A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C7D7A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C7D7A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C7D7A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C7D7A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C7D7A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C7D7A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C7D7A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C7D7A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C7D7A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C7D7A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C7D7A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C7D7A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C7D7A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C7D7A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C7D7A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C7D7A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C7D7A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C7D7A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C7D7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9C7D7A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9C7D7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C7D7A"/>
    <w:pPr>
      <w:pBdr>
        <w:top w:val="none" w:sz="0" w:space="0" w:color="auto"/>
        <w:left w:val="single" w:sz="4" w:space="20" w:color="auto"/>
      </w:pBdr>
    </w:pPr>
  </w:style>
  <w:style w:type="table" w:customStyle="1" w:styleId="TableGrid2">
    <w:name w:val="Table Grid2"/>
    <w:basedOn w:val="TableNormal"/>
    <w:next w:val="TableGrid"/>
    <w:uiPriority w:val="39"/>
    <w:rsid w:val="009C7D7A"/>
    <w:rPr>
      <w:rFonts w:ascii="Aptos" w:eastAsia="Aptos" w:hAnsi="Aptos" w:cs="Arial"/>
      <w:sz w:val="22"/>
      <w:szCs w:val="22"/>
      <w:lang w:val="ga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9C7D7A"/>
    <w:rPr>
      <w:rFonts w:ascii="Aptos" w:eastAsia="Aptos" w:hAnsi="Aptos" w:cs="Arial"/>
      <w:sz w:val="22"/>
      <w:szCs w:val="22"/>
      <w:lang w:val="ga-IE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9C7D7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7D7A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9C7D7A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9C7D7A"/>
    <w:rPr>
      <w:rFonts w:asciiTheme="majorHAnsi" w:eastAsiaTheme="majorEastAsia" w:hAnsiTheme="majorHAnsi" w:cstheme="majorBidi"/>
      <w:spacing w:val="-10"/>
      <w:kern w:val="28"/>
      <w:sz w:val="56"/>
      <w:szCs w:val="56"/>
      <w:lang w:val="ga-I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D7A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9C7D7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ga-IE"/>
    </w:rPr>
  </w:style>
  <w:style w:type="character" w:styleId="Emphasis">
    <w:name w:val="Emphasis"/>
    <w:basedOn w:val="DefaultParagraphFont"/>
    <w:qFormat/>
    <w:rsid w:val="009C7D7A"/>
    <w:rPr>
      <w:i/>
      <w:iCs/>
    </w:rPr>
  </w:style>
  <w:style w:type="paragraph" w:styleId="NoSpacing">
    <w:name w:val="No Spacing"/>
    <w:uiPriority w:val="1"/>
    <w:qFormat/>
    <w:rsid w:val="009C7D7A"/>
    <w:pPr>
      <w:widowControl w:val="0"/>
    </w:pPr>
    <w:rPr>
      <w:sz w:val="24"/>
      <w:lang w:val="ga-IE"/>
    </w:rPr>
  </w:style>
  <w:style w:type="paragraph" w:styleId="ListParagraph">
    <w:name w:val="List Paragraph"/>
    <w:basedOn w:val="Normal"/>
    <w:uiPriority w:val="34"/>
    <w:qFormat/>
    <w:rsid w:val="009C7D7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C7D7A"/>
    <w:pPr>
      <w:spacing w:before="200" w:after="160"/>
      <w:ind w:left="864" w:right="864"/>
      <w:jc w:val="center"/>
    </w:pPr>
    <w:rPr>
      <w:i/>
      <w:szCs w:val="24"/>
      <w:lang w:val="en-GB"/>
    </w:rPr>
  </w:style>
  <w:style w:type="character" w:customStyle="1" w:styleId="QuoteChar1">
    <w:name w:val="Quote Char1"/>
    <w:basedOn w:val="DefaultParagraphFont"/>
    <w:uiPriority w:val="29"/>
    <w:rsid w:val="009C7D7A"/>
    <w:rPr>
      <w:i/>
      <w:iCs/>
      <w:color w:val="404040" w:themeColor="text1" w:themeTint="BF"/>
      <w:sz w:val="24"/>
      <w:lang w:val="ga-I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D7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i/>
      <w:lang w:val="en-GB"/>
    </w:rPr>
  </w:style>
  <w:style w:type="character" w:customStyle="1" w:styleId="IntenseQuoteChar1">
    <w:name w:val="Intense Quote Char1"/>
    <w:basedOn w:val="DefaultParagraphFont"/>
    <w:uiPriority w:val="30"/>
    <w:rsid w:val="009C7D7A"/>
    <w:rPr>
      <w:i/>
      <w:iCs/>
      <w:color w:val="5B9BD5" w:themeColor="accent1"/>
      <w:sz w:val="24"/>
      <w:lang w:val="ga-IE"/>
    </w:rPr>
  </w:style>
  <w:style w:type="character" w:styleId="SubtleEmphasis">
    <w:name w:val="Subtle Emphasis"/>
    <w:basedOn w:val="DefaultParagraphFont"/>
    <w:uiPriority w:val="19"/>
    <w:qFormat/>
    <w:rsid w:val="009C7D7A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9C7D7A"/>
    <w:rPr>
      <w:b/>
      <w:bCs/>
      <w:i/>
      <w:iCs/>
      <w:spacing w:val="5"/>
    </w:rPr>
  </w:style>
  <w:style w:type="paragraph" w:styleId="EndnoteText">
    <w:name w:val="endnote text"/>
    <w:basedOn w:val="Normal"/>
    <w:link w:val="EndnoteTextChar1"/>
    <w:rsid w:val="009C7D7A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9C7D7A"/>
    <w:rPr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2026-03-05T09:02:00Z</dcterms:created>
  <dcterms:modified xsi:type="dcterms:W3CDTF">2026-03-05T09:02:00Z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P10_TA(2025)0321_</vt:lpwstr>
  </property>
  <property fmtid="{D5CDD505-2E9C-101B-9397-08002B2CF9AE}" pid="4" name="&lt;Type&gt;">
    <vt:lpwstr>RR</vt:lpwstr>
  </property>
</Properties>
</file>