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519B" w14:paraId="7D13E8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E4BD92" w14:textId="77777777" w:rsidR="00751A4A" w:rsidRPr="001B519B" w:rsidRDefault="00841B29" w:rsidP="0010095E">
            <w:pPr>
              <w:pStyle w:val="EPName"/>
            </w:pPr>
            <w:r w:rsidRPr="001B519B">
              <w:t>Európai Parlament</w:t>
            </w:r>
          </w:p>
          <w:p w14:paraId="474955B7" w14:textId="77777777" w:rsidR="00751A4A" w:rsidRPr="001B51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519B">
              <w:t>2024</w:t>
            </w:r>
            <w:r w:rsidR="00817416" w:rsidRPr="001B519B">
              <w:t>-202</w:t>
            </w:r>
            <w:r w:rsidRPr="001B519B">
              <w:t>9</w:t>
            </w:r>
          </w:p>
        </w:tc>
        <w:tc>
          <w:tcPr>
            <w:tcW w:w="2268" w:type="dxa"/>
            <w:shd w:val="clear" w:color="auto" w:fill="auto"/>
          </w:tcPr>
          <w:p w14:paraId="636A38DA" w14:textId="77777777" w:rsidR="00751A4A" w:rsidRPr="001B519B" w:rsidRDefault="00187494" w:rsidP="0010095E">
            <w:pPr>
              <w:pStyle w:val="EPLogo"/>
            </w:pPr>
            <w:r w:rsidRPr="001B519B">
              <w:rPr>
                <w:noProof/>
                <w:lang w:eastAsia="ja-JP"/>
              </w:rPr>
              <w:drawing>
                <wp:inline distT="0" distB="0" distL="0" distR="0" wp14:anchorId="0810C725" wp14:editId="06B483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FC0AB" w14:textId="77777777" w:rsidR="00D058B8" w:rsidRPr="001B519B" w:rsidRDefault="00D058B8" w:rsidP="004C5D52">
      <w:pPr>
        <w:pStyle w:val="LineTop"/>
      </w:pPr>
    </w:p>
    <w:p w14:paraId="7A4F5FB9" w14:textId="77777777" w:rsidR="00680577" w:rsidRPr="001B519B" w:rsidRDefault="00841B29" w:rsidP="00680577">
      <w:pPr>
        <w:pStyle w:val="EPBodyTA1"/>
      </w:pPr>
      <w:r w:rsidRPr="001B519B">
        <w:t>ELFOGADOTT SZÖVEGEK</w:t>
      </w:r>
    </w:p>
    <w:p w14:paraId="521822EF" w14:textId="77777777" w:rsidR="00D058B8" w:rsidRPr="001B519B" w:rsidRDefault="00D058B8" w:rsidP="00D058B8">
      <w:pPr>
        <w:pStyle w:val="LineBottom"/>
      </w:pPr>
    </w:p>
    <w:p w14:paraId="030105DE" w14:textId="638B0402" w:rsidR="00841B29" w:rsidRPr="001B519B" w:rsidRDefault="00841B29" w:rsidP="00841B29">
      <w:pPr>
        <w:pStyle w:val="ATHeading1"/>
      </w:pPr>
      <w:bookmarkStart w:id="0" w:name="TANumber"/>
      <w:r w:rsidRPr="001B519B">
        <w:t>P10_</w:t>
      </w:r>
      <w:proofErr w:type="gramStart"/>
      <w:r w:rsidRPr="001B519B">
        <w:t>TA(</w:t>
      </w:r>
      <w:proofErr w:type="gramEnd"/>
      <w:r w:rsidRPr="001B519B">
        <w:t>2025)0</w:t>
      </w:r>
      <w:r w:rsidR="001B519B">
        <w:t>323</w:t>
      </w:r>
      <w:bookmarkEnd w:id="0"/>
    </w:p>
    <w:p w14:paraId="594ABD5C" w14:textId="7C62BA7E" w:rsidR="00841B29" w:rsidRPr="001B519B" w:rsidRDefault="007E3ECD" w:rsidP="00841B29">
      <w:pPr>
        <w:pStyle w:val="ATHeading2"/>
      </w:pPr>
      <w:bookmarkStart w:id="1" w:name="title"/>
      <w:r w:rsidRPr="001B519B">
        <w:t>A brexit miatti kiigazításokra képzett tartalék</w:t>
      </w:r>
      <w:bookmarkEnd w:id="1"/>
    </w:p>
    <w:p w14:paraId="234F569B" w14:textId="77777777" w:rsidR="00841B29" w:rsidRPr="001B519B" w:rsidRDefault="00841B29" w:rsidP="00841B29">
      <w:pPr>
        <w:rPr>
          <w:i/>
          <w:vanish/>
        </w:rPr>
      </w:pPr>
      <w:r w:rsidRPr="001B519B">
        <w:rPr>
          <w:i/>
        </w:rPr>
        <w:fldChar w:fldCharType="begin"/>
      </w:r>
      <w:r w:rsidRPr="001B519B">
        <w:rPr>
          <w:i/>
        </w:rPr>
        <w:instrText xml:space="preserve"> TC"(</w:instrText>
      </w:r>
      <w:bookmarkStart w:id="2" w:name="DocNumber"/>
      <w:r w:rsidRPr="001B519B">
        <w:rPr>
          <w:i/>
        </w:rPr>
        <w:instrText>A10-0233/2025</w:instrText>
      </w:r>
      <w:bookmarkEnd w:id="2"/>
      <w:r w:rsidRPr="001B519B">
        <w:rPr>
          <w:i/>
        </w:rPr>
        <w:instrText xml:space="preserve"> - Előadó: Pascal Arimont)"\l3 \n&gt; \* MERGEFORMAT </w:instrText>
      </w:r>
      <w:r w:rsidRPr="001B519B">
        <w:rPr>
          <w:i/>
        </w:rPr>
        <w:fldChar w:fldCharType="end"/>
      </w:r>
    </w:p>
    <w:p w14:paraId="35BA3D2B" w14:textId="77777777" w:rsidR="00841B29" w:rsidRPr="001B519B" w:rsidRDefault="00841B29" w:rsidP="00841B29">
      <w:pPr>
        <w:rPr>
          <w:vanish/>
        </w:rPr>
      </w:pPr>
      <w:bookmarkStart w:id="3" w:name="Commission"/>
      <w:r w:rsidRPr="001B519B">
        <w:rPr>
          <w:vanish/>
        </w:rPr>
        <w:t>Regionális Fejlesztési Bizottság</w:t>
      </w:r>
      <w:bookmarkEnd w:id="3"/>
    </w:p>
    <w:p w14:paraId="44C971B0" w14:textId="77777777" w:rsidR="00841B29" w:rsidRPr="001B519B" w:rsidRDefault="00841B29" w:rsidP="00841B29">
      <w:pPr>
        <w:rPr>
          <w:vanish/>
        </w:rPr>
      </w:pPr>
      <w:bookmarkStart w:id="4" w:name="PE"/>
      <w:r w:rsidRPr="001B519B">
        <w:rPr>
          <w:vanish/>
        </w:rPr>
        <w:t>PE779.577</w:t>
      </w:r>
      <w:bookmarkEnd w:id="4"/>
    </w:p>
    <w:p w14:paraId="7F1B4952" w14:textId="51995BA4" w:rsidR="00841B29" w:rsidRPr="001B519B" w:rsidRDefault="00841B29" w:rsidP="00841B29">
      <w:pPr>
        <w:pStyle w:val="ATHeading3"/>
      </w:pPr>
      <w:bookmarkStart w:id="5" w:name="Sujet"/>
      <w:r w:rsidRPr="001B519B">
        <w:t xml:space="preserve">Az Európai Parlament 2025. december </w:t>
      </w:r>
      <w:r w:rsidR="005E2D05" w:rsidRPr="001B519B">
        <w:t>16-</w:t>
      </w:r>
      <w:r w:rsidRPr="001B519B">
        <w:t>i jogalkotási állásfoglalása az (EU) 2021/1755 rendeletnek a tagállamok számára a brexit miatti kiigazításokra képzett tartalék keretében elkülönített összegek tekintetében történő módosításáról szóló európai parlamenti és tanácsi rendeletre irányuló javaslatról</w:t>
      </w:r>
      <w:bookmarkEnd w:id="5"/>
      <w:r w:rsidRPr="001B519B">
        <w:t xml:space="preserve"> </w:t>
      </w:r>
      <w:bookmarkStart w:id="6" w:name="References"/>
      <w:r w:rsidRPr="001B519B">
        <w:t>(</w:t>
      </w:r>
      <w:proofErr w:type="gramStart"/>
      <w:r w:rsidRPr="001B519B">
        <w:t>COM(</w:t>
      </w:r>
      <w:proofErr w:type="gramEnd"/>
      <w:r w:rsidRPr="001B519B">
        <w:t>2025)0513 – C10-0216/2025 – 2025/0289(COD))</w:t>
      </w:r>
      <w:bookmarkEnd w:id="6"/>
    </w:p>
    <w:p w14:paraId="263B43E1" w14:textId="77777777" w:rsidR="009F7709" w:rsidRPr="001B519B" w:rsidRDefault="009F7709" w:rsidP="009F7709">
      <w:pPr>
        <w:pStyle w:val="NormalBold"/>
      </w:pPr>
      <w:r w:rsidRPr="001B519B">
        <w:t>(Rendes jogalkotási eljárás: első olvasat)</w:t>
      </w:r>
    </w:p>
    <w:p w14:paraId="4AA7D2FF" w14:textId="77777777" w:rsidR="009F7709" w:rsidRPr="001B519B" w:rsidRDefault="009F7709" w:rsidP="009F7709">
      <w:pPr>
        <w:pStyle w:val="EPComma"/>
      </w:pPr>
      <w:r w:rsidRPr="001B519B">
        <w:rPr>
          <w:i/>
          <w:iCs/>
        </w:rPr>
        <w:t>Az Európai Parlament</w:t>
      </w:r>
      <w:r w:rsidRPr="001B519B">
        <w:t>,</w:t>
      </w:r>
    </w:p>
    <w:p w14:paraId="23566CAF" w14:textId="77777777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>tekintettel a Bizottság Parlamenthez és Tanácshoz intézett javaslatára (</w:t>
      </w:r>
      <w:proofErr w:type="gramStart"/>
      <w:r w:rsidRPr="001B519B">
        <w:t>COM(</w:t>
      </w:r>
      <w:proofErr w:type="gramEnd"/>
      <w:r w:rsidRPr="001B519B">
        <w:t>2025)0513),</w:t>
      </w:r>
    </w:p>
    <w:p w14:paraId="45944C91" w14:textId="150AFBF4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 xml:space="preserve">tekintettel az Európai Unió működéséről szóló szerződés 294. </w:t>
      </w:r>
      <w:r w:rsidR="005E2D05" w:rsidRPr="001B519B">
        <w:t xml:space="preserve">cikkének (2) bekezdésére </w:t>
      </w:r>
      <w:r w:rsidRPr="001B519B">
        <w:t>és 175. cikkére, amelyek alapján a Bizottság javaslatát benyújtotta a Parlamenthez (C10-0216/2025),</w:t>
      </w:r>
    </w:p>
    <w:p w14:paraId="654A2C18" w14:textId="77777777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>tekintettel az Európai Unió működéséről szóló szerződés 294. cikkének (3) bekezdésére,</w:t>
      </w:r>
    </w:p>
    <w:p w14:paraId="7F27B0F6" w14:textId="77777777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>tekintettel az Európai Gazdasági és Szociális Bizottság 2025. október 23-i véleményére</w:t>
      </w:r>
      <w:r w:rsidRPr="001B519B">
        <w:rPr>
          <w:vertAlign w:val="superscript"/>
        </w:rPr>
        <w:footnoteReference w:id="1"/>
      </w:r>
      <w:r w:rsidRPr="001B519B">
        <w:t xml:space="preserve">, </w:t>
      </w:r>
    </w:p>
    <w:p w14:paraId="30BCD237" w14:textId="3A0C4595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>a Régiók Bizottságá</w:t>
      </w:r>
      <w:r w:rsidR="005E2D05" w:rsidRPr="001B519B">
        <w:t>val folytatott konzultációt követően</w:t>
      </w:r>
      <w:r w:rsidRPr="001B519B">
        <w:t xml:space="preserve">, </w:t>
      </w:r>
    </w:p>
    <w:p w14:paraId="0116AAA2" w14:textId="4AAB1F40" w:rsidR="005E2D05" w:rsidRPr="001B519B" w:rsidRDefault="005E2D05" w:rsidP="004C2488">
      <w:pPr>
        <w:pStyle w:val="NormalHanging12a"/>
        <w:widowControl/>
      </w:pPr>
      <w:r w:rsidRPr="001B519B">
        <w:t>–</w:t>
      </w:r>
      <w:r w:rsidRPr="001B519B">
        <w:tab/>
        <w:t>tekintettel a Tanács képviselőjének 2025. november 19-i írásbeli kötelezettségvállalására, amely szerint e</w:t>
      </w:r>
      <w:r w:rsidR="00B5546E" w:rsidRPr="001B519B">
        <w:t>lfogadja</w:t>
      </w:r>
      <w:r w:rsidRPr="001B519B">
        <w:t xml:space="preserve"> a Parlament álláspontjá</w:t>
      </w:r>
      <w:r w:rsidR="00B5546E" w:rsidRPr="001B519B">
        <w:t>t</w:t>
      </w:r>
      <w:r w:rsidRPr="001B519B">
        <w:t>, az Európai Unió működéséről szóló szerződés 294. cikkének (4) bekezdésével összhangban,</w:t>
      </w:r>
    </w:p>
    <w:p w14:paraId="3BE09DF0" w14:textId="77777777" w:rsidR="005E2D05" w:rsidRPr="001B519B" w:rsidRDefault="005E2D05" w:rsidP="005E2D05">
      <w:pPr>
        <w:pStyle w:val="NormalHanging12a"/>
        <w:widowControl/>
      </w:pPr>
      <w:r w:rsidRPr="001B519B">
        <w:t>–</w:t>
      </w:r>
      <w:r w:rsidRPr="001B519B">
        <w:tab/>
        <w:t>tekintettel eljárási szabályzata 60. cikkére,</w:t>
      </w:r>
    </w:p>
    <w:p w14:paraId="56D963C4" w14:textId="77777777" w:rsidR="009F7709" w:rsidRPr="001B519B" w:rsidRDefault="009F7709" w:rsidP="004C2488">
      <w:pPr>
        <w:pStyle w:val="NormalHanging12a"/>
        <w:widowControl/>
      </w:pPr>
      <w:r w:rsidRPr="001B519B">
        <w:t>–</w:t>
      </w:r>
      <w:r w:rsidRPr="001B519B">
        <w:tab/>
        <w:t>tekintettel a Regionális Fejlesztési Bizottság jelentésére (A10-0233/2025),</w:t>
      </w:r>
    </w:p>
    <w:p w14:paraId="4C8F25EA" w14:textId="7CEB466B" w:rsidR="009F7709" w:rsidRPr="001B519B" w:rsidRDefault="009F7709" w:rsidP="004C2488">
      <w:pPr>
        <w:pStyle w:val="NormalHanging12a"/>
        <w:widowControl/>
      </w:pPr>
      <w:r w:rsidRPr="001B519B">
        <w:lastRenderedPageBreak/>
        <w:t>1.</w:t>
      </w:r>
      <w:r w:rsidRPr="001B519B">
        <w:tab/>
      </w:r>
      <w:r w:rsidR="005E2D05" w:rsidRPr="001B519B">
        <w:t>elfogadja első olvasatban az alábbi álláspontot</w:t>
      </w:r>
      <w:r w:rsidRPr="001B519B">
        <w:t>;</w:t>
      </w:r>
    </w:p>
    <w:p w14:paraId="2AAE5A0D" w14:textId="77777777" w:rsidR="009F7709" w:rsidRPr="001B519B" w:rsidRDefault="009F7709" w:rsidP="004C2488">
      <w:pPr>
        <w:pStyle w:val="NormalHanging12a"/>
        <w:widowControl/>
      </w:pPr>
      <w:r w:rsidRPr="001B519B">
        <w:t>2.</w:t>
      </w:r>
      <w:r w:rsidRPr="001B519B">
        <w:tab/>
        <w:t>felkéri a Bizottságot, hogy utalja az ügyet újból a Parlamenthez, ha javaslatát másik szöveggel váltja fel, lényegesen módosítja vagy lényegesen módosítani kívánja;</w:t>
      </w:r>
    </w:p>
    <w:p w14:paraId="7DC1689B" w14:textId="05C2AEFB" w:rsidR="000613E8" w:rsidRPr="001B519B" w:rsidRDefault="009F7709" w:rsidP="004C2488">
      <w:pPr>
        <w:pStyle w:val="NormalHanging12a"/>
        <w:widowControl/>
      </w:pPr>
      <w:r w:rsidRPr="001B519B">
        <w:t>3.</w:t>
      </w:r>
      <w:r w:rsidRPr="001B519B">
        <w:tab/>
        <w:t>utasítja elnökét, hogy továbbítsa a Parlament álláspontját a Tanácsnak és a Bizottságnak, valamint a nemzeti parlamenteknek.</w:t>
      </w:r>
    </w:p>
    <w:p w14:paraId="25597C71" w14:textId="77777777" w:rsidR="005E2D05" w:rsidRPr="001B519B" w:rsidRDefault="005E2D05" w:rsidP="005E2D05">
      <w:pPr>
        <w:widowControl/>
      </w:pPr>
    </w:p>
    <w:p w14:paraId="7507CCDF" w14:textId="77777777" w:rsidR="005E2D05" w:rsidRPr="001B519B" w:rsidRDefault="005E2D05" w:rsidP="005E2D05">
      <w:pPr>
        <w:widowControl/>
        <w:spacing w:after="240"/>
        <w:rPr>
          <w:b/>
          <w:bCs/>
        </w:rPr>
        <w:sectPr w:rsidR="005E2D05" w:rsidRPr="001B519B" w:rsidSect="005E2D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4B6E56" w14:textId="50E3E951" w:rsidR="005E2D05" w:rsidRPr="001B519B" w:rsidRDefault="005E2D05" w:rsidP="005E2D05">
      <w:pPr>
        <w:widowControl/>
        <w:spacing w:after="240"/>
        <w:rPr>
          <w:b/>
          <w:bCs/>
        </w:rPr>
      </w:pPr>
      <w:r w:rsidRPr="001B519B">
        <w:rPr>
          <w:b/>
          <w:bCs/>
        </w:rPr>
        <w:lastRenderedPageBreak/>
        <w:t>P10_TC1-</w:t>
      </w:r>
      <w:proofErr w:type="gramStart"/>
      <w:r w:rsidRPr="001B519B">
        <w:rPr>
          <w:b/>
          <w:bCs/>
        </w:rPr>
        <w:t>COD(</w:t>
      </w:r>
      <w:proofErr w:type="gramEnd"/>
      <w:r w:rsidRPr="001B519B">
        <w:rPr>
          <w:b/>
          <w:bCs/>
          <w:color w:val="000000"/>
        </w:rPr>
        <w:t>2025)0289</w:t>
      </w:r>
    </w:p>
    <w:p w14:paraId="04AFDE3B" w14:textId="2F6486B4" w:rsidR="005E2D05" w:rsidRPr="001B519B" w:rsidRDefault="005E2D05" w:rsidP="005E2D05">
      <w:pPr>
        <w:pStyle w:val="NormalHanging12a"/>
        <w:widowControl/>
        <w:ind w:left="0" w:firstLine="0"/>
        <w:rPr>
          <w:b/>
        </w:rPr>
      </w:pPr>
      <w:r w:rsidRPr="001B519B">
        <w:rPr>
          <w:b/>
        </w:rPr>
        <w:t xml:space="preserve">Az Európai Parlament álláspontja, amely első olvasatban 2025. december 16-án került elfogadásra </w:t>
      </w:r>
      <w:r w:rsidR="00CC71BA" w:rsidRPr="00CC71BA">
        <w:rPr>
          <w:rFonts w:eastAsia="Calibri"/>
          <w:b/>
          <w:noProof/>
          <w:szCs w:val="22"/>
          <w:lang w:eastAsia="en-US"/>
        </w:rPr>
        <w:t>az (EU) 2021/1755 rendeletnek a tagállamok számára a brexit miatti kiigazításokra képzett tartalék keretében elkülönített összegek tekintetében történő módosításáról</w:t>
      </w:r>
      <w:r w:rsidRPr="001B519B">
        <w:rPr>
          <w:rFonts w:eastAsia="Calibri"/>
          <w:b/>
          <w:noProof/>
          <w:szCs w:val="22"/>
          <w:lang w:eastAsia="en-US"/>
        </w:rPr>
        <w:t xml:space="preserve"> </w:t>
      </w:r>
      <w:r w:rsidRPr="001B519B">
        <w:rPr>
          <w:b/>
        </w:rPr>
        <w:t>szóló (EU) 2026/... európai parlamenti és tanácsi rendelet elfogadására tekintettel</w:t>
      </w:r>
    </w:p>
    <w:p w14:paraId="274745B4" w14:textId="3D455E78" w:rsidR="00CC71BA" w:rsidRDefault="00CC71BA" w:rsidP="00CC71BA">
      <w:pPr>
        <w:widowControl/>
        <w:spacing w:before="360" w:after="120"/>
        <w:rPr>
          <w:rFonts w:eastAsia="Calibri"/>
          <w:i/>
          <w:iCs/>
          <w:szCs w:val="22"/>
          <w:lang w:eastAsia="en-US"/>
        </w:rPr>
      </w:pPr>
      <w:bookmarkStart w:id="7" w:name="_Hlk216429618"/>
      <w:r w:rsidRPr="00EE657A">
        <w:rPr>
          <w:rFonts w:eastAsia="Calibri"/>
          <w:i/>
          <w:iCs/>
          <w:szCs w:val="22"/>
          <w:lang w:eastAsia="en-US"/>
        </w:rPr>
        <w:t>(</w:t>
      </w:r>
      <w:r>
        <w:rPr>
          <w:rFonts w:eastAsia="Calibri"/>
          <w:i/>
          <w:iCs/>
          <w:szCs w:val="22"/>
          <w:lang w:eastAsia="en-US"/>
        </w:rPr>
        <w:t xml:space="preserve">A </w:t>
      </w:r>
      <w:r w:rsidRPr="00EE657A">
        <w:rPr>
          <w:rFonts w:eastAsia="Calibri"/>
          <w:i/>
          <w:iCs/>
          <w:szCs w:val="22"/>
          <w:lang w:eastAsia="en-US"/>
        </w:rPr>
        <w:t>Parlament és a Tanács megállapodása következtében a Parlament álláspontja megegyezik a végleges jogalkotási aktussal, az (EU) 202</w:t>
      </w:r>
      <w:r>
        <w:rPr>
          <w:rFonts w:eastAsia="Calibri"/>
          <w:i/>
          <w:iCs/>
          <w:szCs w:val="22"/>
          <w:lang w:eastAsia="en-US"/>
        </w:rPr>
        <w:t>6</w:t>
      </w:r>
      <w:r w:rsidRPr="00EE657A">
        <w:rPr>
          <w:rFonts w:eastAsia="Calibri"/>
          <w:i/>
          <w:iCs/>
          <w:szCs w:val="22"/>
          <w:lang w:eastAsia="en-US"/>
        </w:rPr>
        <w:t>/</w:t>
      </w:r>
      <w:r>
        <w:rPr>
          <w:rFonts w:eastAsia="Calibri"/>
          <w:i/>
          <w:iCs/>
          <w:szCs w:val="22"/>
          <w:lang w:eastAsia="en-US"/>
        </w:rPr>
        <w:t>211</w:t>
      </w:r>
      <w:r>
        <w:rPr>
          <w:rFonts w:eastAsia="Calibri"/>
          <w:i/>
          <w:iCs/>
          <w:szCs w:val="22"/>
          <w:lang w:eastAsia="en-US"/>
        </w:rPr>
        <w:t xml:space="preserve"> </w:t>
      </w:r>
      <w:r>
        <w:rPr>
          <w:rFonts w:eastAsia="Calibri"/>
          <w:i/>
          <w:iCs/>
          <w:szCs w:val="22"/>
          <w:lang w:eastAsia="en-US"/>
        </w:rPr>
        <w:t>rendelettel</w:t>
      </w:r>
      <w:r>
        <w:rPr>
          <w:rFonts w:eastAsia="Calibri"/>
          <w:i/>
          <w:iCs/>
          <w:szCs w:val="22"/>
          <w:lang w:eastAsia="en-US"/>
        </w:rPr>
        <w:t>.)</w:t>
      </w:r>
    </w:p>
    <w:bookmarkEnd w:id="7"/>
    <w:sectPr w:rsidR="00CC71BA" w:rsidSect="000613E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6A312" w14:textId="77777777" w:rsidR="00841B29" w:rsidRPr="000613E8" w:rsidRDefault="00841B29">
      <w:r w:rsidRPr="000613E8">
        <w:separator/>
      </w:r>
    </w:p>
  </w:endnote>
  <w:endnote w:type="continuationSeparator" w:id="0">
    <w:p w14:paraId="4ACE7C67" w14:textId="77777777" w:rsidR="00841B29" w:rsidRPr="000613E8" w:rsidRDefault="00841B29">
      <w:r w:rsidRPr="000613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CBB9B" w14:textId="77777777" w:rsidR="005E2D05" w:rsidRPr="00B92DCE" w:rsidRDefault="005E2D0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BA7E" w14:textId="77777777" w:rsidR="005E2D05" w:rsidRPr="00B92DCE" w:rsidRDefault="005E2D0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687F" w14:textId="77777777" w:rsidR="005E2D05" w:rsidRPr="00B92DCE" w:rsidRDefault="005E2D0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80FA7" w14:textId="77777777" w:rsidR="00064002" w:rsidRPr="000613E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04147" w14:textId="77777777" w:rsidR="00064002" w:rsidRPr="000613E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070D" w14:textId="77777777" w:rsidR="00064002" w:rsidRPr="000613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B2CAE" w14:textId="77777777" w:rsidR="00841B29" w:rsidRPr="000613E8" w:rsidRDefault="00841B29">
      <w:r w:rsidRPr="000613E8">
        <w:separator/>
      </w:r>
    </w:p>
  </w:footnote>
  <w:footnote w:type="continuationSeparator" w:id="0">
    <w:p w14:paraId="44AEF230" w14:textId="77777777" w:rsidR="00841B29" w:rsidRPr="000613E8" w:rsidRDefault="00841B29">
      <w:r w:rsidRPr="000613E8">
        <w:continuationSeparator/>
      </w:r>
    </w:p>
  </w:footnote>
  <w:footnote w:id="1">
    <w:p w14:paraId="740A0A0B" w14:textId="79ABD2DC" w:rsidR="009F7709" w:rsidRPr="000613E8" w:rsidRDefault="009F7709" w:rsidP="000613E8">
      <w:pPr>
        <w:pStyle w:val="FootnoteText"/>
        <w:ind w:left="567" w:hanging="567"/>
        <w:rPr>
          <w:sz w:val="24"/>
          <w:lang w:val="hu-HU"/>
        </w:rPr>
      </w:pPr>
      <w:r w:rsidRPr="000613E8">
        <w:rPr>
          <w:rStyle w:val="FootnoteReference"/>
          <w:sz w:val="24"/>
          <w:lang w:val="hu-HU"/>
        </w:rPr>
        <w:footnoteRef/>
      </w:r>
      <w:r w:rsidR="000613E8" w:rsidRPr="000613E8">
        <w:rPr>
          <w:sz w:val="24"/>
          <w:lang w:val="hu-HU"/>
        </w:rPr>
        <w:t xml:space="preserve"> </w:t>
      </w:r>
      <w:r w:rsidR="000613E8" w:rsidRPr="000613E8">
        <w:rPr>
          <w:sz w:val="24"/>
          <w:lang w:val="hu-HU"/>
        </w:rPr>
        <w:tab/>
      </w:r>
      <w:r w:rsidRPr="000613E8">
        <w:rPr>
          <w:sz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D3E3F" w14:textId="77777777" w:rsidR="005E2D05" w:rsidRPr="00B92DCE" w:rsidRDefault="005E2D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995A" w14:textId="77777777" w:rsidR="005E2D05" w:rsidRPr="00B92DCE" w:rsidRDefault="005E2D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3E6F9" w14:textId="77777777" w:rsidR="005E2D05" w:rsidRPr="00B92DCE" w:rsidRDefault="005E2D0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5FB3" w14:textId="77777777" w:rsidR="00064002" w:rsidRPr="000613E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87B2" w14:textId="77777777" w:rsidR="00064002" w:rsidRPr="000613E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A683" w14:textId="77777777" w:rsidR="00064002" w:rsidRPr="000613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6904768">
    <w:abstractNumId w:val="9"/>
  </w:num>
  <w:num w:numId="2" w16cid:durableId="1700355977">
    <w:abstractNumId w:val="9"/>
  </w:num>
  <w:num w:numId="3" w16cid:durableId="1259562424">
    <w:abstractNumId w:val="7"/>
  </w:num>
  <w:num w:numId="4" w16cid:durableId="1332871602">
    <w:abstractNumId w:val="7"/>
  </w:num>
  <w:num w:numId="5" w16cid:durableId="332612147">
    <w:abstractNumId w:val="6"/>
  </w:num>
  <w:num w:numId="6" w16cid:durableId="1892885529">
    <w:abstractNumId w:val="6"/>
  </w:num>
  <w:num w:numId="7" w16cid:durableId="1246375623">
    <w:abstractNumId w:val="5"/>
  </w:num>
  <w:num w:numId="8" w16cid:durableId="2075152484">
    <w:abstractNumId w:val="5"/>
  </w:num>
  <w:num w:numId="9" w16cid:durableId="1298143286">
    <w:abstractNumId w:val="4"/>
  </w:num>
  <w:num w:numId="10" w16cid:durableId="938148090">
    <w:abstractNumId w:val="4"/>
  </w:num>
  <w:num w:numId="11" w16cid:durableId="1855150084">
    <w:abstractNumId w:val="8"/>
  </w:num>
  <w:num w:numId="12" w16cid:durableId="626933627">
    <w:abstractNumId w:val="8"/>
  </w:num>
  <w:num w:numId="13" w16cid:durableId="2026393582">
    <w:abstractNumId w:val="3"/>
  </w:num>
  <w:num w:numId="14" w16cid:durableId="624501402">
    <w:abstractNumId w:val="3"/>
  </w:num>
  <w:num w:numId="15" w16cid:durableId="1626540055">
    <w:abstractNumId w:val="2"/>
  </w:num>
  <w:num w:numId="16" w16cid:durableId="718823761">
    <w:abstractNumId w:val="2"/>
  </w:num>
  <w:num w:numId="17" w16cid:durableId="367025437">
    <w:abstractNumId w:val="1"/>
  </w:num>
  <w:num w:numId="18" w16cid:durableId="1350567764">
    <w:abstractNumId w:val="1"/>
  </w:num>
  <w:num w:numId="19" w16cid:durableId="637536694">
    <w:abstractNumId w:val="0"/>
  </w:num>
  <w:num w:numId="20" w16cid:durableId="1802577247">
    <w:abstractNumId w:val="0"/>
  </w:num>
  <w:num w:numId="21" w16cid:durableId="1264193548">
    <w:abstractNumId w:val="9"/>
  </w:num>
  <w:num w:numId="22" w16cid:durableId="1754425359">
    <w:abstractNumId w:val="7"/>
  </w:num>
  <w:num w:numId="23" w16cid:durableId="478615708">
    <w:abstractNumId w:val="6"/>
  </w:num>
  <w:num w:numId="24" w16cid:durableId="2095855524">
    <w:abstractNumId w:val="5"/>
  </w:num>
  <w:num w:numId="25" w16cid:durableId="166865431">
    <w:abstractNumId w:val="4"/>
  </w:num>
  <w:num w:numId="26" w16cid:durableId="1263101229">
    <w:abstractNumId w:val="8"/>
  </w:num>
  <w:num w:numId="27" w16cid:durableId="968239736">
    <w:abstractNumId w:val="3"/>
  </w:num>
  <w:num w:numId="28" w16cid:durableId="1547522477">
    <w:abstractNumId w:val="2"/>
  </w:num>
  <w:num w:numId="29" w16cid:durableId="196478371">
    <w:abstractNumId w:val="1"/>
  </w:num>
  <w:num w:numId="30" w16cid:durableId="1547259722">
    <w:abstractNumId w:val="0"/>
  </w:num>
  <w:num w:numId="31" w16cid:durableId="2093307394">
    <w:abstractNumId w:val="9"/>
  </w:num>
  <w:num w:numId="32" w16cid:durableId="550188044">
    <w:abstractNumId w:val="7"/>
  </w:num>
  <w:num w:numId="33" w16cid:durableId="481822253">
    <w:abstractNumId w:val="6"/>
  </w:num>
  <w:num w:numId="34" w16cid:durableId="188690214">
    <w:abstractNumId w:val="5"/>
  </w:num>
  <w:num w:numId="35" w16cid:durableId="480537153">
    <w:abstractNumId w:val="4"/>
  </w:num>
  <w:num w:numId="36" w16cid:durableId="781998445">
    <w:abstractNumId w:val="8"/>
  </w:num>
  <w:num w:numId="37" w16cid:durableId="367534233">
    <w:abstractNumId w:val="3"/>
  </w:num>
  <w:num w:numId="38" w16cid:durableId="389227223">
    <w:abstractNumId w:val="2"/>
  </w:num>
  <w:num w:numId="39" w16cid:durableId="97414504">
    <w:abstractNumId w:val="1"/>
  </w:num>
  <w:num w:numId="40" w16cid:durableId="1425298609">
    <w:abstractNumId w:val="0"/>
  </w:num>
  <w:num w:numId="41" w16cid:durableId="1376274113">
    <w:abstractNumId w:val="10"/>
  </w:num>
  <w:num w:numId="42" w16cid:durableId="1036348272">
    <w:abstractNumId w:val="10"/>
  </w:num>
  <w:num w:numId="43" w16cid:durableId="2013028567">
    <w:abstractNumId w:val="10"/>
  </w:num>
  <w:num w:numId="44" w16cid:durableId="318966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HU"/>
    <w:docVar w:name="dvnumam" w:val="0"/>
    <w:docVar w:name="dvpe" w:val="779.577"/>
    <w:docVar w:name="dvrapporteur" w:val="Előadó: "/>
    <w:docVar w:name="dvtitre" w:val="Az Európai Parlament 2025. december ...-i jogalkotási állásfoglalása az (EU) 2021/1755 rendeletnek a tagállamok számára a brexit miatti kiigazításokra képzett tartalék keretében elkülönített összegek tekintetében történő módosításáról szóló európai parlamenti és tanácsi rendeletre irányuló javaslatról(COM(2025)0513 – C10-0216/2025 – 2025/0289(COD))"/>
  </w:docVars>
  <w:rsids>
    <w:rsidRoot w:val="00841B29"/>
    <w:rsid w:val="00002272"/>
    <w:rsid w:val="000613E8"/>
    <w:rsid w:val="00064002"/>
    <w:rsid w:val="000677B9"/>
    <w:rsid w:val="000831BA"/>
    <w:rsid w:val="000A42CC"/>
    <w:rsid w:val="000E7DD9"/>
    <w:rsid w:val="0010095E"/>
    <w:rsid w:val="00125B37"/>
    <w:rsid w:val="00187494"/>
    <w:rsid w:val="001874F6"/>
    <w:rsid w:val="001B519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488"/>
    <w:rsid w:val="004C5D52"/>
    <w:rsid w:val="0050519A"/>
    <w:rsid w:val="005072A1"/>
    <w:rsid w:val="00514517"/>
    <w:rsid w:val="00545827"/>
    <w:rsid w:val="00560270"/>
    <w:rsid w:val="005C2568"/>
    <w:rsid w:val="005C7401"/>
    <w:rsid w:val="005E2D0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ECD"/>
    <w:rsid w:val="00817416"/>
    <w:rsid w:val="00841B2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7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46E"/>
    <w:rsid w:val="00B558F0"/>
    <w:rsid w:val="00BD48FE"/>
    <w:rsid w:val="00BD7BD8"/>
    <w:rsid w:val="00BE6ADC"/>
    <w:rsid w:val="00C05BFE"/>
    <w:rsid w:val="00C23CD4"/>
    <w:rsid w:val="00C61C0C"/>
    <w:rsid w:val="00C926F1"/>
    <w:rsid w:val="00C941CB"/>
    <w:rsid w:val="00CC2357"/>
    <w:rsid w:val="00CC71BA"/>
    <w:rsid w:val="00CE387B"/>
    <w:rsid w:val="00CF071A"/>
    <w:rsid w:val="00D058B8"/>
    <w:rsid w:val="00D22B5E"/>
    <w:rsid w:val="00D56C11"/>
    <w:rsid w:val="00D833C3"/>
    <w:rsid w:val="00D834A0"/>
    <w:rsid w:val="00D872DF"/>
    <w:rsid w:val="00D91E21"/>
    <w:rsid w:val="00DA7FCD"/>
    <w:rsid w:val="00E12D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E05"/>
    <w:rsid w:val="00FD0C70"/>
    <w:rsid w:val="00FE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B080B"/>
  <w15:chartTrackingRefBased/>
  <w15:docId w15:val="{6531CA46-1D52-44F8-9BAE-9995CB86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7709"/>
    <w:pPr>
      <w:spacing w:before="480" w:after="240"/>
    </w:pPr>
  </w:style>
  <w:style w:type="paragraph" w:customStyle="1" w:styleId="NormalBold">
    <w:name w:val="NormalBold"/>
    <w:basedOn w:val="Normal"/>
    <w:rsid w:val="009F7709"/>
    <w:rPr>
      <w:b/>
    </w:rPr>
  </w:style>
  <w:style w:type="paragraph" w:customStyle="1" w:styleId="NormalHanging12a">
    <w:name w:val="NormalHanging12a"/>
    <w:basedOn w:val="Normal"/>
    <w:rsid w:val="009F770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C2488"/>
    <w:rPr>
      <w:sz w:val="24"/>
      <w:lang w:val="hu-HU"/>
    </w:rPr>
  </w:style>
  <w:style w:type="character" w:styleId="Hyperlink">
    <w:name w:val="Hyperlink"/>
    <w:uiPriority w:val="99"/>
    <w:rsid w:val="005E2D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2156</Characters>
  <Application>Microsoft Office Word</Application>
  <DocSecurity>0</DocSecurity>
  <Lines>102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2026-03-04T12:37:00Z</dcterms:created>
  <dcterms:modified xsi:type="dcterms:W3CDTF">2026-03-04T12:37:00Z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