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7F20" w14:paraId="70FCC3A7" w14:textId="77777777" w:rsidTr="0010095E">
        <w:trPr>
          <w:trHeight w:hRule="exact" w:val="1418"/>
        </w:trPr>
        <w:tc>
          <w:tcPr>
            <w:tcW w:w="6804" w:type="dxa"/>
            <w:shd w:val="clear" w:color="auto" w:fill="auto"/>
            <w:vAlign w:val="center"/>
          </w:tcPr>
          <w:p w14:paraId="1D1DCE96" w14:textId="77777777" w:rsidR="00751A4A" w:rsidRPr="007E7F20" w:rsidRDefault="005B2DF8" w:rsidP="0010095E">
            <w:pPr>
              <w:pStyle w:val="EPName"/>
            </w:pPr>
            <w:r w:rsidRPr="007E7F20">
              <w:t>Europos Parlamentas</w:t>
            </w:r>
          </w:p>
          <w:p w14:paraId="1B8B22C4" w14:textId="77777777" w:rsidR="00751A4A" w:rsidRPr="007E7F20" w:rsidRDefault="005F1B17" w:rsidP="005F1B17">
            <w:pPr>
              <w:pStyle w:val="EPTerm"/>
              <w:rPr>
                <w:rStyle w:val="HideTWBExt"/>
                <w:noProof w:val="0"/>
                <w:vanish w:val="0"/>
                <w:color w:val="auto"/>
              </w:rPr>
            </w:pPr>
            <w:r w:rsidRPr="007E7F20">
              <w:t>2024</w:t>
            </w:r>
            <w:r w:rsidR="00817416" w:rsidRPr="007E7F20">
              <w:t>-202</w:t>
            </w:r>
            <w:r w:rsidRPr="007E7F20">
              <w:t>9</w:t>
            </w:r>
          </w:p>
        </w:tc>
        <w:tc>
          <w:tcPr>
            <w:tcW w:w="2268" w:type="dxa"/>
            <w:shd w:val="clear" w:color="auto" w:fill="auto"/>
          </w:tcPr>
          <w:p w14:paraId="43C17D9D" w14:textId="4A15696D" w:rsidR="00751A4A" w:rsidRPr="007E7F20" w:rsidRDefault="00187494" w:rsidP="0010095E">
            <w:pPr>
              <w:pStyle w:val="EPLogo"/>
            </w:pPr>
            <w:r w:rsidRPr="007E7F20">
              <w:rPr>
                <w:noProof/>
                <w:lang w:eastAsia="ja-JP"/>
              </w:rPr>
              <w:drawing>
                <wp:inline distT="0" distB="0" distL="0" distR="0" wp14:anchorId="46875254" wp14:editId="506E30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AD2C8" w14:textId="77777777" w:rsidR="00D058B8" w:rsidRPr="007E7F20" w:rsidRDefault="00D058B8" w:rsidP="004C5D52">
      <w:pPr>
        <w:pStyle w:val="LineTop"/>
      </w:pPr>
    </w:p>
    <w:p w14:paraId="6AA518E5" w14:textId="77777777" w:rsidR="00680577" w:rsidRPr="007E7F20" w:rsidRDefault="005B2DF8" w:rsidP="00680577">
      <w:pPr>
        <w:pStyle w:val="EPBodyTA1"/>
      </w:pPr>
      <w:r w:rsidRPr="007E7F20">
        <w:t>PRIIMTI TEKSTAI</w:t>
      </w:r>
    </w:p>
    <w:p w14:paraId="5AB90C04" w14:textId="77777777" w:rsidR="00D058B8" w:rsidRPr="007E7F20" w:rsidRDefault="00D058B8" w:rsidP="00D058B8">
      <w:pPr>
        <w:pStyle w:val="LineBottom"/>
      </w:pPr>
    </w:p>
    <w:p w14:paraId="080ED4D7" w14:textId="0187B6F8" w:rsidR="005B2DF8" w:rsidRPr="007E7F20" w:rsidRDefault="005B2DF8" w:rsidP="005B2DF8">
      <w:pPr>
        <w:pStyle w:val="ATHeading1"/>
      </w:pPr>
      <w:bookmarkStart w:id="0" w:name="TANumber"/>
      <w:r w:rsidRPr="007E7F20">
        <w:t>P10_TA(2025)0</w:t>
      </w:r>
      <w:r w:rsidR="009C0FC1">
        <w:t>323</w:t>
      </w:r>
      <w:bookmarkEnd w:id="0"/>
    </w:p>
    <w:p w14:paraId="3C07F859" w14:textId="77777777" w:rsidR="005B2DF8" w:rsidRPr="007E7F20" w:rsidRDefault="005B2DF8" w:rsidP="005B2DF8">
      <w:pPr>
        <w:pStyle w:val="ATHeading2"/>
      </w:pPr>
      <w:bookmarkStart w:id="1" w:name="title"/>
      <w:r w:rsidRPr="007E7F20">
        <w:t>Prisitaikymo prie „Brexit’o“ rezervas</w:t>
      </w:r>
      <w:bookmarkEnd w:id="1"/>
    </w:p>
    <w:p w14:paraId="18CF49AC" w14:textId="77777777" w:rsidR="005B2DF8" w:rsidRPr="007E7F20" w:rsidRDefault="005B2DF8" w:rsidP="005B2DF8">
      <w:pPr>
        <w:rPr>
          <w:i/>
          <w:vanish/>
        </w:rPr>
      </w:pPr>
      <w:r w:rsidRPr="007E7F20">
        <w:rPr>
          <w:i/>
        </w:rPr>
        <w:fldChar w:fldCharType="begin"/>
      </w:r>
      <w:r w:rsidRPr="007E7F20">
        <w:rPr>
          <w:i/>
        </w:rPr>
        <w:instrText xml:space="preserve"> TC"(</w:instrText>
      </w:r>
      <w:bookmarkStart w:id="2" w:name="DocNumber"/>
      <w:r w:rsidRPr="007E7F20">
        <w:rPr>
          <w:i/>
        </w:rPr>
        <w:instrText>A10-0233/2025</w:instrText>
      </w:r>
      <w:bookmarkEnd w:id="2"/>
      <w:r w:rsidRPr="007E7F20">
        <w:rPr>
          <w:i/>
        </w:rPr>
        <w:instrText xml:space="preserve"> - Pranešėjas: Pascal Arimont)"\l3 \n&gt; \* MERGEFORMAT </w:instrText>
      </w:r>
      <w:r w:rsidRPr="007E7F20">
        <w:rPr>
          <w:i/>
        </w:rPr>
        <w:fldChar w:fldCharType="end"/>
      </w:r>
    </w:p>
    <w:p w14:paraId="634A0F11" w14:textId="57C1B98C" w:rsidR="005B2DF8" w:rsidRPr="007E7F20" w:rsidRDefault="005B2DF8" w:rsidP="005B2DF8">
      <w:pPr>
        <w:rPr>
          <w:vanish/>
        </w:rPr>
      </w:pPr>
      <w:bookmarkStart w:id="3" w:name="Commission"/>
      <w:r w:rsidRPr="007E7F20">
        <w:rPr>
          <w:vanish/>
        </w:rPr>
        <w:t>Regioninės plėtros komitetas</w:t>
      </w:r>
      <w:bookmarkEnd w:id="3"/>
    </w:p>
    <w:p w14:paraId="2B30F93C" w14:textId="0F088105" w:rsidR="005B2DF8" w:rsidRPr="007E7F20" w:rsidRDefault="005B2DF8" w:rsidP="005B2DF8">
      <w:pPr>
        <w:rPr>
          <w:vanish/>
        </w:rPr>
      </w:pPr>
      <w:bookmarkStart w:id="4" w:name="PE"/>
      <w:r w:rsidRPr="007E7F20">
        <w:rPr>
          <w:vanish/>
        </w:rPr>
        <w:t>PE779.577</w:t>
      </w:r>
      <w:bookmarkEnd w:id="4"/>
    </w:p>
    <w:p w14:paraId="10D64885" w14:textId="7CBBCB2E" w:rsidR="005B2DF8" w:rsidRPr="007E7F20" w:rsidRDefault="005B2DF8" w:rsidP="005B2DF8">
      <w:pPr>
        <w:pStyle w:val="ATHeading3"/>
      </w:pPr>
      <w:bookmarkStart w:id="5" w:name="Sujet"/>
      <w:r w:rsidRPr="007E7F20">
        <w:t xml:space="preserve">2025 m. </w:t>
      </w:r>
      <w:r w:rsidR="00ED706A" w:rsidRPr="007E7F20">
        <w:t>gruodžio</w:t>
      </w:r>
      <w:r w:rsidRPr="007E7F20">
        <w:t xml:space="preserve"> </w:t>
      </w:r>
      <w:r w:rsidR="00ED706A">
        <w:t>16</w:t>
      </w:r>
      <w:r w:rsidRPr="007E7F20">
        <w:t xml:space="preserve"> d. Europos Parlamento teisėkūros rezoliucija dėl pasiūlymo dėl Europos Parlamento ir Tarybos reglamento, kuriuo dėl valstybėms narėms iš prisitaikymo prie „Brexit’o“ rezervo skirtų sumų iš dalies keičiamas Reglamentas (ES) 2021/1755</w:t>
      </w:r>
      <w:bookmarkEnd w:id="5"/>
      <w:r w:rsidRPr="007E7F20">
        <w:t xml:space="preserve"> </w:t>
      </w:r>
      <w:bookmarkStart w:id="6" w:name="References"/>
      <w:r w:rsidRPr="007E7F20">
        <w:t>(COM(2025)0513 – C10-0216/2025 – 2025/0289(COD))</w:t>
      </w:r>
      <w:bookmarkEnd w:id="6"/>
    </w:p>
    <w:p w14:paraId="540719C2" w14:textId="77777777" w:rsidR="00B23BC1" w:rsidRPr="007E7F20" w:rsidRDefault="00B23BC1" w:rsidP="00B23BC1">
      <w:pPr>
        <w:pStyle w:val="NormalBold"/>
      </w:pPr>
      <w:r w:rsidRPr="007E7F20">
        <w:t>(Įprasta teisėkūros procedūra: pirmasis svarstymas)</w:t>
      </w:r>
    </w:p>
    <w:p w14:paraId="2F740A29" w14:textId="77777777" w:rsidR="00B23BC1" w:rsidRPr="007E7F20" w:rsidRDefault="00B23BC1" w:rsidP="00B23BC1">
      <w:pPr>
        <w:pStyle w:val="EPComma"/>
      </w:pPr>
      <w:r w:rsidRPr="007E7F20">
        <w:rPr>
          <w:i/>
        </w:rPr>
        <w:t>Europos Parlamentas</w:t>
      </w:r>
      <w:r w:rsidRPr="007E7F20">
        <w:t>,</w:t>
      </w:r>
    </w:p>
    <w:p w14:paraId="11B682D7" w14:textId="77777777" w:rsidR="00B23BC1" w:rsidRPr="007E7F20" w:rsidRDefault="00B23BC1" w:rsidP="00B23BC1">
      <w:pPr>
        <w:pStyle w:val="NormalHanging12a"/>
      </w:pPr>
      <w:r w:rsidRPr="007E7F20">
        <w:t>–</w:t>
      </w:r>
      <w:r w:rsidRPr="007E7F20">
        <w:tab/>
        <w:t>atsižvelgdamas į Komisijos pasiūlymą Europos Parlamentui ir Tarybai (COM(2025)0513),</w:t>
      </w:r>
    </w:p>
    <w:p w14:paraId="21C63192" w14:textId="3A6E7B1E" w:rsidR="00B23BC1" w:rsidRPr="007E7F20" w:rsidRDefault="00B23BC1" w:rsidP="00B23BC1">
      <w:pPr>
        <w:pStyle w:val="NormalHanging12a"/>
      </w:pPr>
      <w:r w:rsidRPr="007E7F20">
        <w:t>–</w:t>
      </w:r>
      <w:r w:rsidRPr="007E7F20">
        <w:tab/>
        <w:t>atsižvelgdamas į Sutarties dėl Europos Sąjungos veikimo 294 straipsn</w:t>
      </w:r>
      <w:r w:rsidR="00ED706A">
        <w:t>io 2 dal</w:t>
      </w:r>
      <w:r w:rsidRPr="007E7F20">
        <w:t xml:space="preserve">į ir </w:t>
      </w:r>
      <w:r w:rsidR="00ED706A" w:rsidRPr="007E7F20">
        <w:t>į</w:t>
      </w:r>
      <w:r w:rsidR="00ED706A">
        <w:t xml:space="preserve"> </w:t>
      </w:r>
      <w:r w:rsidRPr="007E7F20">
        <w:t>175 straipsnį, pagal kuriuos Komisija pateikė pasiūlymą Parlamentui (C10-0216/2025),</w:t>
      </w:r>
    </w:p>
    <w:p w14:paraId="4B68821C" w14:textId="77777777" w:rsidR="00B23BC1" w:rsidRPr="007E7F20" w:rsidRDefault="00B23BC1" w:rsidP="00B23BC1">
      <w:pPr>
        <w:pStyle w:val="NormalHanging12a"/>
      </w:pPr>
      <w:r w:rsidRPr="007E7F20">
        <w:t>–</w:t>
      </w:r>
      <w:r w:rsidRPr="007E7F20">
        <w:tab/>
        <w:t>atsižvelgdamas į Sutarties dėl Europos Sąjungos veikimo 294 straipsnio 3 dalį,</w:t>
      </w:r>
    </w:p>
    <w:p w14:paraId="51E97FF4" w14:textId="77777777" w:rsidR="00B23BC1" w:rsidRPr="007E7F20" w:rsidRDefault="00B23BC1" w:rsidP="00B23BC1">
      <w:pPr>
        <w:pStyle w:val="NormalHanging12a"/>
      </w:pPr>
      <w:r w:rsidRPr="007E7F20">
        <w:t>–</w:t>
      </w:r>
      <w:r w:rsidRPr="007E7F20">
        <w:tab/>
        <w:t>atsižvelgdamas į 2025 m. spalio 23 d. Europos ekonomikos ir socialinių reikalų komiteto nuomonę</w:t>
      </w:r>
      <w:r w:rsidRPr="007E7F20">
        <w:rPr>
          <w:vertAlign w:val="superscript"/>
        </w:rPr>
        <w:footnoteReference w:id="1"/>
      </w:r>
      <w:r w:rsidRPr="007E7F20">
        <w:t xml:space="preserve">, </w:t>
      </w:r>
    </w:p>
    <w:p w14:paraId="05DE8B63" w14:textId="436BFA4A" w:rsidR="00B23BC1" w:rsidRDefault="00B23BC1" w:rsidP="00B23BC1">
      <w:pPr>
        <w:pStyle w:val="NormalHanging12a"/>
      </w:pPr>
      <w:r w:rsidRPr="007E7F20">
        <w:t>–</w:t>
      </w:r>
      <w:r w:rsidRPr="007E7F20">
        <w:tab/>
      </w:r>
      <w:r w:rsidR="00ED706A">
        <w:t>pasikonsultavęs</w:t>
      </w:r>
      <w:r w:rsidR="00ED706A" w:rsidRPr="007E7F20">
        <w:t xml:space="preserve"> </w:t>
      </w:r>
      <w:r w:rsidR="00ED706A">
        <w:t>su</w:t>
      </w:r>
      <w:r w:rsidRPr="007E7F20">
        <w:t xml:space="preserve"> Regionų komitet</w:t>
      </w:r>
      <w:r w:rsidR="00ED706A">
        <w:t>u</w:t>
      </w:r>
      <w:r w:rsidRPr="007E7F20">
        <w:t>,</w:t>
      </w:r>
    </w:p>
    <w:p w14:paraId="64F7BE11" w14:textId="491E4E36" w:rsidR="00ED706A" w:rsidRDefault="00ED706A" w:rsidP="00B23BC1">
      <w:pPr>
        <w:pStyle w:val="NormalHanging12a"/>
      </w:pPr>
      <w:r w:rsidRPr="007E7F20">
        <w:t>–</w:t>
      </w:r>
      <w:r w:rsidRPr="007E7F20">
        <w:tab/>
      </w:r>
      <w:r>
        <w:t>atsižvelgdamas į 2025 m. lapkričio 19 d. laišku Tarybos atstovo prisiimtą įsipareigojimą pritarti Parlamento pozicijai pagal Sutarties dėl Europos Sąjungos veikimo 294 straipsnio 4 dalį,</w:t>
      </w:r>
    </w:p>
    <w:p w14:paraId="4EF7F241" w14:textId="2DFF22F1" w:rsidR="00ED706A" w:rsidRPr="007E7F20" w:rsidRDefault="00ED706A" w:rsidP="00B23BC1">
      <w:pPr>
        <w:pStyle w:val="NormalHanging12a"/>
      </w:pPr>
      <w:r w:rsidRPr="007E7F20">
        <w:t>–</w:t>
      </w:r>
      <w:r w:rsidRPr="007E7F20">
        <w:tab/>
        <w:t>atsižvelgdamas į Darbo tvarkos taisyklių 60 straipsnį,</w:t>
      </w:r>
    </w:p>
    <w:p w14:paraId="779DF96D" w14:textId="467FD562" w:rsidR="00ED706A" w:rsidRDefault="00B23BC1" w:rsidP="00B23BC1">
      <w:pPr>
        <w:pStyle w:val="NormalHanging12a"/>
      </w:pPr>
      <w:r w:rsidRPr="007E7F20">
        <w:t>–</w:t>
      </w:r>
      <w:r w:rsidRPr="007E7F20">
        <w:tab/>
        <w:t>atsižvelgdamas į Regioninės plėtros komiteto pranešimą (A10-0233/2025),</w:t>
      </w:r>
    </w:p>
    <w:p w14:paraId="14874DC3" w14:textId="0E45E05E" w:rsidR="00B23BC1" w:rsidRPr="007E7F20" w:rsidRDefault="00B23BC1" w:rsidP="00B23BC1">
      <w:pPr>
        <w:pStyle w:val="NormalHanging12a"/>
      </w:pPr>
      <w:r w:rsidRPr="007E7F20">
        <w:t>1.</w:t>
      </w:r>
      <w:r w:rsidRPr="007E7F20">
        <w:tab/>
        <w:t xml:space="preserve">priima per pirmąjį svarstymą </w:t>
      </w:r>
      <w:r w:rsidR="00824009">
        <w:t xml:space="preserve">toliau pateiktą </w:t>
      </w:r>
      <w:r w:rsidRPr="007E7F20">
        <w:t>poziciją;</w:t>
      </w:r>
    </w:p>
    <w:p w14:paraId="25BEED09" w14:textId="77777777" w:rsidR="00B23BC1" w:rsidRPr="007E7F20" w:rsidRDefault="00B23BC1" w:rsidP="00B23BC1">
      <w:pPr>
        <w:pStyle w:val="NormalHanging12a"/>
      </w:pPr>
      <w:r w:rsidRPr="007E7F20">
        <w:t>2.</w:t>
      </w:r>
      <w:r w:rsidRPr="007E7F20">
        <w:tab/>
        <w:t xml:space="preserve">ragina Komisiją dar kartą perduoti klausimą svarstyti Parlamentui, jei ji savo pasiūlymą </w:t>
      </w:r>
      <w:r w:rsidRPr="007E7F20">
        <w:lastRenderedPageBreak/>
        <w:t>pakeičia nauju tekstu, jį keičia iš esmės arba ketina jį keisti iš esmės;</w:t>
      </w:r>
    </w:p>
    <w:p w14:paraId="289838C7" w14:textId="29BD3F21" w:rsidR="00B23BC1" w:rsidRPr="007E7F20" w:rsidRDefault="00B23BC1" w:rsidP="00B23BC1">
      <w:pPr>
        <w:pStyle w:val="NormalHanging12a"/>
      </w:pPr>
      <w:r w:rsidRPr="007E7F20">
        <w:t>3.</w:t>
      </w:r>
      <w:r w:rsidRPr="007E7F20">
        <w:tab/>
        <w:t xml:space="preserve">paveda </w:t>
      </w:r>
      <w:r w:rsidR="00CB323C" w:rsidRPr="007E7F20">
        <w:t>Pirminink</w:t>
      </w:r>
      <w:r w:rsidR="00CB323C">
        <w:t>ei</w:t>
      </w:r>
      <w:r w:rsidR="00CB323C" w:rsidRPr="007E7F20">
        <w:t xml:space="preserve"> </w:t>
      </w:r>
      <w:r w:rsidRPr="007E7F20">
        <w:t>perduoti Parlamento poziciją Tarybai, Komisijai ir nacionaliniams parlamentams.</w:t>
      </w:r>
    </w:p>
    <w:p w14:paraId="369120FE" w14:textId="77777777" w:rsidR="00621166" w:rsidRDefault="00621166" w:rsidP="00B23BC1">
      <w:pPr>
        <w:widowControl/>
        <w:sectPr w:rsidR="00621166" w:rsidSect="007E7F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C2EF249" w14:textId="77777777" w:rsidR="00ED706A" w:rsidRPr="006C05F1" w:rsidRDefault="00ED706A" w:rsidP="00ED706A">
      <w:pPr>
        <w:autoSpaceDE w:val="0"/>
        <w:autoSpaceDN w:val="0"/>
        <w:adjustRightInd w:val="0"/>
        <w:spacing w:after="240"/>
        <w:rPr>
          <w:b/>
          <w:bCs/>
          <w:color w:val="000000"/>
        </w:rPr>
      </w:pPr>
      <w:r w:rsidRPr="006C05F1">
        <w:rPr>
          <w:b/>
          <w:bCs/>
          <w:color w:val="000000"/>
        </w:rPr>
        <w:lastRenderedPageBreak/>
        <w:t>P10_TC1-COD(202</w:t>
      </w:r>
      <w:r>
        <w:rPr>
          <w:b/>
          <w:bCs/>
          <w:color w:val="000000"/>
        </w:rPr>
        <w:t>5</w:t>
      </w:r>
      <w:r w:rsidRPr="006C05F1">
        <w:rPr>
          <w:b/>
          <w:bCs/>
          <w:color w:val="000000"/>
        </w:rPr>
        <w:t>)0</w:t>
      </w:r>
      <w:r>
        <w:rPr>
          <w:b/>
          <w:bCs/>
          <w:color w:val="000000"/>
        </w:rPr>
        <w:t>289</w:t>
      </w:r>
    </w:p>
    <w:p w14:paraId="6E27C7A7" w14:textId="70D1F5EB" w:rsidR="00D34EC9" w:rsidRPr="00D34EC9" w:rsidRDefault="00E82943" w:rsidP="00D34EC9">
      <w:r>
        <w:rPr>
          <w:rFonts w:eastAsia="Calibri"/>
          <w:b/>
          <w:szCs w:val="22"/>
          <w:lang w:eastAsia="en-US"/>
        </w:rPr>
        <w:t xml:space="preserve">Europos </w:t>
      </w:r>
      <w:r>
        <w:rPr>
          <w:rFonts w:eastAsia="Calibri"/>
          <w:b/>
          <w:bCs/>
          <w:szCs w:val="22"/>
          <w:lang w:eastAsia="en-US"/>
        </w:rPr>
        <w:t>Parlamento</w:t>
      </w:r>
      <w:r>
        <w:rPr>
          <w:rFonts w:eastAsia="Calibri"/>
          <w:b/>
          <w:szCs w:val="22"/>
          <w:lang w:eastAsia="en-US"/>
        </w:rPr>
        <w:t xml:space="preserve"> pozicija, priimta 2025 m. gruodžio 16 d. per pirmąjį svarstymą, siekiant priimti Europos Parlamento ir Tarybos reglamentą (ES) 202</w:t>
      </w:r>
      <w:r w:rsidR="00413CB0">
        <w:rPr>
          <w:rFonts w:eastAsia="Calibri"/>
          <w:b/>
          <w:szCs w:val="22"/>
          <w:lang w:eastAsia="en-US"/>
        </w:rPr>
        <w:t>6</w:t>
      </w:r>
      <w:r>
        <w:rPr>
          <w:rFonts w:eastAsia="Calibri"/>
          <w:b/>
          <w:szCs w:val="22"/>
          <w:lang w:eastAsia="en-US"/>
        </w:rPr>
        <w:t>/...</w:t>
      </w:r>
      <w:r w:rsidR="00D34EC9">
        <w:rPr>
          <w:rFonts w:eastAsia="Calibri"/>
          <w:b/>
          <w:szCs w:val="22"/>
          <w:lang w:eastAsia="en-US"/>
        </w:rPr>
        <w:t>,</w:t>
      </w:r>
      <w:r>
        <w:rPr>
          <w:rFonts w:eastAsia="Calibri"/>
          <w:b/>
          <w:szCs w:val="22"/>
          <w:lang w:eastAsia="en-US"/>
        </w:rPr>
        <w:t xml:space="preserve"> </w:t>
      </w:r>
      <w:r w:rsidR="00D34EC9" w:rsidRPr="00D34EC9">
        <w:rPr>
          <w:rFonts w:eastAsia="Calibri"/>
          <w:b/>
          <w:noProof/>
          <w:szCs w:val="22"/>
          <w:lang w:eastAsia="en-US"/>
        </w:rPr>
        <w:t>kuriuo iš dalies keičiamas Reglamentas (ES) 2021/1755, kiek tai susiję su valstybėms narėms skirtomis sumomis pagal prisitaikymo prie „Brexit’o“ rezervą</w:t>
      </w:r>
    </w:p>
    <w:p w14:paraId="36A0F93A" w14:textId="74C43072" w:rsidR="00D664D5" w:rsidRDefault="00D664D5" w:rsidP="00D664D5">
      <w:pPr>
        <w:keepNext/>
        <w:widowControl/>
        <w:spacing w:before="600" w:after="120"/>
        <w:rPr>
          <w:rFonts w:eastAsia="Calibri"/>
          <w:noProof/>
          <w:szCs w:val="22"/>
          <w:lang w:eastAsia="en-US"/>
        </w:rPr>
      </w:pPr>
      <w:r w:rsidRPr="00D664D5">
        <w:rPr>
          <w:rStyle w:val="italic"/>
          <w:color w:val="000000"/>
        </w:rPr>
        <w:t>(Kadangi Parlamentas ir Taryba pasiekė susitarimą, Parlamento pozicija atitinka galutinį teisės aktą, Reglamentą (ES) 2026/</w:t>
      </w:r>
      <w:r>
        <w:rPr>
          <w:rStyle w:val="italic"/>
          <w:color w:val="000000"/>
        </w:rPr>
        <w:t>211</w:t>
      </w:r>
      <w:r w:rsidRPr="00D664D5">
        <w:rPr>
          <w:rStyle w:val="italic"/>
          <w:color w:val="000000"/>
        </w:rPr>
        <w:t>.)</w:t>
      </w:r>
    </w:p>
    <w:sectPr w:rsidR="00D664D5" w:rsidSect="007E7F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496BE" w14:textId="77777777" w:rsidR="005B2DF8" w:rsidRPr="007E7F20" w:rsidRDefault="005B2DF8">
      <w:r w:rsidRPr="007E7F20">
        <w:separator/>
      </w:r>
    </w:p>
  </w:endnote>
  <w:endnote w:type="continuationSeparator" w:id="0">
    <w:p w14:paraId="4356C257" w14:textId="77777777" w:rsidR="005B2DF8" w:rsidRPr="007E7F20" w:rsidRDefault="005B2DF8">
      <w:r w:rsidRPr="007E7F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0EC06" w14:textId="77777777" w:rsidR="00064002" w:rsidRPr="007E7F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973C" w14:textId="77777777" w:rsidR="00064002" w:rsidRPr="007E7F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9EA1" w14:textId="77777777" w:rsidR="00064002" w:rsidRPr="007E7F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F3C1" w14:textId="77777777" w:rsidR="005B2DF8" w:rsidRPr="007E7F20" w:rsidRDefault="005B2DF8">
      <w:r w:rsidRPr="007E7F20">
        <w:separator/>
      </w:r>
    </w:p>
  </w:footnote>
  <w:footnote w:type="continuationSeparator" w:id="0">
    <w:p w14:paraId="39BD8349" w14:textId="77777777" w:rsidR="005B2DF8" w:rsidRPr="007E7F20" w:rsidRDefault="005B2DF8">
      <w:r w:rsidRPr="007E7F20">
        <w:continuationSeparator/>
      </w:r>
    </w:p>
  </w:footnote>
  <w:footnote w:id="1">
    <w:p w14:paraId="54C7C3E8" w14:textId="634727A5" w:rsidR="00B23BC1" w:rsidRPr="007E7F20" w:rsidRDefault="00B23BC1" w:rsidP="007E7F20">
      <w:pPr>
        <w:pStyle w:val="FootnoteText"/>
        <w:ind w:left="567" w:hanging="567"/>
        <w:rPr>
          <w:sz w:val="24"/>
          <w:lang w:val="lt-LT"/>
        </w:rPr>
      </w:pPr>
      <w:r w:rsidRPr="007E7F20">
        <w:rPr>
          <w:rStyle w:val="FootnoteReference"/>
          <w:sz w:val="24"/>
          <w:lang w:val="lt-LT"/>
        </w:rPr>
        <w:footnoteRef/>
      </w:r>
      <w:r w:rsidR="007E7F20" w:rsidRPr="007E7F20">
        <w:rPr>
          <w:sz w:val="24"/>
          <w:lang w:val="lt-LT"/>
        </w:rPr>
        <w:t xml:space="preserve"> </w:t>
      </w:r>
      <w:r w:rsidR="007E7F20" w:rsidRPr="007E7F20">
        <w:rPr>
          <w:sz w:val="24"/>
          <w:lang w:val="lt-LT"/>
        </w:rPr>
        <w:tab/>
      </w:r>
      <w:r w:rsidRPr="007E7F20">
        <w:rPr>
          <w:sz w:val="24"/>
          <w:lang w:val="lt-LT"/>
        </w:rPr>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BB659" w14:textId="77777777" w:rsidR="00064002" w:rsidRPr="007E7F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5720" w14:textId="77777777" w:rsidR="00064002" w:rsidRPr="007E7F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9F32C" w14:textId="77777777" w:rsidR="00064002" w:rsidRPr="007E7F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4244103">
    <w:abstractNumId w:val="9"/>
  </w:num>
  <w:num w:numId="2" w16cid:durableId="1244801457">
    <w:abstractNumId w:val="9"/>
  </w:num>
  <w:num w:numId="3" w16cid:durableId="1872378336">
    <w:abstractNumId w:val="7"/>
  </w:num>
  <w:num w:numId="4" w16cid:durableId="1352679020">
    <w:abstractNumId w:val="7"/>
  </w:num>
  <w:num w:numId="5" w16cid:durableId="548153533">
    <w:abstractNumId w:val="6"/>
  </w:num>
  <w:num w:numId="6" w16cid:durableId="746537390">
    <w:abstractNumId w:val="6"/>
  </w:num>
  <w:num w:numId="7" w16cid:durableId="699009309">
    <w:abstractNumId w:val="5"/>
  </w:num>
  <w:num w:numId="8" w16cid:durableId="1505510612">
    <w:abstractNumId w:val="5"/>
  </w:num>
  <w:num w:numId="9" w16cid:durableId="1888255524">
    <w:abstractNumId w:val="4"/>
  </w:num>
  <w:num w:numId="10" w16cid:durableId="2017223682">
    <w:abstractNumId w:val="4"/>
  </w:num>
  <w:num w:numId="11" w16cid:durableId="515965075">
    <w:abstractNumId w:val="8"/>
  </w:num>
  <w:num w:numId="12" w16cid:durableId="1063675234">
    <w:abstractNumId w:val="8"/>
  </w:num>
  <w:num w:numId="13" w16cid:durableId="999502275">
    <w:abstractNumId w:val="3"/>
  </w:num>
  <w:num w:numId="14" w16cid:durableId="845753219">
    <w:abstractNumId w:val="3"/>
  </w:num>
  <w:num w:numId="15" w16cid:durableId="1723017945">
    <w:abstractNumId w:val="2"/>
  </w:num>
  <w:num w:numId="16" w16cid:durableId="610817406">
    <w:abstractNumId w:val="2"/>
  </w:num>
  <w:num w:numId="17" w16cid:durableId="545607396">
    <w:abstractNumId w:val="1"/>
  </w:num>
  <w:num w:numId="18" w16cid:durableId="234051720">
    <w:abstractNumId w:val="1"/>
  </w:num>
  <w:num w:numId="19" w16cid:durableId="200829749">
    <w:abstractNumId w:val="0"/>
  </w:num>
  <w:num w:numId="20" w16cid:durableId="1529830060">
    <w:abstractNumId w:val="0"/>
  </w:num>
  <w:num w:numId="21" w16cid:durableId="319232725">
    <w:abstractNumId w:val="9"/>
  </w:num>
  <w:num w:numId="22" w16cid:durableId="2093813054">
    <w:abstractNumId w:val="7"/>
  </w:num>
  <w:num w:numId="23" w16cid:durableId="1162504385">
    <w:abstractNumId w:val="6"/>
  </w:num>
  <w:num w:numId="24" w16cid:durableId="1546142129">
    <w:abstractNumId w:val="5"/>
  </w:num>
  <w:num w:numId="25" w16cid:durableId="324406214">
    <w:abstractNumId w:val="4"/>
  </w:num>
  <w:num w:numId="26" w16cid:durableId="780030547">
    <w:abstractNumId w:val="8"/>
  </w:num>
  <w:num w:numId="27" w16cid:durableId="212934426">
    <w:abstractNumId w:val="3"/>
  </w:num>
  <w:num w:numId="28" w16cid:durableId="1068386332">
    <w:abstractNumId w:val="2"/>
  </w:num>
  <w:num w:numId="29" w16cid:durableId="966620575">
    <w:abstractNumId w:val="1"/>
  </w:num>
  <w:num w:numId="30" w16cid:durableId="1183126721">
    <w:abstractNumId w:val="0"/>
  </w:num>
  <w:num w:numId="31" w16cid:durableId="409545735">
    <w:abstractNumId w:val="9"/>
  </w:num>
  <w:num w:numId="32" w16cid:durableId="2100640973">
    <w:abstractNumId w:val="7"/>
  </w:num>
  <w:num w:numId="33" w16cid:durableId="1995178826">
    <w:abstractNumId w:val="6"/>
  </w:num>
  <w:num w:numId="34" w16cid:durableId="645938856">
    <w:abstractNumId w:val="5"/>
  </w:num>
  <w:num w:numId="35" w16cid:durableId="920408694">
    <w:abstractNumId w:val="4"/>
  </w:num>
  <w:num w:numId="36" w16cid:durableId="1011877159">
    <w:abstractNumId w:val="8"/>
  </w:num>
  <w:num w:numId="37" w16cid:durableId="406388833">
    <w:abstractNumId w:val="3"/>
  </w:num>
  <w:num w:numId="38" w16cid:durableId="1330518300">
    <w:abstractNumId w:val="2"/>
  </w:num>
  <w:num w:numId="39" w16cid:durableId="1601134279">
    <w:abstractNumId w:val="1"/>
  </w:num>
  <w:num w:numId="40" w16cid:durableId="78528201">
    <w:abstractNumId w:val="0"/>
  </w:num>
  <w:num w:numId="41" w16cid:durableId="929044762">
    <w:abstractNumId w:val="10"/>
  </w:num>
  <w:num w:numId="42" w16cid:durableId="1327980883">
    <w:abstractNumId w:val="10"/>
  </w:num>
  <w:num w:numId="43" w16cid:durableId="360207232">
    <w:abstractNumId w:val="10"/>
  </w:num>
  <w:num w:numId="44" w16cid:durableId="648097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3/2025"/>
    <w:docVar w:name="dvlangue" w:val="LT"/>
    <w:docVar w:name="dvnumam" w:val="0"/>
    <w:docVar w:name="dvpe" w:val="779.577"/>
    <w:docVar w:name="dvrapporteur" w:val="Pranešėjas: "/>
    <w:docVar w:name="dvstar" w:val="***I"/>
    <w:docVar w:name="dvtitre" w:val="2025 m. gruodzio XX d. Europos Parlamento teisėkūros rezoliucija dėl pasiūlymo dėl Europos Parlamento ir Tarybos reglamento, kuriuo dėl valstybėms narėms iš prisitaikymo prie „Brexit’o“ rezervo skirtų sumų iš dalies keičiamas Reglamentas (ES) 2021/1755(COM(2025)0513 – C10-0216/2025 – 2025/0289(COD))"/>
  </w:docVars>
  <w:rsids>
    <w:rsidRoot w:val="005B2DF8"/>
    <w:rsid w:val="00002272"/>
    <w:rsid w:val="00036BB7"/>
    <w:rsid w:val="00064002"/>
    <w:rsid w:val="000677B9"/>
    <w:rsid w:val="000831BA"/>
    <w:rsid w:val="000A42CC"/>
    <w:rsid w:val="000E7DD9"/>
    <w:rsid w:val="0010095E"/>
    <w:rsid w:val="00125B37"/>
    <w:rsid w:val="00187494"/>
    <w:rsid w:val="001A10EC"/>
    <w:rsid w:val="001F32AE"/>
    <w:rsid w:val="002767FF"/>
    <w:rsid w:val="002B18FE"/>
    <w:rsid w:val="002B5493"/>
    <w:rsid w:val="00343214"/>
    <w:rsid w:val="00361C00"/>
    <w:rsid w:val="00395FA1"/>
    <w:rsid w:val="003B5B21"/>
    <w:rsid w:val="003E15D4"/>
    <w:rsid w:val="00411CCE"/>
    <w:rsid w:val="00413CB0"/>
    <w:rsid w:val="0041666E"/>
    <w:rsid w:val="00421060"/>
    <w:rsid w:val="00471C19"/>
    <w:rsid w:val="004867E3"/>
    <w:rsid w:val="00494A28"/>
    <w:rsid w:val="004C0004"/>
    <w:rsid w:val="004C5D52"/>
    <w:rsid w:val="0050519A"/>
    <w:rsid w:val="005072A1"/>
    <w:rsid w:val="00514517"/>
    <w:rsid w:val="00545827"/>
    <w:rsid w:val="00560270"/>
    <w:rsid w:val="005B2DF8"/>
    <w:rsid w:val="005C2568"/>
    <w:rsid w:val="005F1B17"/>
    <w:rsid w:val="006037C0"/>
    <w:rsid w:val="00621166"/>
    <w:rsid w:val="006631B6"/>
    <w:rsid w:val="00680577"/>
    <w:rsid w:val="006F74FA"/>
    <w:rsid w:val="00700D44"/>
    <w:rsid w:val="00710906"/>
    <w:rsid w:val="00731ADD"/>
    <w:rsid w:val="00734777"/>
    <w:rsid w:val="00744D2F"/>
    <w:rsid w:val="00747932"/>
    <w:rsid w:val="00751A4A"/>
    <w:rsid w:val="00756632"/>
    <w:rsid w:val="00762C74"/>
    <w:rsid w:val="00786EC0"/>
    <w:rsid w:val="007A1ACB"/>
    <w:rsid w:val="007D1690"/>
    <w:rsid w:val="007E22AD"/>
    <w:rsid w:val="007E7F20"/>
    <w:rsid w:val="00817416"/>
    <w:rsid w:val="00824009"/>
    <w:rsid w:val="00842779"/>
    <w:rsid w:val="00865F67"/>
    <w:rsid w:val="00881A7B"/>
    <w:rsid w:val="008840E5"/>
    <w:rsid w:val="00887B3E"/>
    <w:rsid w:val="008B0121"/>
    <w:rsid w:val="008C2AC6"/>
    <w:rsid w:val="00917185"/>
    <w:rsid w:val="00930C23"/>
    <w:rsid w:val="0093193B"/>
    <w:rsid w:val="009509D8"/>
    <w:rsid w:val="00950B64"/>
    <w:rsid w:val="00981893"/>
    <w:rsid w:val="009C0FC1"/>
    <w:rsid w:val="00A1687D"/>
    <w:rsid w:val="00A43E52"/>
    <w:rsid w:val="00A4678D"/>
    <w:rsid w:val="00A778C7"/>
    <w:rsid w:val="00AB441E"/>
    <w:rsid w:val="00AB6293"/>
    <w:rsid w:val="00AC6548"/>
    <w:rsid w:val="00AE0928"/>
    <w:rsid w:val="00AF3B82"/>
    <w:rsid w:val="00B12E95"/>
    <w:rsid w:val="00B22876"/>
    <w:rsid w:val="00B23BC1"/>
    <w:rsid w:val="00B558F0"/>
    <w:rsid w:val="00BD48FE"/>
    <w:rsid w:val="00BD7BD8"/>
    <w:rsid w:val="00BE6ADC"/>
    <w:rsid w:val="00BF4119"/>
    <w:rsid w:val="00C05BFE"/>
    <w:rsid w:val="00C23CD4"/>
    <w:rsid w:val="00C61C0C"/>
    <w:rsid w:val="00C941CB"/>
    <w:rsid w:val="00CB323C"/>
    <w:rsid w:val="00CC2357"/>
    <w:rsid w:val="00CF071A"/>
    <w:rsid w:val="00D058B8"/>
    <w:rsid w:val="00D34EC9"/>
    <w:rsid w:val="00D56C11"/>
    <w:rsid w:val="00D664D5"/>
    <w:rsid w:val="00D834A0"/>
    <w:rsid w:val="00D872DF"/>
    <w:rsid w:val="00D91E21"/>
    <w:rsid w:val="00DA7FCD"/>
    <w:rsid w:val="00E365E1"/>
    <w:rsid w:val="00E820A4"/>
    <w:rsid w:val="00E82943"/>
    <w:rsid w:val="00EB006A"/>
    <w:rsid w:val="00EB4772"/>
    <w:rsid w:val="00ED169E"/>
    <w:rsid w:val="00ED4235"/>
    <w:rsid w:val="00ED706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6A2DB"/>
  <w15:chartTrackingRefBased/>
  <w15:docId w15:val="{8026042B-D50F-4AA4-BC0F-A8D4DCBF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3BC1"/>
    <w:pPr>
      <w:spacing w:before="480" w:after="240"/>
    </w:pPr>
  </w:style>
  <w:style w:type="paragraph" w:customStyle="1" w:styleId="NormalBold">
    <w:name w:val="NormalBold"/>
    <w:basedOn w:val="Normal"/>
    <w:rsid w:val="00B23BC1"/>
    <w:rPr>
      <w:b/>
    </w:rPr>
  </w:style>
  <w:style w:type="paragraph" w:customStyle="1" w:styleId="NormalHanging12a">
    <w:name w:val="NormalHanging12a"/>
    <w:basedOn w:val="Normal"/>
    <w:rsid w:val="00B23BC1"/>
    <w:pPr>
      <w:spacing w:after="240"/>
      <w:ind w:left="567" w:hanging="567"/>
    </w:pPr>
  </w:style>
  <w:style w:type="paragraph" w:styleId="Revision">
    <w:name w:val="Revision"/>
    <w:hidden/>
    <w:uiPriority w:val="99"/>
    <w:semiHidden/>
    <w:rsid w:val="00ED706A"/>
    <w:rPr>
      <w:sz w:val="24"/>
      <w:lang w:val="lt-LT"/>
    </w:rPr>
  </w:style>
  <w:style w:type="character" w:styleId="Hyperlink">
    <w:name w:val="Hyperlink"/>
    <w:uiPriority w:val="99"/>
    <w:rsid w:val="00D34EC9"/>
    <w:rPr>
      <w:color w:val="0000FF"/>
      <w:u w:val="single"/>
    </w:rPr>
  </w:style>
  <w:style w:type="paragraph" w:customStyle="1" w:styleId="FootnoteText1">
    <w:name w:val="Footnote Text1"/>
    <w:basedOn w:val="Normal"/>
    <w:next w:val="FootnoteText"/>
    <w:uiPriority w:val="99"/>
    <w:semiHidden/>
    <w:unhideWhenUsed/>
    <w:rsid w:val="00D34EC9"/>
    <w:pPr>
      <w:widowControl/>
      <w:jc w:val="both"/>
    </w:pPr>
    <w:rPr>
      <w:sz w:val="20"/>
      <w:lang w:val="en-GB"/>
    </w:rPr>
  </w:style>
  <w:style w:type="character" w:customStyle="1" w:styleId="italic">
    <w:name w:val="italic"/>
    <w:rsid w:val="00D664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86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256</Words>
  <Characters>1924</Characters>
  <Application>Microsoft Office Word</Application>
  <DocSecurity>0</DocSecurity>
  <Lines>74</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2026-03-04T15:04:00Z</dcterms:created>
  <dcterms:modified xsi:type="dcterms:W3CDTF">2026-03-04T15:04:00Z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P10_TA(2025)0323_</vt:lpwstr>
  </property>
  <property fmtid="{D5CDD505-2E9C-101B-9397-08002B2CF9AE}" pid="4" name="&lt;Type&gt;">
    <vt:lpwstr>RR</vt:lpwstr>
  </property>
</Properties>
</file>