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4F9C" w14:paraId="790123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EB81AA" w14:textId="77777777" w:rsidR="00751A4A" w:rsidRPr="007B4F9C" w:rsidRDefault="006411EC" w:rsidP="0010095E">
            <w:pPr>
              <w:pStyle w:val="EPName"/>
            </w:pPr>
            <w:r w:rsidRPr="007B4F9C">
              <w:t>Evropski parlament</w:t>
            </w:r>
          </w:p>
          <w:p w14:paraId="72DA4AF8" w14:textId="77777777" w:rsidR="00751A4A" w:rsidRPr="007B4F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4F9C">
              <w:t>2024</w:t>
            </w:r>
            <w:r w:rsidR="00817416" w:rsidRPr="007B4F9C">
              <w:t>-202</w:t>
            </w:r>
            <w:r w:rsidRPr="007B4F9C">
              <w:t>9</w:t>
            </w:r>
          </w:p>
        </w:tc>
        <w:tc>
          <w:tcPr>
            <w:tcW w:w="2268" w:type="dxa"/>
            <w:shd w:val="clear" w:color="auto" w:fill="auto"/>
          </w:tcPr>
          <w:p w14:paraId="3B7B01CF" w14:textId="77777777" w:rsidR="00751A4A" w:rsidRPr="007B4F9C" w:rsidRDefault="00187494" w:rsidP="0010095E">
            <w:pPr>
              <w:pStyle w:val="EPLogo"/>
            </w:pPr>
            <w:r w:rsidRPr="007B4F9C">
              <w:rPr>
                <w:noProof/>
                <w:lang w:eastAsia="ja-JP"/>
              </w:rPr>
              <w:drawing>
                <wp:inline distT="0" distB="0" distL="0" distR="0" wp14:anchorId="7B7AAC97" wp14:editId="2C3C1E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BA47B9" w14:textId="77777777" w:rsidR="00D058B8" w:rsidRPr="007B4F9C" w:rsidRDefault="00D058B8" w:rsidP="004C5D52">
      <w:pPr>
        <w:pStyle w:val="LineTop"/>
      </w:pPr>
    </w:p>
    <w:p w14:paraId="745E66BC" w14:textId="77777777" w:rsidR="00680577" w:rsidRPr="007B4F9C" w:rsidRDefault="006411EC" w:rsidP="00680577">
      <w:pPr>
        <w:pStyle w:val="EPBodyTA1"/>
      </w:pPr>
      <w:r w:rsidRPr="007B4F9C">
        <w:t>SPREJETA BESEDILA</w:t>
      </w:r>
    </w:p>
    <w:p w14:paraId="64983507" w14:textId="77777777" w:rsidR="00D058B8" w:rsidRPr="007B4F9C" w:rsidRDefault="00D058B8" w:rsidP="00D058B8">
      <w:pPr>
        <w:pStyle w:val="LineBottom"/>
      </w:pPr>
    </w:p>
    <w:p w14:paraId="3E373BC3" w14:textId="7C4B0EFF" w:rsidR="006411EC" w:rsidRPr="007B4F9C" w:rsidRDefault="006411EC" w:rsidP="006411EC">
      <w:pPr>
        <w:pStyle w:val="ATHeading1"/>
      </w:pPr>
      <w:bookmarkStart w:id="0" w:name="TANumber"/>
      <w:r w:rsidRPr="007B4F9C">
        <w:t>P10_TA(2025)0</w:t>
      </w:r>
      <w:bookmarkEnd w:id="0"/>
      <w:r w:rsidR="00E14055">
        <w:t>323</w:t>
      </w:r>
    </w:p>
    <w:p w14:paraId="67FC8918" w14:textId="311977EF" w:rsidR="006411EC" w:rsidRPr="007B4F9C" w:rsidRDefault="000E5FAE" w:rsidP="006411EC">
      <w:pPr>
        <w:pStyle w:val="ATHeading2"/>
      </w:pPr>
      <w:bookmarkStart w:id="1" w:name="title"/>
      <w:r w:rsidRPr="000E5FAE">
        <w:t xml:space="preserve">Rezerva za prilagoditev na </w:t>
      </w:r>
      <w:proofErr w:type="spellStart"/>
      <w:r w:rsidRPr="000E5FAE">
        <w:t>brexit</w:t>
      </w:r>
      <w:bookmarkEnd w:id="1"/>
      <w:proofErr w:type="spellEnd"/>
    </w:p>
    <w:p w14:paraId="5E245514" w14:textId="77777777" w:rsidR="006411EC" w:rsidRPr="007B4F9C" w:rsidRDefault="006411EC" w:rsidP="006411EC">
      <w:pPr>
        <w:rPr>
          <w:i/>
          <w:vanish/>
        </w:rPr>
      </w:pPr>
      <w:r w:rsidRPr="007B4F9C">
        <w:rPr>
          <w:i/>
        </w:rPr>
        <w:fldChar w:fldCharType="begin"/>
      </w:r>
      <w:r w:rsidRPr="007B4F9C">
        <w:rPr>
          <w:i/>
        </w:rPr>
        <w:instrText xml:space="preserve"> TC"(</w:instrText>
      </w:r>
      <w:bookmarkStart w:id="2" w:name="DocNumber"/>
      <w:r w:rsidRPr="007B4F9C">
        <w:rPr>
          <w:i/>
        </w:rPr>
        <w:instrText>A10-0233/2025</w:instrText>
      </w:r>
      <w:bookmarkEnd w:id="2"/>
      <w:r w:rsidRPr="007B4F9C">
        <w:rPr>
          <w:i/>
        </w:rPr>
        <w:instrText xml:space="preserve"> - Poročevalec: Pascal Arimont)"\l3 \n&gt; \* MERGEFORMAT </w:instrText>
      </w:r>
      <w:r w:rsidRPr="007B4F9C">
        <w:rPr>
          <w:i/>
        </w:rPr>
        <w:fldChar w:fldCharType="end"/>
      </w:r>
    </w:p>
    <w:p w14:paraId="32E0C7AB" w14:textId="77777777" w:rsidR="006411EC" w:rsidRPr="007B4F9C" w:rsidRDefault="006411EC" w:rsidP="006411EC">
      <w:pPr>
        <w:rPr>
          <w:vanish/>
        </w:rPr>
      </w:pPr>
      <w:bookmarkStart w:id="3" w:name="Commission"/>
      <w:r w:rsidRPr="007B4F9C">
        <w:rPr>
          <w:vanish/>
        </w:rPr>
        <w:t>Odbor za regionalni razvoj</w:t>
      </w:r>
      <w:bookmarkEnd w:id="3"/>
    </w:p>
    <w:p w14:paraId="7458B812" w14:textId="77777777" w:rsidR="006411EC" w:rsidRPr="007B4F9C" w:rsidRDefault="006411EC" w:rsidP="006411EC">
      <w:pPr>
        <w:rPr>
          <w:vanish/>
        </w:rPr>
      </w:pPr>
      <w:bookmarkStart w:id="4" w:name="PE"/>
      <w:r w:rsidRPr="007B4F9C">
        <w:rPr>
          <w:vanish/>
        </w:rPr>
        <w:t>PE779.577</w:t>
      </w:r>
      <w:bookmarkEnd w:id="4"/>
    </w:p>
    <w:p w14:paraId="0A9A7949" w14:textId="361E07CD" w:rsidR="006411EC" w:rsidRPr="007B4F9C" w:rsidRDefault="006411EC" w:rsidP="006411EC">
      <w:pPr>
        <w:pStyle w:val="ATHeading3"/>
      </w:pPr>
      <w:bookmarkStart w:id="5" w:name="Sujet"/>
      <w:r w:rsidRPr="007B4F9C">
        <w:t xml:space="preserve">Zakonodajna resolucija Evropskega parlamenta z dne </w:t>
      </w:r>
      <w:r w:rsidR="000E5FAE">
        <w:t xml:space="preserve">16. </w:t>
      </w:r>
      <w:r w:rsidR="007303E7">
        <w:t>decembra</w:t>
      </w:r>
      <w:r w:rsidRPr="007B4F9C">
        <w:t xml:space="preserve"> 2025 o predlogu uredbe Evropskega parlamenta in Sveta o spremembi Uredbe (EU) 2021/1755 glede zneskov, dodeljenih državam članicam v okviru rezerve za prilagoditev na </w:t>
      </w:r>
      <w:proofErr w:type="spellStart"/>
      <w:r w:rsidRPr="007B4F9C">
        <w:t>brexit</w:t>
      </w:r>
      <w:proofErr w:type="spellEnd"/>
      <w:r w:rsidRPr="007B4F9C">
        <w:t xml:space="preserve"> </w:t>
      </w:r>
      <w:bookmarkStart w:id="6" w:name="References"/>
      <w:bookmarkEnd w:id="5"/>
      <w:r w:rsidRPr="007B4F9C">
        <w:t>(COM(2025)0513 – C10-0216/2025 – 2025/0289(COD))</w:t>
      </w:r>
      <w:bookmarkEnd w:id="6"/>
    </w:p>
    <w:p w14:paraId="7EF6AEC8" w14:textId="77777777" w:rsidR="00BF6756" w:rsidRPr="007B4F9C" w:rsidRDefault="00BF6756" w:rsidP="00652B11">
      <w:pPr>
        <w:pStyle w:val="NormalBold"/>
        <w:spacing w:before="360"/>
      </w:pPr>
      <w:r w:rsidRPr="007B4F9C">
        <w:t>(Redni zakonodajni postopek: prva obravnava)</w:t>
      </w:r>
    </w:p>
    <w:p w14:paraId="589C32D4" w14:textId="77777777" w:rsidR="00BF6756" w:rsidRPr="007B4F9C" w:rsidRDefault="00BF6756" w:rsidP="00BF6756">
      <w:pPr>
        <w:pStyle w:val="EPComma"/>
      </w:pPr>
      <w:r w:rsidRPr="007B4F9C">
        <w:rPr>
          <w:i/>
        </w:rPr>
        <w:t>Evropski parlament</w:t>
      </w:r>
      <w:r w:rsidRPr="007B4F9C">
        <w:t>,</w:t>
      </w:r>
    </w:p>
    <w:p w14:paraId="7B56D8BC" w14:textId="77777777" w:rsidR="00BF6756" w:rsidRPr="007B4F9C" w:rsidRDefault="00BF6756" w:rsidP="00BF6756">
      <w:pPr>
        <w:pStyle w:val="NormalHanging12a"/>
      </w:pPr>
      <w:r w:rsidRPr="007B4F9C">
        <w:t>–</w:t>
      </w:r>
      <w:r w:rsidRPr="007B4F9C">
        <w:tab/>
        <w:t>ob upoštevanju predloga Komisije Evropskemu parlamentu in Svetu (COM(2025)0513),</w:t>
      </w:r>
    </w:p>
    <w:p w14:paraId="4DC5AFD0" w14:textId="77777777" w:rsidR="00BF6756" w:rsidRPr="007B4F9C" w:rsidRDefault="00BF6756" w:rsidP="00BF6756">
      <w:pPr>
        <w:pStyle w:val="NormalHanging12a"/>
      </w:pPr>
      <w:r w:rsidRPr="007B4F9C">
        <w:t>–</w:t>
      </w:r>
      <w:r w:rsidRPr="007B4F9C">
        <w:tab/>
        <w:t>ob upoštevanju člena 294(2) in člena 175 Pogodbe o delovanju Evropske unije, na podlagi katerih je Komisija podala predlog Parlamentu (C10</w:t>
      </w:r>
      <w:r w:rsidRPr="007B4F9C">
        <w:noBreakHyphen/>
        <w:t>0216/2025),</w:t>
      </w:r>
    </w:p>
    <w:p w14:paraId="33F6A0CB" w14:textId="77777777" w:rsidR="00BF6756" w:rsidRPr="007B4F9C" w:rsidRDefault="00BF6756" w:rsidP="00BF6756">
      <w:pPr>
        <w:pStyle w:val="NormalHanging12a"/>
      </w:pPr>
      <w:r w:rsidRPr="007B4F9C">
        <w:t>–</w:t>
      </w:r>
      <w:r w:rsidRPr="007B4F9C">
        <w:tab/>
        <w:t>ob upoštevanju člena 294(3) Pogodbe o delovanju Evropske unije,</w:t>
      </w:r>
    </w:p>
    <w:p w14:paraId="279D9480" w14:textId="77777777" w:rsidR="00BF6756" w:rsidRPr="007B4F9C" w:rsidRDefault="00BF6756" w:rsidP="00BF6756">
      <w:pPr>
        <w:pStyle w:val="NormalHanging12a"/>
      </w:pPr>
      <w:r w:rsidRPr="007B4F9C">
        <w:t>–</w:t>
      </w:r>
      <w:r w:rsidRPr="007B4F9C">
        <w:tab/>
        <w:t>ob upoštevanju mnenja Evropskega ekonomsko-socialnega odbora z dne 23. oktobra 2025</w:t>
      </w:r>
      <w:r w:rsidRPr="007B4F9C">
        <w:rPr>
          <w:rStyle w:val="FootnoteReference"/>
        </w:rPr>
        <w:footnoteReference w:id="1"/>
      </w:r>
      <w:r w:rsidRPr="007B4F9C">
        <w:t>,</w:t>
      </w:r>
    </w:p>
    <w:p w14:paraId="6356C452" w14:textId="2D45D229" w:rsidR="00BF6756" w:rsidRDefault="00BF6756" w:rsidP="00BF6756">
      <w:pPr>
        <w:pStyle w:val="NormalHanging12a"/>
      </w:pPr>
      <w:r w:rsidRPr="007B4F9C">
        <w:t>–</w:t>
      </w:r>
      <w:r w:rsidRPr="007B4F9C">
        <w:tab/>
      </w:r>
      <w:r w:rsidR="00A527CE" w:rsidRPr="00CA5555">
        <w:rPr>
          <w:rFonts w:eastAsia="Calibri"/>
          <w:noProof/>
          <w:szCs w:val="22"/>
          <w:lang w:eastAsia="en-US"/>
        </w:rPr>
        <w:t>po posvetovanju z Odborom regij</w:t>
      </w:r>
      <w:r w:rsidRPr="007B4F9C">
        <w:t>,</w:t>
      </w:r>
    </w:p>
    <w:p w14:paraId="66DB4883" w14:textId="3F52B9A3" w:rsidR="000E5FAE" w:rsidRPr="007B4F9C" w:rsidRDefault="000E5FAE" w:rsidP="000E5FAE">
      <w:pPr>
        <w:pStyle w:val="NormalHanging12a"/>
      </w:pPr>
      <w:r w:rsidRPr="007B4F9C">
        <w:t>–</w:t>
      </w:r>
      <w:r w:rsidRPr="007B4F9C">
        <w:tab/>
      </w:r>
      <w:r w:rsidRPr="00AA0394">
        <w:rPr>
          <w:noProof/>
          <w:szCs w:val="24"/>
        </w:rPr>
        <w:t xml:space="preserve">ob upoštevanju zaveze predstavnika Sveta v pismu z dne </w:t>
      </w:r>
      <w:r>
        <w:rPr>
          <w:noProof/>
          <w:szCs w:val="24"/>
        </w:rPr>
        <w:t>19. novembra 2025</w:t>
      </w:r>
      <w:r w:rsidRPr="00AA0394">
        <w:rPr>
          <w:noProof/>
          <w:szCs w:val="24"/>
        </w:rPr>
        <w:t xml:space="preserve">, da bo odobril </w:t>
      </w:r>
      <w:r w:rsidRPr="00652B11">
        <w:rPr>
          <w:rFonts w:eastAsia="Calibri"/>
          <w:noProof/>
          <w:szCs w:val="22"/>
          <w:lang w:eastAsia="en-US"/>
        </w:rPr>
        <w:t>stališče</w:t>
      </w:r>
      <w:r w:rsidRPr="00AA0394">
        <w:rPr>
          <w:noProof/>
          <w:szCs w:val="24"/>
        </w:rPr>
        <w:t xml:space="preserve"> Evropskega parlamenta v skladu s členom 294(4) Pogodbe o delovanju Evropske unije,</w:t>
      </w:r>
    </w:p>
    <w:p w14:paraId="79B002F1" w14:textId="77777777" w:rsidR="000E5FAE" w:rsidRPr="007B4F9C" w:rsidRDefault="000E5FAE" w:rsidP="000E5FAE">
      <w:pPr>
        <w:pStyle w:val="NormalHanging12a"/>
      </w:pPr>
      <w:r w:rsidRPr="007B4F9C">
        <w:t>–</w:t>
      </w:r>
      <w:r w:rsidRPr="007B4F9C">
        <w:tab/>
        <w:t>ob upoštevanju člena 60 Poslovnika,</w:t>
      </w:r>
    </w:p>
    <w:p w14:paraId="12B6651E" w14:textId="6A25D6FE" w:rsidR="00BF6756" w:rsidRPr="007B4F9C" w:rsidRDefault="00BF6756" w:rsidP="00BF6756">
      <w:pPr>
        <w:pStyle w:val="NormalHanging12a"/>
      </w:pPr>
      <w:r w:rsidRPr="007B4F9C">
        <w:t>–</w:t>
      </w:r>
      <w:r w:rsidRPr="007B4F9C">
        <w:tab/>
        <w:t xml:space="preserve">ob upoštevanju poročila Odbora za </w:t>
      </w:r>
      <w:r w:rsidR="000E5FAE">
        <w:t xml:space="preserve">regionalni </w:t>
      </w:r>
      <w:r w:rsidRPr="007B4F9C">
        <w:t>razvoj (A10</w:t>
      </w:r>
      <w:r w:rsidRPr="007B4F9C">
        <w:noBreakHyphen/>
        <w:t>0233/2025),</w:t>
      </w:r>
    </w:p>
    <w:p w14:paraId="3552AB9B" w14:textId="22911C69" w:rsidR="00BF6756" w:rsidRPr="007B4F9C" w:rsidRDefault="00BF6756" w:rsidP="00BF6756">
      <w:pPr>
        <w:pStyle w:val="NormalHanging12a"/>
      </w:pPr>
      <w:r w:rsidRPr="007B4F9C">
        <w:t>1.</w:t>
      </w:r>
      <w:r w:rsidRPr="007B4F9C">
        <w:tab/>
      </w:r>
      <w:r w:rsidR="00A527CE" w:rsidRPr="00F37943">
        <w:t>sprejme stališče v prvi obravnavi, kakor je določeno v nadaljevanju</w:t>
      </w:r>
      <w:r w:rsidRPr="007B4F9C">
        <w:t>;</w:t>
      </w:r>
    </w:p>
    <w:p w14:paraId="3F8E1E51" w14:textId="77777777" w:rsidR="00BF6756" w:rsidRPr="007B4F9C" w:rsidRDefault="00BF6756" w:rsidP="00BF6756">
      <w:pPr>
        <w:pStyle w:val="NormalHanging12a"/>
      </w:pPr>
      <w:r w:rsidRPr="007B4F9C">
        <w:t>2.</w:t>
      </w:r>
      <w:r w:rsidRPr="007B4F9C">
        <w:tab/>
        <w:t xml:space="preserve">poziva Komisijo, naj mu zadevo ponovno predloži, če svoj predlog nadomesti, ga </w:t>
      </w:r>
      <w:r w:rsidRPr="007B4F9C">
        <w:lastRenderedPageBreak/>
        <w:t>bistveno spremeni ali ga namerava bistveno spremeniti;</w:t>
      </w:r>
    </w:p>
    <w:p w14:paraId="4A2DEE6E" w14:textId="59739311" w:rsidR="007B4F9C" w:rsidRPr="007B4F9C" w:rsidRDefault="00BF6756" w:rsidP="007B4F9C">
      <w:pPr>
        <w:pStyle w:val="NormalHanging12a"/>
      </w:pPr>
      <w:r w:rsidRPr="007B4F9C">
        <w:t>3.</w:t>
      </w:r>
      <w:r w:rsidRPr="007B4F9C">
        <w:tab/>
        <w:t>naroči svoji predsednici, naj stališče Parlamenta posreduje Svetu</w:t>
      </w:r>
      <w:r w:rsidR="00A527CE">
        <w:t>,</w:t>
      </w:r>
      <w:r w:rsidRPr="007B4F9C">
        <w:t xml:space="preserve"> Komisiji </w:t>
      </w:r>
      <w:r w:rsidR="00A527CE">
        <w:t>in</w:t>
      </w:r>
      <w:r w:rsidR="00A527CE" w:rsidRPr="007B4F9C">
        <w:t xml:space="preserve"> </w:t>
      </w:r>
      <w:r w:rsidRPr="007B4F9C">
        <w:t>nacionalnim parlamentom.</w:t>
      </w:r>
    </w:p>
    <w:p w14:paraId="6D56F423" w14:textId="77777777" w:rsidR="00A527CE" w:rsidRDefault="00A527CE" w:rsidP="006411EC">
      <w:pPr>
        <w:sectPr w:rsidR="00A527CE" w:rsidSect="007B4F9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BE0CAB7" w14:textId="71FCF33E" w:rsidR="00A527CE" w:rsidRPr="000A5316" w:rsidRDefault="00A527CE" w:rsidP="00A527CE">
      <w:pPr>
        <w:rPr>
          <w:b/>
        </w:rPr>
      </w:pPr>
      <w:r w:rsidRPr="000A5316">
        <w:rPr>
          <w:b/>
        </w:rPr>
        <w:lastRenderedPageBreak/>
        <w:t>P10_TC1-COD(2025)</w:t>
      </w:r>
      <w:r>
        <w:rPr>
          <w:b/>
        </w:rPr>
        <w:t>0289</w:t>
      </w:r>
    </w:p>
    <w:p w14:paraId="290905A7" w14:textId="41DDD781" w:rsidR="00A527CE" w:rsidRDefault="00A527CE" w:rsidP="00A527CE">
      <w:pPr>
        <w:spacing w:before="240" w:after="200"/>
        <w:rPr>
          <w:rFonts w:eastAsia="Calibri"/>
          <w:b/>
          <w:noProof/>
          <w:szCs w:val="22"/>
          <w:lang w:eastAsia="en-US"/>
        </w:rPr>
      </w:pPr>
      <w:r w:rsidRPr="000A5316">
        <w:rPr>
          <w:b/>
        </w:rPr>
        <w:t xml:space="preserve">Stališče Evropskega parlamenta, sprejeto v prvi obravnavi </w:t>
      </w:r>
      <w:r w:rsidR="000E5FAE">
        <w:rPr>
          <w:b/>
        </w:rPr>
        <w:t>16</w:t>
      </w:r>
      <w:r w:rsidRPr="000A5316">
        <w:rPr>
          <w:b/>
        </w:rPr>
        <w:t xml:space="preserve">. </w:t>
      </w:r>
      <w:r>
        <w:rPr>
          <w:b/>
        </w:rPr>
        <w:t>decembra</w:t>
      </w:r>
      <w:r w:rsidRPr="000A5316">
        <w:rPr>
          <w:b/>
        </w:rPr>
        <w:t xml:space="preserve"> 2025 z namenom sprejetja Uredbe (EU) 202</w:t>
      </w:r>
      <w:r>
        <w:rPr>
          <w:b/>
        </w:rPr>
        <w:t>6</w:t>
      </w:r>
      <w:r w:rsidRPr="000A5316">
        <w:rPr>
          <w:b/>
        </w:rPr>
        <w:t xml:space="preserve">/... Evropskega parlamenta in Sveta </w:t>
      </w:r>
      <w:r w:rsidRPr="00CA5555">
        <w:rPr>
          <w:rFonts w:eastAsia="Calibri"/>
          <w:b/>
          <w:noProof/>
          <w:szCs w:val="22"/>
          <w:lang w:eastAsia="en-US"/>
        </w:rPr>
        <w:t>o spremembi Uredbe (EU) 2021/1755 glede zneskov, dodeljenih državam članicam v okviru rezerve za prilagoditev na brexit</w:t>
      </w:r>
    </w:p>
    <w:p w14:paraId="1158F33A" w14:textId="6C9A1CC9" w:rsidR="00A82E02" w:rsidRPr="00A82E02" w:rsidRDefault="00A82E02" w:rsidP="00A527CE">
      <w:pPr>
        <w:spacing w:before="240" w:after="200"/>
        <w:rPr>
          <w:rFonts w:eastAsia="Calibri"/>
          <w:i/>
          <w:iCs/>
          <w:noProof/>
          <w:szCs w:val="22"/>
          <w:lang w:eastAsia="en-US"/>
        </w:rPr>
      </w:pPr>
      <w:r w:rsidRPr="00A82E02">
        <w:rPr>
          <w:rFonts w:eastAsia="Calibri"/>
          <w:i/>
          <w:iCs/>
          <w:noProof/>
          <w:szCs w:val="22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i/>
          <w:iCs/>
          <w:noProof/>
          <w:szCs w:val="22"/>
          <w:lang w:eastAsia="en-US"/>
        </w:rPr>
        <w:t>Uredbi</w:t>
      </w:r>
      <w:r w:rsidRPr="00A82E02">
        <w:rPr>
          <w:rFonts w:eastAsia="Calibri"/>
          <w:i/>
          <w:iCs/>
          <w:noProof/>
          <w:szCs w:val="22"/>
          <w:lang w:eastAsia="en-US"/>
        </w:rPr>
        <w:t xml:space="preserve"> (EU) 2026/</w:t>
      </w:r>
      <w:r>
        <w:rPr>
          <w:rFonts w:eastAsia="Calibri"/>
          <w:i/>
          <w:iCs/>
          <w:noProof/>
          <w:szCs w:val="22"/>
          <w:lang w:eastAsia="en-US"/>
        </w:rPr>
        <w:t>211</w:t>
      </w:r>
      <w:r w:rsidRPr="00A82E02">
        <w:rPr>
          <w:rFonts w:eastAsia="Calibri"/>
          <w:i/>
          <w:iCs/>
          <w:noProof/>
          <w:szCs w:val="22"/>
          <w:lang w:eastAsia="en-US"/>
        </w:rPr>
        <w:t>.)</w:t>
      </w:r>
    </w:p>
    <w:sectPr w:rsidR="00A82E02" w:rsidRPr="00A82E02" w:rsidSect="007B4F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FD292" w14:textId="77777777" w:rsidR="006411EC" w:rsidRPr="007B4F9C" w:rsidRDefault="006411EC">
      <w:r w:rsidRPr="007B4F9C">
        <w:separator/>
      </w:r>
    </w:p>
  </w:endnote>
  <w:endnote w:type="continuationSeparator" w:id="0">
    <w:p w14:paraId="44A723CE" w14:textId="77777777" w:rsidR="006411EC" w:rsidRPr="007B4F9C" w:rsidRDefault="006411EC">
      <w:r w:rsidRPr="007B4F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C1A4" w14:textId="77777777" w:rsidR="00064002" w:rsidRPr="007B4F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74AC" w14:textId="77777777" w:rsidR="00064002" w:rsidRPr="007B4F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40AB" w14:textId="77777777" w:rsidR="00064002" w:rsidRPr="007B4F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CC7EB" w14:textId="77777777" w:rsidR="006411EC" w:rsidRPr="007B4F9C" w:rsidRDefault="006411EC">
      <w:r w:rsidRPr="007B4F9C">
        <w:separator/>
      </w:r>
    </w:p>
  </w:footnote>
  <w:footnote w:type="continuationSeparator" w:id="0">
    <w:p w14:paraId="242E192C" w14:textId="77777777" w:rsidR="006411EC" w:rsidRPr="007B4F9C" w:rsidRDefault="006411EC">
      <w:r w:rsidRPr="007B4F9C">
        <w:continuationSeparator/>
      </w:r>
    </w:p>
  </w:footnote>
  <w:footnote w:id="1">
    <w:p w14:paraId="0F167A25" w14:textId="3D266FDF" w:rsidR="00BF6756" w:rsidRPr="007B4F9C" w:rsidRDefault="00BF6756" w:rsidP="007B4F9C">
      <w:pPr>
        <w:pStyle w:val="FootnoteText"/>
        <w:ind w:left="567" w:hanging="567"/>
        <w:rPr>
          <w:sz w:val="24"/>
          <w:lang w:val="sl-SI"/>
        </w:rPr>
      </w:pPr>
      <w:r w:rsidRPr="007B4F9C">
        <w:rPr>
          <w:rStyle w:val="FootnoteReference"/>
          <w:sz w:val="24"/>
          <w:lang w:val="sl-SI"/>
        </w:rPr>
        <w:footnoteRef/>
      </w:r>
      <w:r w:rsidR="007B4F9C" w:rsidRPr="007B4F9C">
        <w:rPr>
          <w:sz w:val="24"/>
          <w:lang w:val="sl-SI"/>
        </w:rPr>
        <w:t xml:space="preserve"> </w:t>
      </w:r>
      <w:r w:rsidR="007B4F9C" w:rsidRPr="007B4F9C">
        <w:rPr>
          <w:sz w:val="24"/>
          <w:lang w:val="sl-SI"/>
        </w:rPr>
        <w:tab/>
      </w:r>
      <w:r w:rsidRPr="007B4F9C">
        <w:rPr>
          <w:sz w:val="24"/>
          <w:lang w:val="sl-SI"/>
        </w:rPr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2424" w14:textId="77777777" w:rsidR="00064002" w:rsidRPr="007B4F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174C8" w14:textId="77777777" w:rsidR="00064002" w:rsidRPr="007B4F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8FB0" w14:textId="77777777" w:rsidR="00064002" w:rsidRPr="007B4F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6D3E3E"/>
    <w:multiLevelType w:val="hybridMultilevel"/>
    <w:tmpl w:val="27AA0088"/>
    <w:lvl w:ilvl="0" w:tplc="FDEAC236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F4239"/>
    <w:multiLevelType w:val="hybridMultilevel"/>
    <w:tmpl w:val="198EAFFC"/>
    <w:lvl w:ilvl="0" w:tplc="7658796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0569531">
    <w:abstractNumId w:val="9"/>
  </w:num>
  <w:num w:numId="2" w16cid:durableId="853610614">
    <w:abstractNumId w:val="9"/>
  </w:num>
  <w:num w:numId="3" w16cid:durableId="711272587">
    <w:abstractNumId w:val="7"/>
  </w:num>
  <w:num w:numId="4" w16cid:durableId="1728722850">
    <w:abstractNumId w:val="7"/>
  </w:num>
  <w:num w:numId="5" w16cid:durableId="364411241">
    <w:abstractNumId w:val="6"/>
  </w:num>
  <w:num w:numId="6" w16cid:durableId="490484030">
    <w:abstractNumId w:val="6"/>
  </w:num>
  <w:num w:numId="7" w16cid:durableId="708140767">
    <w:abstractNumId w:val="5"/>
  </w:num>
  <w:num w:numId="8" w16cid:durableId="1468623370">
    <w:abstractNumId w:val="5"/>
  </w:num>
  <w:num w:numId="9" w16cid:durableId="1357658635">
    <w:abstractNumId w:val="4"/>
  </w:num>
  <w:num w:numId="10" w16cid:durableId="1100877703">
    <w:abstractNumId w:val="4"/>
  </w:num>
  <w:num w:numId="11" w16cid:durableId="1591500799">
    <w:abstractNumId w:val="8"/>
  </w:num>
  <w:num w:numId="12" w16cid:durableId="579565496">
    <w:abstractNumId w:val="8"/>
  </w:num>
  <w:num w:numId="13" w16cid:durableId="1437284074">
    <w:abstractNumId w:val="3"/>
  </w:num>
  <w:num w:numId="14" w16cid:durableId="1988124763">
    <w:abstractNumId w:val="3"/>
  </w:num>
  <w:num w:numId="15" w16cid:durableId="1677880867">
    <w:abstractNumId w:val="2"/>
  </w:num>
  <w:num w:numId="16" w16cid:durableId="1886480375">
    <w:abstractNumId w:val="2"/>
  </w:num>
  <w:num w:numId="17" w16cid:durableId="804392837">
    <w:abstractNumId w:val="1"/>
  </w:num>
  <w:num w:numId="18" w16cid:durableId="2087796118">
    <w:abstractNumId w:val="1"/>
  </w:num>
  <w:num w:numId="19" w16cid:durableId="822089748">
    <w:abstractNumId w:val="0"/>
  </w:num>
  <w:num w:numId="20" w16cid:durableId="1878200655">
    <w:abstractNumId w:val="0"/>
  </w:num>
  <w:num w:numId="21" w16cid:durableId="1721202408">
    <w:abstractNumId w:val="9"/>
  </w:num>
  <w:num w:numId="22" w16cid:durableId="1810857792">
    <w:abstractNumId w:val="7"/>
  </w:num>
  <w:num w:numId="23" w16cid:durableId="617371399">
    <w:abstractNumId w:val="6"/>
  </w:num>
  <w:num w:numId="24" w16cid:durableId="1016612195">
    <w:abstractNumId w:val="5"/>
  </w:num>
  <w:num w:numId="25" w16cid:durableId="930939459">
    <w:abstractNumId w:val="4"/>
  </w:num>
  <w:num w:numId="26" w16cid:durableId="641811511">
    <w:abstractNumId w:val="8"/>
  </w:num>
  <w:num w:numId="27" w16cid:durableId="839000323">
    <w:abstractNumId w:val="3"/>
  </w:num>
  <w:num w:numId="28" w16cid:durableId="1025642969">
    <w:abstractNumId w:val="2"/>
  </w:num>
  <w:num w:numId="29" w16cid:durableId="1327317617">
    <w:abstractNumId w:val="1"/>
  </w:num>
  <w:num w:numId="30" w16cid:durableId="916593562">
    <w:abstractNumId w:val="0"/>
  </w:num>
  <w:num w:numId="31" w16cid:durableId="1591430292">
    <w:abstractNumId w:val="9"/>
  </w:num>
  <w:num w:numId="32" w16cid:durableId="1091700005">
    <w:abstractNumId w:val="7"/>
  </w:num>
  <w:num w:numId="33" w16cid:durableId="75127103">
    <w:abstractNumId w:val="6"/>
  </w:num>
  <w:num w:numId="34" w16cid:durableId="2042365352">
    <w:abstractNumId w:val="5"/>
  </w:num>
  <w:num w:numId="35" w16cid:durableId="1065836210">
    <w:abstractNumId w:val="4"/>
  </w:num>
  <w:num w:numId="36" w16cid:durableId="1062214665">
    <w:abstractNumId w:val="8"/>
  </w:num>
  <w:num w:numId="37" w16cid:durableId="1187059027">
    <w:abstractNumId w:val="3"/>
  </w:num>
  <w:num w:numId="38" w16cid:durableId="982001949">
    <w:abstractNumId w:val="2"/>
  </w:num>
  <w:num w:numId="39" w16cid:durableId="1240863694">
    <w:abstractNumId w:val="1"/>
  </w:num>
  <w:num w:numId="40" w16cid:durableId="988755091">
    <w:abstractNumId w:val="0"/>
  </w:num>
  <w:num w:numId="41" w16cid:durableId="748044007">
    <w:abstractNumId w:val="10"/>
  </w:num>
  <w:num w:numId="42" w16cid:durableId="1479807038">
    <w:abstractNumId w:val="10"/>
  </w:num>
  <w:num w:numId="43" w16cid:durableId="1168331256">
    <w:abstractNumId w:val="10"/>
  </w:num>
  <w:num w:numId="44" w16cid:durableId="678194496">
    <w:abstractNumId w:val="13"/>
  </w:num>
  <w:num w:numId="45" w16cid:durableId="468204827">
    <w:abstractNumId w:val="11"/>
  </w:num>
  <w:num w:numId="46" w16cid:durableId="2028211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SL"/>
    <w:docVar w:name="dvnumam" w:val="0"/>
    <w:docVar w:name="dvpe" w:val="779.577"/>
    <w:docVar w:name="dvrapporteur" w:val="Poročevalec: "/>
    <w:docVar w:name="dvstar" w:val="***I"/>
    <w:docVar w:name="dvtitre" w:val="Zakonodajna resolucija Evropskega parlamenta z dne … 2025 o predlogu uredbe Evropskega parlamenta in Sveta o spremembi Uredbe (EU) 2021/1755 glede zneskov, dodeljenih državam članicam v okviru rezerve za prilagoditev na brexit (COM(2025)0513 – C10-0216/2025 – 2025/0289(COD))"/>
  </w:docVars>
  <w:rsids>
    <w:rsidRoot w:val="006411EC"/>
    <w:rsid w:val="00002272"/>
    <w:rsid w:val="00064002"/>
    <w:rsid w:val="000677B9"/>
    <w:rsid w:val="00072135"/>
    <w:rsid w:val="000831BA"/>
    <w:rsid w:val="000A42CC"/>
    <w:rsid w:val="000E5FAE"/>
    <w:rsid w:val="000E7DD9"/>
    <w:rsid w:val="0010095E"/>
    <w:rsid w:val="00125B37"/>
    <w:rsid w:val="0015547D"/>
    <w:rsid w:val="00187494"/>
    <w:rsid w:val="001F32AE"/>
    <w:rsid w:val="002767FF"/>
    <w:rsid w:val="002B18FE"/>
    <w:rsid w:val="002B5493"/>
    <w:rsid w:val="00320B5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CD0"/>
    <w:rsid w:val="0050519A"/>
    <w:rsid w:val="005072A1"/>
    <w:rsid w:val="00514517"/>
    <w:rsid w:val="00545827"/>
    <w:rsid w:val="00560270"/>
    <w:rsid w:val="00582CE8"/>
    <w:rsid w:val="005C2568"/>
    <w:rsid w:val="005F1B17"/>
    <w:rsid w:val="006037C0"/>
    <w:rsid w:val="006411EC"/>
    <w:rsid w:val="00652B11"/>
    <w:rsid w:val="006631B6"/>
    <w:rsid w:val="00680577"/>
    <w:rsid w:val="006F74FA"/>
    <w:rsid w:val="007150C1"/>
    <w:rsid w:val="007303E7"/>
    <w:rsid w:val="00731ADD"/>
    <w:rsid w:val="00734777"/>
    <w:rsid w:val="00747932"/>
    <w:rsid w:val="00751A4A"/>
    <w:rsid w:val="00756632"/>
    <w:rsid w:val="00762C74"/>
    <w:rsid w:val="00772C7C"/>
    <w:rsid w:val="00786EC0"/>
    <w:rsid w:val="007B4F9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727"/>
    <w:rsid w:val="00981893"/>
    <w:rsid w:val="00A1687D"/>
    <w:rsid w:val="00A43E52"/>
    <w:rsid w:val="00A4678D"/>
    <w:rsid w:val="00A527CE"/>
    <w:rsid w:val="00A61B21"/>
    <w:rsid w:val="00A778C7"/>
    <w:rsid w:val="00A82E02"/>
    <w:rsid w:val="00AB441E"/>
    <w:rsid w:val="00AB6293"/>
    <w:rsid w:val="00AE0928"/>
    <w:rsid w:val="00AF3B82"/>
    <w:rsid w:val="00B12E95"/>
    <w:rsid w:val="00B22876"/>
    <w:rsid w:val="00B26104"/>
    <w:rsid w:val="00B558F0"/>
    <w:rsid w:val="00BD48FE"/>
    <w:rsid w:val="00BD7BD8"/>
    <w:rsid w:val="00BE6ADC"/>
    <w:rsid w:val="00BF6756"/>
    <w:rsid w:val="00C05BFE"/>
    <w:rsid w:val="00C23CD4"/>
    <w:rsid w:val="00C61C0C"/>
    <w:rsid w:val="00C941CB"/>
    <w:rsid w:val="00CC2357"/>
    <w:rsid w:val="00CD612F"/>
    <w:rsid w:val="00CF071A"/>
    <w:rsid w:val="00D058B8"/>
    <w:rsid w:val="00D56C11"/>
    <w:rsid w:val="00D834A0"/>
    <w:rsid w:val="00D872DF"/>
    <w:rsid w:val="00D91E21"/>
    <w:rsid w:val="00DA7FCD"/>
    <w:rsid w:val="00E1405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6BD0E"/>
  <w15:chartTrackingRefBased/>
  <w15:docId w15:val="{C4A9F7C0-3482-424A-93B9-6630D075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6756"/>
    <w:pPr>
      <w:spacing w:before="480" w:after="240"/>
    </w:pPr>
  </w:style>
  <w:style w:type="paragraph" w:customStyle="1" w:styleId="NormalBold">
    <w:name w:val="NormalBold"/>
    <w:basedOn w:val="Normal"/>
    <w:rsid w:val="00BF6756"/>
    <w:rPr>
      <w:b/>
    </w:rPr>
  </w:style>
  <w:style w:type="paragraph" w:customStyle="1" w:styleId="NormalHanging12a">
    <w:name w:val="NormalHanging12a"/>
    <w:basedOn w:val="Normal"/>
    <w:rsid w:val="00BF6756"/>
    <w:pPr>
      <w:spacing w:after="240"/>
      <w:ind w:left="567" w:hanging="567"/>
    </w:pPr>
  </w:style>
  <w:style w:type="character" w:styleId="Hyperlink">
    <w:name w:val="Hyperlink"/>
    <w:uiPriority w:val="99"/>
    <w:rsid w:val="00A527CE"/>
    <w:rPr>
      <w:color w:val="0000FF"/>
      <w:u w:val="single"/>
    </w:rPr>
  </w:style>
  <w:style w:type="paragraph" w:styleId="Revision">
    <w:name w:val="Revision"/>
    <w:hidden/>
    <w:uiPriority w:val="99"/>
    <w:semiHidden/>
    <w:rsid w:val="00A527CE"/>
    <w:rPr>
      <w:sz w:val="24"/>
      <w:lang w:val="sl-SI"/>
    </w:rPr>
  </w:style>
  <w:style w:type="character" w:styleId="CommentReference">
    <w:name w:val="annotation reference"/>
    <w:basedOn w:val="DefaultParagraphFont"/>
    <w:rsid w:val="00320B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0B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20B5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20B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0B53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320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2026-03-05T09:39:00Z</dcterms:created>
  <dcterms:modified xsi:type="dcterms:W3CDTF">2026-03-05T09:39:00Z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