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7F8C" w14:paraId="5036FF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40FD78" w14:textId="7324B2C7" w:rsidR="00751A4A" w:rsidRPr="00EF7F8C" w:rsidRDefault="00A1293A" w:rsidP="0010095E">
            <w:pPr>
              <w:pStyle w:val="EPName"/>
            </w:pPr>
            <w:r w:rsidRPr="00EF7F8C">
              <w:t>Evropský parlament</w:t>
            </w:r>
          </w:p>
          <w:p w14:paraId="6048A854" w14:textId="77777777" w:rsidR="00751A4A" w:rsidRPr="00EF7F8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7F8C">
              <w:t>2024</w:t>
            </w:r>
            <w:r w:rsidR="00817416" w:rsidRPr="00EF7F8C">
              <w:t>-202</w:t>
            </w:r>
            <w:r w:rsidRPr="00EF7F8C">
              <w:t>9</w:t>
            </w:r>
          </w:p>
        </w:tc>
        <w:tc>
          <w:tcPr>
            <w:tcW w:w="2268" w:type="dxa"/>
            <w:shd w:val="clear" w:color="auto" w:fill="auto"/>
          </w:tcPr>
          <w:p w14:paraId="5E6E8025" w14:textId="77777777" w:rsidR="00751A4A" w:rsidRPr="00EF7F8C" w:rsidRDefault="00187494" w:rsidP="0010095E">
            <w:pPr>
              <w:pStyle w:val="EPLogo"/>
            </w:pPr>
            <w:r w:rsidRPr="00EF7F8C">
              <w:rPr>
                <w:noProof/>
                <w:lang w:eastAsia="ja-JP"/>
              </w:rPr>
              <w:drawing>
                <wp:inline distT="0" distB="0" distL="0" distR="0" wp14:anchorId="611261EC" wp14:editId="1943891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EC3FF3" w14:textId="77777777" w:rsidR="00D058B8" w:rsidRPr="00EF7F8C" w:rsidRDefault="00D058B8" w:rsidP="004C5D52">
      <w:pPr>
        <w:pStyle w:val="LineTop"/>
      </w:pPr>
    </w:p>
    <w:p w14:paraId="4A5E4277" w14:textId="2327D978" w:rsidR="00680577" w:rsidRPr="00EF7F8C" w:rsidRDefault="00A1293A" w:rsidP="00680577">
      <w:pPr>
        <w:pStyle w:val="EPBodyTA1"/>
      </w:pPr>
      <w:r w:rsidRPr="00EF7F8C">
        <w:t>PŘIJATÉ TEXTY</w:t>
      </w:r>
    </w:p>
    <w:p w14:paraId="1D28AC5E" w14:textId="77777777" w:rsidR="00D058B8" w:rsidRPr="00EF7F8C" w:rsidRDefault="00D058B8" w:rsidP="00D058B8">
      <w:pPr>
        <w:pStyle w:val="LineBottom"/>
      </w:pPr>
    </w:p>
    <w:p w14:paraId="3D1AE13A" w14:textId="45385052" w:rsidR="00A1293A" w:rsidRPr="00EF7F8C" w:rsidRDefault="00A1293A" w:rsidP="00A1293A">
      <w:pPr>
        <w:pStyle w:val="ATHeading1"/>
      </w:pPr>
      <w:r w:rsidRPr="00EF7F8C">
        <w:t>P10_</w:t>
      </w:r>
      <w:proofErr w:type="gramStart"/>
      <w:r w:rsidRPr="00EF7F8C">
        <w:t>TA(</w:t>
      </w:r>
      <w:proofErr w:type="gramEnd"/>
      <w:r w:rsidRPr="00EF7F8C">
        <w:t>2025)0</w:t>
      </w:r>
      <w:r w:rsidR="00132FFC" w:rsidRPr="00EF7F8C">
        <w:t>324</w:t>
      </w:r>
    </w:p>
    <w:p w14:paraId="46FCAD17" w14:textId="77777777" w:rsidR="00A1293A" w:rsidRPr="00EF7F8C" w:rsidRDefault="00A1293A" w:rsidP="00A1293A">
      <w:pPr>
        <w:pStyle w:val="ATHeading2"/>
      </w:pPr>
      <w:r w:rsidRPr="00EF7F8C">
        <w:t>Některé požadavky na podávání zpráv podniků o udržitelnosti a náležitou péči podniků v oblasti udržitelnosti</w:t>
      </w:r>
    </w:p>
    <w:p w14:paraId="532EC1E7" w14:textId="77777777" w:rsidR="00A1293A" w:rsidRPr="00EF7F8C" w:rsidRDefault="00A1293A" w:rsidP="00A1293A">
      <w:pPr>
        <w:rPr>
          <w:i/>
          <w:vanish/>
        </w:rPr>
      </w:pPr>
      <w:r w:rsidRPr="00EF7F8C">
        <w:rPr>
          <w:i/>
        </w:rPr>
        <w:fldChar w:fldCharType="begin"/>
      </w:r>
      <w:r w:rsidRPr="00EF7F8C">
        <w:rPr>
          <w:i/>
        </w:rPr>
        <w:instrText xml:space="preserve"> TC"(A10-0197/2025 - Zpravodaj: Jörgen Warborn)"\l3 \n&gt; \* MERGEFORMAT </w:instrText>
      </w:r>
      <w:r w:rsidRPr="00EF7F8C">
        <w:rPr>
          <w:i/>
        </w:rPr>
        <w:fldChar w:fldCharType="end"/>
      </w:r>
    </w:p>
    <w:p w14:paraId="675C5FF3" w14:textId="77777777" w:rsidR="00A1293A" w:rsidRPr="00EF7F8C" w:rsidRDefault="00A1293A" w:rsidP="00A1293A">
      <w:pPr>
        <w:rPr>
          <w:vanish/>
        </w:rPr>
      </w:pPr>
      <w:r w:rsidRPr="00EF7F8C">
        <w:rPr>
          <w:vanish/>
        </w:rPr>
        <w:t>Výbor pro právní záležitosti</w:t>
      </w:r>
    </w:p>
    <w:p w14:paraId="33CB2424" w14:textId="77777777" w:rsidR="00A1293A" w:rsidRPr="00EF7F8C" w:rsidRDefault="00A1293A" w:rsidP="00A1293A">
      <w:pPr>
        <w:rPr>
          <w:vanish/>
        </w:rPr>
      </w:pPr>
      <w:r w:rsidRPr="00EF7F8C">
        <w:rPr>
          <w:vanish/>
        </w:rPr>
        <w:t>PE774.282</w:t>
      </w:r>
    </w:p>
    <w:p w14:paraId="54BB813A" w14:textId="1C6E26BE" w:rsidR="00A1293A" w:rsidRPr="00EF7F8C" w:rsidRDefault="00A1293A" w:rsidP="00A1293A">
      <w:pPr>
        <w:pStyle w:val="ATHeading3"/>
      </w:pPr>
      <w:r w:rsidRPr="00EF7F8C">
        <w:t>Legislativní usnesení Evropského parlamentu ze dne</w:t>
      </w:r>
      <w:r w:rsidR="00FF0D7A" w:rsidRPr="00EF7F8C">
        <w:t xml:space="preserve"> </w:t>
      </w:r>
      <w:r w:rsidR="007E4CC8" w:rsidRPr="00EF7F8C">
        <w:t>16. prosince</w:t>
      </w:r>
      <w:r w:rsidRPr="00EF7F8C">
        <w:t xml:space="preserve"> 2025 o návrhu směrnice Evropského parlamentu a Rady, kterou se mění směrnice 2006/43/ES, 2013/34/EU, (EU) 2022/2464 a (EU) 2024/1760, pokud jde o některé požadavky na podávání zpráv podniků o udržitelnosti a náležitou péči podniků v oblasti udržitelnosti (</w:t>
      </w:r>
      <w:proofErr w:type="gramStart"/>
      <w:r w:rsidRPr="00EF7F8C">
        <w:t>COM(</w:t>
      </w:r>
      <w:proofErr w:type="gramEnd"/>
      <w:r w:rsidRPr="00EF7F8C">
        <w:t>2025)0081 – C10-0037/2025 – 2025/0045(COD))</w:t>
      </w:r>
    </w:p>
    <w:p w14:paraId="5C807E73" w14:textId="77777777" w:rsidR="00A1293A" w:rsidRPr="00EF7F8C" w:rsidRDefault="00A1293A" w:rsidP="00A1293A"/>
    <w:p w14:paraId="35967460" w14:textId="78DA7681" w:rsidR="00753AEA" w:rsidRPr="00EF7F8C" w:rsidRDefault="00753AEA" w:rsidP="007265B2">
      <w:pPr>
        <w:pStyle w:val="NormalBold"/>
        <w:tabs>
          <w:tab w:val="left" w:pos="5198"/>
        </w:tabs>
      </w:pPr>
      <w:r w:rsidRPr="00EF7F8C">
        <w:t>(Řádný legislativní postup: první čtení)</w:t>
      </w:r>
    </w:p>
    <w:p w14:paraId="67FB601D" w14:textId="49C8E605" w:rsidR="00753AEA" w:rsidRPr="00EF7F8C" w:rsidRDefault="00753AEA" w:rsidP="00753AEA">
      <w:pPr>
        <w:pStyle w:val="EPComma"/>
      </w:pPr>
      <w:r w:rsidRPr="00EF7F8C">
        <w:rPr>
          <w:i/>
        </w:rPr>
        <w:t>Evropský parlament</w:t>
      </w:r>
      <w:r w:rsidRPr="00EF7F8C">
        <w:t>,</w:t>
      </w:r>
    </w:p>
    <w:p w14:paraId="31A31F30" w14:textId="4DDB8F43" w:rsidR="00753AEA" w:rsidRPr="00EF7F8C" w:rsidRDefault="00753AEA" w:rsidP="00753AEA">
      <w:pPr>
        <w:pStyle w:val="NormalHanging12a"/>
      </w:pPr>
      <w:r w:rsidRPr="00EF7F8C">
        <w:t>–</w:t>
      </w:r>
      <w:r w:rsidRPr="00EF7F8C">
        <w:tab/>
        <w:t>s ohledem na návrh Komise předložený Evropskému parlamentu a Radě (</w:t>
      </w:r>
      <w:proofErr w:type="gramStart"/>
      <w:r w:rsidRPr="00EF7F8C">
        <w:t>COM(</w:t>
      </w:r>
      <w:proofErr w:type="gramEnd"/>
      <w:r w:rsidRPr="00EF7F8C">
        <w:t>2025)0081),</w:t>
      </w:r>
    </w:p>
    <w:p w14:paraId="59F0486E" w14:textId="424EAE6E" w:rsidR="00753AEA" w:rsidRPr="00EF7F8C" w:rsidRDefault="00753AEA" w:rsidP="00753AEA">
      <w:pPr>
        <w:pStyle w:val="NormalHanging12a"/>
      </w:pPr>
      <w:r w:rsidRPr="00EF7F8C">
        <w:t>–</w:t>
      </w:r>
      <w:r w:rsidRPr="00EF7F8C">
        <w:tab/>
        <w:t>s ohledem na čl. 294 odst. 2 a články 50 a 114 Smlouvy o fungování Evropské unie, v </w:t>
      </w:r>
      <w:proofErr w:type="gramStart"/>
      <w:r w:rsidRPr="00EF7F8C">
        <w:t>souladu</w:t>
      </w:r>
      <w:proofErr w:type="gramEnd"/>
      <w:r w:rsidRPr="00EF7F8C">
        <w:t xml:space="preserve"> s</w:t>
      </w:r>
      <w:r w:rsidR="00FF0D7A" w:rsidRPr="00EF7F8C">
        <w:t>e kterými</w:t>
      </w:r>
      <w:r w:rsidRPr="00EF7F8C">
        <w:t xml:space="preserve"> Komise předložila svůj návrh Parlamentu (C10</w:t>
      </w:r>
      <w:r w:rsidRPr="00EF7F8C">
        <w:noBreakHyphen/>
        <w:t>0037/2025),</w:t>
      </w:r>
    </w:p>
    <w:p w14:paraId="7217958D" w14:textId="478B8AB2" w:rsidR="00753AEA" w:rsidRPr="00EF7F8C" w:rsidRDefault="00753AEA" w:rsidP="00753AEA">
      <w:pPr>
        <w:pStyle w:val="NormalHanging12a"/>
      </w:pPr>
      <w:r w:rsidRPr="00EF7F8C">
        <w:t>–</w:t>
      </w:r>
      <w:r w:rsidRPr="00EF7F8C">
        <w:tab/>
        <w:t>s ohledem na čl. 294 odst. 3 Smlouvy o fungování Evropské unie,</w:t>
      </w:r>
    </w:p>
    <w:p w14:paraId="0DD12A27" w14:textId="3C440ED6" w:rsidR="00753AEA" w:rsidRPr="00EF7F8C" w:rsidRDefault="00753AEA" w:rsidP="00753AEA">
      <w:pPr>
        <w:pStyle w:val="NormalHanging12a"/>
      </w:pPr>
      <w:r w:rsidRPr="00EF7F8C">
        <w:t>–</w:t>
      </w:r>
      <w:r w:rsidRPr="00EF7F8C">
        <w:tab/>
        <w:t>s ohledem na stanovisko Evropského hospodářského a sociálního výboru ze dne</w:t>
      </w:r>
      <w:r w:rsidR="007E4CC8" w:rsidRPr="00EF7F8C">
        <w:t xml:space="preserve"> 20. srpna 2025</w:t>
      </w:r>
      <w:r w:rsidR="00685EEA" w:rsidRPr="00EF7F8C">
        <w:rPr>
          <w:rStyle w:val="FootnoteReference"/>
        </w:rPr>
        <w:footnoteReference w:id="1"/>
      </w:r>
      <w:r w:rsidRPr="00EF7F8C">
        <w:t>,</w:t>
      </w:r>
    </w:p>
    <w:p w14:paraId="44F298E2" w14:textId="77777777" w:rsidR="0053306D" w:rsidRPr="00EF7F8C" w:rsidRDefault="0053306D" w:rsidP="0053306D">
      <w:pPr>
        <w:pStyle w:val="NormalHanging12a"/>
      </w:pPr>
      <w:r w:rsidRPr="00EF7F8C">
        <w:t>–</w:t>
      </w:r>
      <w:r w:rsidRPr="00EF7F8C">
        <w:tab/>
        <w:t>s ohledem na předběžnou dohodu přijatou příslušným výborem podle čl. 75 odst. 4 jednacího řádu a s ohledem na to, že se zástupce Rady dopisem ze dne 11. prosince 2025 zavázal schválit postoj Parlamentu v souladu s čl. 294 odst. 4 Smlouvy o fungování Evropské unie,</w:t>
      </w:r>
    </w:p>
    <w:p w14:paraId="2C4ACB3F" w14:textId="4323C27F" w:rsidR="00753AEA" w:rsidRPr="00EF7F8C" w:rsidRDefault="00753AEA" w:rsidP="00753AEA">
      <w:pPr>
        <w:pStyle w:val="NormalHanging12a"/>
      </w:pPr>
      <w:r w:rsidRPr="00EF7F8C">
        <w:t>–</w:t>
      </w:r>
      <w:r w:rsidRPr="00EF7F8C">
        <w:tab/>
        <w:t>s ohledem na článek 60 jednacího řádu,</w:t>
      </w:r>
    </w:p>
    <w:p w14:paraId="4C6408C0" w14:textId="7B9614FA" w:rsidR="00753AEA" w:rsidRPr="00EF7F8C" w:rsidRDefault="00753AEA" w:rsidP="00753AEA">
      <w:pPr>
        <w:pStyle w:val="NormalHanging12a"/>
      </w:pPr>
      <w:r w:rsidRPr="00EF7F8C">
        <w:t>–</w:t>
      </w:r>
      <w:r w:rsidRPr="00EF7F8C">
        <w:tab/>
        <w:t>s ohledem na stanoviska Výboru pro zahraniční věci, Výboru pro mezinárodní obchod, Hospodářského a měnového výboru, Výboru pro zaměstnanost a sociální věci a Výboru pro životní prostředí, klima a bezpečnost potravin</w:t>
      </w:r>
      <w:r w:rsidR="005378DF" w:rsidRPr="00EF7F8C">
        <w:t>,</w:t>
      </w:r>
    </w:p>
    <w:p w14:paraId="34B097ED" w14:textId="38E0A6CC" w:rsidR="00753AEA" w:rsidRPr="00EF7F8C" w:rsidRDefault="00753AEA" w:rsidP="00753AEA">
      <w:pPr>
        <w:pStyle w:val="NormalHanging12a"/>
      </w:pPr>
      <w:r w:rsidRPr="00EF7F8C">
        <w:t>–</w:t>
      </w:r>
      <w:r w:rsidRPr="00EF7F8C">
        <w:tab/>
        <w:t>s ohledem na zprávu Výboru pro právní záležitosti (A10</w:t>
      </w:r>
      <w:r w:rsidRPr="00EF7F8C">
        <w:noBreakHyphen/>
        <w:t>0197/2025),</w:t>
      </w:r>
    </w:p>
    <w:p w14:paraId="75C12155" w14:textId="699B9C74" w:rsidR="00753AEA" w:rsidRPr="00EF7F8C" w:rsidRDefault="00753AEA" w:rsidP="00753AEA">
      <w:pPr>
        <w:pStyle w:val="NormalHanging12a"/>
      </w:pPr>
      <w:r w:rsidRPr="00EF7F8C">
        <w:lastRenderedPageBreak/>
        <w:t>1.</w:t>
      </w:r>
      <w:r w:rsidRPr="00EF7F8C">
        <w:tab/>
        <w:t>přijímá níže uvedený postoj v prvním čtení;</w:t>
      </w:r>
    </w:p>
    <w:p w14:paraId="0D28A99A" w14:textId="2509C5AF" w:rsidR="00753AEA" w:rsidRPr="00EF7F8C" w:rsidRDefault="00753AEA" w:rsidP="00753AEA">
      <w:pPr>
        <w:pStyle w:val="NormalHanging12a"/>
      </w:pPr>
      <w:r w:rsidRPr="00EF7F8C">
        <w:t>2.</w:t>
      </w:r>
      <w:r w:rsidRPr="00EF7F8C">
        <w:tab/>
        <w:t>vyzývá Komisi, aby věc znovu postoupila Parlamentu, jestliže svůj návrh nahradí jiným textem, podstatně jej změní nebo má v úmyslu jej podstatně změnit;</w:t>
      </w:r>
    </w:p>
    <w:p w14:paraId="6BFF25D3" w14:textId="06D0BB23" w:rsidR="00753AEA" w:rsidRPr="00EF7F8C" w:rsidRDefault="00753AEA" w:rsidP="00753AEA">
      <w:pPr>
        <w:pStyle w:val="NormalHanging12a"/>
      </w:pPr>
      <w:r w:rsidRPr="00EF7F8C">
        <w:t>3.</w:t>
      </w:r>
      <w:r w:rsidRPr="00EF7F8C">
        <w:tab/>
        <w:t>pověřuje svou předsedkyni, aby předala postoj Parlamentu Radě a Komisi, jakož i vnitrostátním parlamentům.</w:t>
      </w:r>
    </w:p>
    <w:p w14:paraId="404E8429" w14:textId="77777777" w:rsidR="007E4CC8" w:rsidRPr="00EF7F8C" w:rsidRDefault="007E4CC8" w:rsidP="00753AEA">
      <w:pPr>
        <w:pStyle w:val="NormalHanging12a"/>
        <w:sectPr w:rsidR="007E4CC8" w:rsidRPr="00EF7F8C" w:rsidSect="00925A3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672BDC4" w14:textId="77777777" w:rsidR="007E4CC8" w:rsidRPr="00EF7F8C" w:rsidRDefault="007E4CC8" w:rsidP="007E4CC8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EF7F8C">
        <w:rPr>
          <w:b/>
          <w:bCs/>
          <w:color w:val="000000"/>
        </w:rPr>
        <w:lastRenderedPageBreak/>
        <w:t>P10_TC1-</w:t>
      </w:r>
      <w:proofErr w:type="gramStart"/>
      <w:r w:rsidRPr="00EF7F8C">
        <w:rPr>
          <w:b/>
          <w:bCs/>
          <w:color w:val="000000"/>
        </w:rPr>
        <w:t>COD(</w:t>
      </w:r>
      <w:proofErr w:type="gramEnd"/>
      <w:r w:rsidRPr="00EF7F8C">
        <w:rPr>
          <w:b/>
          <w:bCs/>
          <w:color w:val="000000"/>
        </w:rPr>
        <w:t>2025)0045</w:t>
      </w:r>
    </w:p>
    <w:p w14:paraId="22E91B15" w14:textId="162DB2F1" w:rsidR="007E4CC8" w:rsidRDefault="007E4CC8" w:rsidP="00685EEA">
      <w:pPr>
        <w:autoSpaceDE w:val="0"/>
        <w:autoSpaceDN w:val="0"/>
        <w:adjustRightInd w:val="0"/>
        <w:spacing w:after="240"/>
        <w:rPr>
          <w:b/>
        </w:rPr>
      </w:pPr>
      <w:r w:rsidRPr="00EF7F8C">
        <w:rPr>
          <w:b/>
          <w:bCs/>
          <w:color w:val="000000"/>
        </w:rPr>
        <w:t>Postoj Evropského parlamentu přijatý v prvním čtení dne 16. prosince 2025 k přijetí směrnice Evropského parlamentu a Rady (EU) 202</w:t>
      </w:r>
      <w:r w:rsidR="00766764">
        <w:rPr>
          <w:b/>
          <w:bCs/>
          <w:color w:val="000000"/>
        </w:rPr>
        <w:t>6</w:t>
      </w:r>
      <w:r w:rsidRPr="00EF7F8C">
        <w:rPr>
          <w:b/>
          <w:bCs/>
          <w:color w:val="000000"/>
        </w:rPr>
        <w:t xml:space="preserve">/..., </w:t>
      </w:r>
      <w:r w:rsidRPr="00EF7F8C">
        <w:rPr>
          <w:b/>
        </w:rPr>
        <w:t>kterou se mění směrnice 2006/43/ES, 2013/34/EU, (EU) 2022/2464 a (EU) 2024/1760, pokud jde o některé požadavky na podávání zpráv podniků o udržitelnosti a </w:t>
      </w:r>
      <w:r w:rsidR="00FF5FB4" w:rsidRPr="00EF7F8C">
        <w:rPr>
          <w:b/>
        </w:rPr>
        <w:t xml:space="preserve">některé požadavky na </w:t>
      </w:r>
      <w:r w:rsidRPr="00EF7F8C">
        <w:rPr>
          <w:b/>
        </w:rPr>
        <w:t>náležitou péči podniků v oblasti udržitelnosti</w:t>
      </w:r>
    </w:p>
    <w:p w14:paraId="159E0936" w14:textId="4CD800B8" w:rsidR="00766764" w:rsidRDefault="00766764" w:rsidP="00766764">
      <w:pPr>
        <w:spacing w:before="24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směrnici</w:t>
      </w:r>
      <w:r w:rsidRPr="008977C0">
        <w:rPr>
          <w:i/>
        </w:rPr>
        <w:t xml:space="preserve"> (EU) </w:t>
      </w:r>
      <w:r>
        <w:rPr>
          <w:i/>
        </w:rPr>
        <w:t>202</w:t>
      </w:r>
      <w:r>
        <w:rPr>
          <w:i/>
        </w:rPr>
        <w:t>6</w:t>
      </w:r>
      <w:r w:rsidRPr="008977C0">
        <w:rPr>
          <w:i/>
        </w:rPr>
        <w:t>/</w:t>
      </w:r>
      <w:r>
        <w:rPr>
          <w:i/>
        </w:rPr>
        <w:t>470</w:t>
      </w:r>
      <w:r>
        <w:rPr>
          <w:i/>
        </w:rPr>
        <w:t>.)</w:t>
      </w:r>
    </w:p>
    <w:p w14:paraId="0EEF6164" w14:textId="77777777" w:rsidR="00766764" w:rsidRPr="00EF7F8C" w:rsidRDefault="00766764" w:rsidP="00685EEA">
      <w:pPr>
        <w:autoSpaceDE w:val="0"/>
        <w:autoSpaceDN w:val="0"/>
        <w:adjustRightInd w:val="0"/>
        <w:spacing w:after="240"/>
        <w:rPr>
          <w:b/>
        </w:rPr>
      </w:pPr>
    </w:p>
    <w:sectPr w:rsidR="00766764" w:rsidRPr="00EF7F8C" w:rsidSect="00925A3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584EC" w14:textId="77777777" w:rsidR="00A1293A" w:rsidRPr="00925A3F" w:rsidRDefault="00A1293A">
      <w:r w:rsidRPr="00925A3F">
        <w:separator/>
      </w:r>
    </w:p>
  </w:endnote>
  <w:endnote w:type="continuationSeparator" w:id="0">
    <w:p w14:paraId="235C117B" w14:textId="77777777" w:rsidR="00A1293A" w:rsidRPr="00925A3F" w:rsidRDefault="00A1293A">
      <w:r w:rsidRPr="00925A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508D7" w14:textId="77777777" w:rsidR="00064002" w:rsidRPr="00925A3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6CDF3" w14:textId="77777777" w:rsidR="00064002" w:rsidRPr="00925A3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A468D" w14:textId="77777777" w:rsidR="00064002" w:rsidRPr="00925A3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5F155" w14:textId="77777777" w:rsidR="00A1293A" w:rsidRPr="00925A3F" w:rsidRDefault="00A1293A">
      <w:r w:rsidRPr="00925A3F">
        <w:separator/>
      </w:r>
    </w:p>
  </w:footnote>
  <w:footnote w:type="continuationSeparator" w:id="0">
    <w:p w14:paraId="205422D1" w14:textId="77777777" w:rsidR="00A1293A" w:rsidRPr="00925A3F" w:rsidRDefault="00A1293A">
      <w:r w:rsidRPr="00925A3F">
        <w:continuationSeparator/>
      </w:r>
    </w:p>
  </w:footnote>
  <w:footnote w:id="1">
    <w:p w14:paraId="19F9E93B" w14:textId="1B3FA362" w:rsidR="00685EEA" w:rsidRPr="00685EEA" w:rsidRDefault="00685EEA" w:rsidP="00685EEA">
      <w:pPr>
        <w:pStyle w:val="FootnoteText"/>
        <w:ind w:left="567" w:hanging="567"/>
        <w:rPr>
          <w:lang w:val="cs-CZ"/>
        </w:rPr>
      </w:pPr>
      <w:r>
        <w:rPr>
          <w:rStyle w:val="FootnoteReference"/>
        </w:rPr>
        <w:footnoteRef/>
      </w:r>
      <w:r w:rsidRPr="00685EEA">
        <w:rPr>
          <w:lang w:val="fi-FI"/>
        </w:rPr>
        <w:t xml:space="preserve"> </w:t>
      </w:r>
      <w:r>
        <w:rPr>
          <w:lang w:val="cs-CZ"/>
        </w:rPr>
        <w:tab/>
      </w:r>
      <w:proofErr w:type="spellStart"/>
      <w:r w:rsidRPr="00685EEA">
        <w:rPr>
          <w:sz w:val="24"/>
          <w:szCs w:val="24"/>
          <w:lang w:val="cs-CZ"/>
        </w:rPr>
        <w:t>Úř</w:t>
      </w:r>
      <w:proofErr w:type="spellEnd"/>
      <w:r w:rsidRPr="00685EEA">
        <w:rPr>
          <w:sz w:val="24"/>
          <w:szCs w:val="24"/>
          <w:lang w:val="cs-CZ"/>
        </w:rPr>
        <w:t xml:space="preserve">. </w:t>
      </w:r>
      <w:proofErr w:type="spellStart"/>
      <w:r w:rsidRPr="00685EEA">
        <w:rPr>
          <w:sz w:val="24"/>
          <w:szCs w:val="24"/>
          <w:lang w:val="cs-CZ"/>
        </w:rPr>
        <w:t>věst</w:t>
      </w:r>
      <w:proofErr w:type="spellEnd"/>
      <w:r w:rsidRPr="00685EEA">
        <w:rPr>
          <w:sz w:val="24"/>
          <w:szCs w:val="24"/>
          <w:lang w:val="cs-CZ"/>
        </w:rPr>
        <w:t>.</w:t>
      </w:r>
      <w:r w:rsidRPr="00685EEA">
        <w:rPr>
          <w:sz w:val="24"/>
          <w:szCs w:val="24"/>
          <w:lang w:val="fi-FI"/>
        </w:rPr>
        <w:t xml:space="preserve"> C, C/2025/4212, 20.8.2025, ELI: </w:t>
      </w:r>
      <w:hyperlink r:id="rId1" w:history="1">
        <w:r w:rsidRPr="00685EEA">
          <w:rPr>
            <w:rStyle w:val="Hyperlink"/>
            <w:sz w:val="24"/>
            <w:szCs w:val="24"/>
            <w:lang w:val="fi-FI"/>
          </w:rPr>
          <w:t>http://data.europa.eu/eli/C/2025/</w:t>
        </w:r>
        <w:r w:rsidRPr="00685EEA">
          <w:rPr>
            <w:rStyle w:val="Hyperlink"/>
            <w:lang w:val="fi-FI"/>
          </w:rPr>
          <w:t>4212</w:t>
        </w:r>
        <w:r w:rsidRPr="00685EEA">
          <w:rPr>
            <w:rStyle w:val="Hyperlink"/>
            <w:sz w:val="24"/>
            <w:szCs w:val="24"/>
            <w:lang w:val="fi-FI"/>
          </w:rPr>
          <w:t>/oj</w:t>
        </w:r>
      </w:hyperlink>
      <w:r w:rsidRPr="00685EEA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2E7D1" w14:textId="77777777" w:rsidR="00064002" w:rsidRPr="00925A3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29454" w14:textId="77777777" w:rsidR="00064002" w:rsidRPr="00925A3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D080D" w14:textId="77777777" w:rsidR="00064002" w:rsidRPr="00925A3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D096C25C"/>
    <w:name w:val="Points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b w:val="0"/>
        <w:b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2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3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3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495922859">
    <w:abstractNumId w:val="12"/>
  </w:num>
  <w:num w:numId="2" w16cid:durableId="540359715">
    <w:abstractNumId w:val="23"/>
  </w:num>
  <w:num w:numId="3" w16cid:durableId="1307466308">
    <w:abstractNumId w:val="10"/>
  </w:num>
  <w:num w:numId="4" w16cid:durableId="567542593">
    <w:abstractNumId w:val="20"/>
  </w:num>
  <w:num w:numId="5" w16cid:durableId="468937464">
    <w:abstractNumId w:val="27"/>
  </w:num>
  <w:num w:numId="6" w16cid:durableId="419840491">
    <w:abstractNumId w:val="19"/>
  </w:num>
  <w:num w:numId="7" w16cid:durableId="1468821640">
    <w:abstractNumId w:val="17"/>
  </w:num>
  <w:num w:numId="8" w16cid:durableId="1006633821">
    <w:abstractNumId w:val="37"/>
  </w:num>
  <w:num w:numId="9" w16cid:durableId="128519428">
    <w:abstractNumId w:val="42"/>
  </w:num>
  <w:num w:numId="10" w16cid:durableId="397554397">
    <w:abstractNumId w:val="38"/>
  </w:num>
  <w:num w:numId="11" w16cid:durableId="1046486109">
    <w:abstractNumId w:val="11"/>
  </w:num>
  <w:num w:numId="12" w16cid:durableId="794643710">
    <w:abstractNumId w:val="39"/>
  </w:num>
  <w:num w:numId="13" w16cid:durableId="2146312979">
    <w:abstractNumId w:val="35"/>
  </w:num>
  <w:num w:numId="14" w16cid:durableId="2045208649">
    <w:abstractNumId w:val="13"/>
  </w:num>
  <w:num w:numId="15" w16cid:durableId="288975442">
    <w:abstractNumId w:val="41"/>
  </w:num>
  <w:num w:numId="16" w16cid:durableId="1456873556">
    <w:abstractNumId w:val="46"/>
  </w:num>
  <w:num w:numId="17" w16cid:durableId="2111467445">
    <w:abstractNumId w:val="32"/>
  </w:num>
  <w:num w:numId="18" w16cid:durableId="1665891583">
    <w:abstractNumId w:val="40"/>
  </w:num>
  <w:num w:numId="19" w16cid:durableId="638341248">
    <w:abstractNumId w:val="36"/>
  </w:num>
  <w:num w:numId="20" w16cid:durableId="1515917783">
    <w:abstractNumId w:val="33"/>
  </w:num>
  <w:num w:numId="21" w16cid:durableId="674577510">
    <w:abstractNumId w:val="21"/>
  </w:num>
  <w:num w:numId="22" w16cid:durableId="1179271976">
    <w:abstractNumId w:val="16"/>
  </w:num>
  <w:num w:numId="23" w16cid:durableId="1230767757">
    <w:abstractNumId w:val="15"/>
  </w:num>
  <w:num w:numId="24" w16cid:durableId="2047022713">
    <w:abstractNumId w:val="28"/>
  </w:num>
  <w:num w:numId="25" w16cid:durableId="2004619729">
    <w:abstractNumId w:val="31"/>
  </w:num>
  <w:num w:numId="26" w16cid:durableId="1464152385">
    <w:abstractNumId w:val="30"/>
  </w:num>
  <w:num w:numId="27" w16cid:durableId="405152505">
    <w:abstractNumId w:val="47"/>
  </w:num>
  <w:num w:numId="28" w16cid:durableId="299963359">
    <w:abstractNumId w:val="24"/>
  </w:num>
  <w:num w:numId="29" w16cid:durableId="232548307">
    <w:abstractNumId w:val="25"/>
  </w:num>
  <w:num w:numId="30" w16cid:durableId="1631327944">
    <w:abstractNumId w:val="26"/>
  </w:num>
  <w:num w:numId="31" w16cid:durableId="1948272343">
    <w:abstractNumId w:val="29"/>
  </w:num>
  <w:num w:numId="32" w16cid:durableId="1325275986">
    <w:abstractNumId w:val="18"/>
  </w:num>
  <w:num w:numId="33" w16cid:durableId="72089652">
    <w:abstractNumId w:val="48"/>
  </w:num>
  <w:num w:numId="34" w16cid:durableId="440535980">
    <w:abstractNumId w:val="22"/>
  </w:num>
  <w:num w:numId="35" w16cid:durableId="1528057680">
    <w:abstractNumId w:val="34"/>
  </w:num>
  <w:num w:numId="36" w16cid:durableId="1138108179">
    <w:abstractNumId w:val="44"/>
  </w:num>
  <w:num w:numId="37" w16cid:durableId="229847272">
    <w:abstractNumId w:val="43"/>
  </w:num>
  <w:num w:numId="38" w16cid:durableId="694695438">
    <w:abstractNumId w:val="45"/>
  </w:num>
  <w:num w:numId="39" w16cid:durableId="957762499">
    <w:abstractNumId w:val="14"/>
  </w:num>
  <w:num w:numId="40" w16cid:durableId="197740535">
    <w:abstractNumId w:val="9"/>
  </w:num>
  <w:num w:numId="41" w16cid:durableId="1410082559">
    <w:abstractNumId w:val="7"/>
  </w:num>
  <w:num w:numId="42" w16cid:durableId="109280744">
    <w:abstractNumId w:val="6"/>
  </w:num>
  <w:num w:numId="43" w16cid:durableId="781531823">
    <w:abstractNumId w:val="5"/>
  </w:num>
  <w:num w:numId="44" w16cid:durableId="2028604525">
    <w:abstractNumId w:val="4"/>
  </w:num>
  <w:num w:numId="45" w16cid:durableId="1638562975">
    <w:abstractNumId w:val="8"/>
  </w:num>
  <w:num w:numId="46" w16cid:durableId="1314680774">
    <w:abstractNumId w:val="3"/>
  </w:num>
  <w:num w:numId="47" w16cid:durableId="785201967">
    <w:abstractNumId w:val="2"/>
  </w:num>
  <w:num w:numId="48" w16cid:durableId="629289454">
    <w:abstractNumId w:val="1"/>
  </w:num>
  <w:num w:numId="49" w16cid:durableId="1738746352">
    <w:abstractNumId w:val="0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7/2025"/>
    <w:docVar w:name="dvlangue" w:val="CS"/>
    <w:docVar w:name="dvnumam" w:val="0"/>
    <w:docVar w:name="dvpe" w:val="774.282"/>
    <w:docVar w:name="dvrapporteur" w:val="Zpravodaj: "/>
    <w:docVar w:name="dvstar" w:val="***I"/>
    <w:docVar w:name="dvtitre" w:val="Legislativní usnesení Evropského parlamentu ze dne.... 2025 o návrhu směrnice Evropského parlamentu a Rady, kterou se mění směrnice 2006/43/ES, 2013/34/EU, (EU) 2022/2464 a (EU) 2024/1760, pokud jde o některé požadavky na podávání zpráv podniků o udržitelnosti a náležitou péči podniků v oblasti udržitelnosti(COM(2025)0081 – C10-0037/2025 – 2025/0045(COD))"/>
  </w:docVars>
  <w:rsids>
    <w:rsidRoot w:val="00A1293A"/>
    <w:rsid w:val="00002272"/>
    <w:rsid w:val="00064002"/>
    <w:rsid w:val="000677B9"/>
    <w:rsid w:val="00074548"/>
    <w:rsid w:val="000831BA"/>
    <w:rsid w:val="000A42CC"/>
    <w:rsid w:val="000C7BA1"/>
    <w:rsid w:val="000D725B"/>
    <w:rsid w:val="000E7DD9"/>
    <w:rsid w:val="0010095E"/>
    <w:rsid w:val="00125B37"/>
    <w:rsid w:val="00132FFC"/>
    <w:rsid w:val="00187494"/>
    <w:rsid w:val="001959D8"/>
    <w:rsid w:val="001A0795"/>
    <w:rsid w:val="001A4277"/>
    <w:rsid w:val="001B4E3B"/>
    <w:rsid w:val="001F32AE"/>
    <w:rsid w:val="002346FD"/>
    <w:rsid w:val="00276169"/>
    <w:rsid w:val="002767FF"/>
    <w:rsid w:val="002B18FE"/>
    <w:rsid w:val="002B5493"/>
    <w:rsid w:val="002C49B6"/>
    <w:rsid w:val="00343214"/>
    <w:rsid w:val="00361C00"/>
    <w:rsid w:val="00395FA1"/>
    <w:rsid w:val="003E15D4"/>
    <w:rsid w:val="003F5019"/>
    <w:rsid w:val="0041162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1956"/>
    <w:rsid w:val="0053306D"/>
    <w:rsid w:val="005378DF"/>
    <w:rsid w:val="00545827"/>
    <w:rsid w:val="00560270"/>
    <w:rsid w:val="005720E7"/>
    <w:rsid w:val="005C2568"/>
    <w:rsid w:val="005F1B17"/>
    <w:rsid w:val="006037C0"/>
    <w:rsid w:val="006631B6"/>
    <w:rsid w:val="00680577"/>
    <w:rsid w:val="00685EEA"/>
    <w:rsid w:val="00695C46"/>
    <w:rsid w:val="006F74FA"/>
    <w:rsid w:val="007265B2"/>
    <w:rsid w:val="00731ADD"/>
    <w:rsid w:val="00734777"/>
    <w:rsid w:val="00747932"/>
    <w:rsid w:val="00751A4A"/>
    <w:rsid w:val="00753AEA"/>
    <w:rsid w:val="00756632"/>
    <w:rsid w:val="00762C74"/>
    <w:rsid w:val="00766764"/>
    <w:rsid w:val="00786EC0"/>
    <w:rsid w:val="007D1690"/>
    <w:rsid w:val="007E22AD"/>
    <w:rsid w:val="007E4CC8"/>
    <w:rsid w:val="007F0F60"/>
    <w:rsid w:val="00817416"/>
    <w:rsid w:val="00841865"/>
    <w:rsid w:val="00842779"/>
    <w:rsid w:val="00861EAE"/>
    <w:rsid w:val="00865EC4"/>
    <w:rsid w:val="00865F67"/>
    <w:rsid w:val="00881A7B"/>
    <w:rsid w:val="008840E5"/>
    <w:rsid w:val="0088588D"/>
    <w:rsid w:val="00887B3E"/>
    <w:rsid w:val="008C2AC6"/>
    <w:rsid w:val="008D0687"/>
    <w:rsid w:val="00925A3F"/>
    <w:rsid w:val="00930C23"/>
    <w:rsid w:val="0093193B"/>
    <w:rsid w:val="009509D8"/>
    <w:rsid w:val="00950B64"/>
    <w:rsid w:val="009578DC"/>
    <w:rsid w:val="00981893"/>
    <w:rsid w:val="009B141C"/>
    <w:rsid w:val="009E2531"/>
    <w:rsid w:val="00A07884"/>
    <w:rsid w:val="00A1293A"/>
    <w:rsid w:val="00A1687D"/>
    <w:rsid w:val="00A35870"/>
    <w:rsid w:val="00A43E52"/>
    <w:rsid w:val="00A4678D"/>
    <w:rsid w:val="00A778C7"/>
    <w:rsid w:val="00AB441E"/>
    <w:rsid w:val="00AB6293"/>
    <w:rsid w:val="00AE0928"/>
    <w:rsid w:val="00AE720C"/>
    <w:rsid w:val="00AF3B82"/>
    <w:rsid w:val="00B12E95"/>
    <w:rsid w:val="00B161C9"/>
    <w:rsid w:val="00B22876"/>
    <w:rsid w:val="00B3195C"/>
    <w:rsid w:val="00B558F0"/>
    <w:rsid w:val="00B728DC"/>
    <w:rsid w:val="00B97748"/>
    <w:rsid w:val="00BD48FE"/>
    <w:rsid w:val="00BD7BD8"/>
    <w:rsid w:val="00BE6ADC"/>
    <w:rsid w:val="00C05BFE"/>
    <w:rsid w:val="00C06E9A"/>
    <w:rsid w:val="00C15A43"/>
    <w:rsid w:val="00C16BB5"/>
    <w:rsid w:val="00C23CD4"/>
    <w:rsid w:val="00C34629"/>
    <w:rsid w:val="00C61C0C"/>
    <w:rsid w:val="00C804B8"/>
    <w:rsid w:val="00C941CB"/>
    <w:rsid w:val="00CC2357"/>
    <w:rsid w:val="00CE7A81"/>
    <w:rsid w:val="00CF071A"/>
    <w:rsid w:val="00D058B8"/>
    <w:rsid w:val="00D56C11"/>
    <w:rsid w:val="00D60C00"/>
    <w:rsid w:val="00D834A0"/>
    <w:rsid w:val="00D872DF"/>
    <w:rsid w:val="00D91E21"/>
    <w:rsid w:val="00DA7FCD"/>
    <w:rsid w:val="00DD6DD3"/>
    <w:rsid w:val="00E365E1"/>
    <w:rsid w:val="00E820A4"/>
    <w:rsid w:val="00EB006A"/>
    <w:rsid w:val="00EB4772"/>
    <w:rsid w:val="00EB6189"/>
    <w:rsid w:val="00ED169E"/>
    <w:rsid w:val="00ED4235"/>
    <w:rsid w:val="00EF7F8C"/>
    <w:rsid w:val="00F04346"/>
    <w:rsid w:val="00F075DC"/>
    <w:rsid w:val="00F149E9"/>
    <w:rsid w:val="00F5134D"/>
    <w:rsid w:val="00F74202"/>
    <w:rsid w:val="00F87713"/>
    <w:rsid w:val="00FB4360"/>
    <w:rsid w:val="00FD0C70"/>
    <w:rsid w:val="00FF0D7A"/>
    <w:rsid w:val="00FF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FF7D95"/>
  <w15:chartTrackingRefBased/>
  <w15:docId w15:val="{814F4233-E21D-4B77-A909-B7AE04755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53AE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AE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AE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AE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AE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AEA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AEA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AEA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AEA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753AE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53AE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53AE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53AEA"/>
    <w:pPr>
      <w:spacing w:after="120"/>
    </w:pPr>
  </w:style>
  <w:style w:type="paragraph" w:customStyle="1" w:styleId="PageHeading">
    <w:name w:val="PageHeading"/>
    <w:basedOn w:val="Normal"/>
    <w:rsid w:val="00753AE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53AEA"/>
    <w:rPr>
      <w:b/>
    </w:rPr>
  </w:style>
  <w:style w:type="paragraph" w:customStyle="1" w:styleId="NormalBold12a">
    <w:name w:val="NormalBold12a"/>
    <w:basedOn w:val="Normal"/>
    <w:rsid w:val="00753AEA"/>
    <w:pPr>
      <w:spacing w:after="240"/>
    </w:pPr>
    <w:rPr>
      <w:b/>
    </w:rPr>
  </w:style>
  <w:style w:type="paragraph" w:customStyle="1" w:styleId="AmJustText">
    <w:name w:val="AmJustText"/>
    <w:basedOn w:val="Normal"/>
    <w:rsid w:val="00753AE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53AE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53AEA"/>
    <w:pPr>
      <w:spacing w:after="480"/>
      <w:ind w:left="1417"/>
    </w:pPr>
  </w:style>
  <w:style w:type="paragraph" w:customStyle="1" w:styleId="CoverNormal">
    <w:name w:val="CoverNormal"/>
    <w:basedOn w:val="Normal"/>
    <w:rsid w:val="00753AEA"/>
    <w:pPr>
      <w:ind w:left="1418"/>
    </w:pPr>
  </w:style>
  <w:style w:type="paragraph" w:customStyle="1" w:styleId="AmCrossRef">
    <w:name w:val="AmCrossRef"/>
    <w:basedOn w:val="Normal"/>
    <w:rsid w:val="00753AE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53AE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link w:val="CoverReferenceChar"/>
    <w:rsid w:val="00753AE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53AE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53AE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53AE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53A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AEA"/>
    <w:rPr>
      <w:sz w:val="24"/>
      <w:lang w:val="cs-CZ"/>
    </w:rPr>
  </w:style>
  <w:style w:type="paragraph" w:customStyle="1" w:styleId="AmOrLang">
    <w:name w:val="AmOrLang"/>
    <w:basedOn w:val="Normal"/>
    <w:rsid w:val="00753AE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53AE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53AE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53AEA"/>
    <w:pPr>
      <w:spacing w:before="240"/>
    </w:pPr>
    <w:rPr>
      <w:b/>
    </w:rPr>
  </w:style>
  <w:style w:type="paragraph" w:customStyle="1" w:styleId="EPBody">
    <w:name w:val="EPBody"/>
    <w:basedOn w:val="Normal"/>
    <w:rsid w:val="00753AE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53AE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53AEA"/>
    <w:pPr>
      <w:spacing w:before="480" w:after="240"/>
    </w:pPr>
  </w:style>
  <w:style w:type="paragraph" w:customStyle="1" w:styleId="Lgendesigne">
    <w:name w:val="Légende signe"/>
    <w:basedOn w:val="Normal"/>
    <w:rsid w:val="00753AEA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753AEA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Normal"/>
    <w:rsid w:val="00753AEA"/>
    <w:rPr>
      <w:sz w:val="18"/>
      <w:lang w:val="en-GB"/>
    </w:rPr>
  </w:style>
  <w:style w:type="character" w:customStyle="1" w:styleId="NormalBoldChar">
    <w:name w:val="NormalBold Char"/>
    <w:basedOn w:val="DefaultParagraphFont"/>
    <w:link w:val="NormalBold"/>
    <w:rsid w:val="00753AEA"/>
    <w:rPr>
      <w:b/>
      <w:sz w:val="24"/>
      <w:lang w:val="cs-CZ"/>
    </w:rPr>
  </w:style>
  <w:style w:type="paragraph" w:customStyle="1" w:styleId="EntPE">
    <w:name w:val="EntPE"/>
    <w:basedOn w:val="Normal12"/>
    <w:rsid w:val="00753AEA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753AEA"/>
    <w:pPr>
      <w:spacing w:after="240"/>
    </w:pPr>
    <w:rPr>
      <w:noProof/>
      <w:lang w:val="en-GB"/>
    </w:rPr>
  </w:style>
  <w:style w:type="character" w:customStyle="1" w:styleId="Normal12Char">
    <w:name w:val="Normal12 Char"/>
    <w:basedOn w:val="DefaultParagraphFont"/>
    <w:link w:val="Normal12"/>
    <w:locked/>
    <w:rsid w:val="00753AEA"/>
    <w:rPr>
      <w:noProof/>
      <w:sz w:val="24"/>
    </w:rPr>
  </w:style>
  <w:style w:type="paragraph" w:customStyle="1" w:styleId="CommitteeAM">
    <w:name w:val="CommitteeAM"/>
    <w:basedOn w:val="Normal"/>
    <w:rsid w:val="00753AEA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753AEA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753AEA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rsid w:val="00753AEA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753AEA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6">
    <w:name w:val="Normal6"/>
    <w:basedOn w:val="Normal"/>
    <w:link w:val="Normal6Char"/>
    <w:rsid w:val="00753AEA"/>
    <w:pPr>
      <w:spacing w:after="120"/>
    </w:pPr>
    <w:rPr>
      <w:lang w:val="fr-FR"/>
    </w:rPr>
  </w:style>
  <w:style w:type="character" w:customStyle="1" w:styleId="Normal6Char">
    <w:name w:val="Normal6 Char"/>
    <w:basedOn w:val="DefaultParagraphFont"/>
    <w:link w:val="Normal6"/>
    <w:rsid w:val="00753AEA"/>
    <w:rPr>
      <w:sz w:val="24"/>
      <w:lang w:val="fr-FR"/>
    </w:rPr>
  </w:style>
  <w:style w:type="paragraph" w:customStyle="1" w:styleId="Normal12Italic">
    <w:name w:val="Normal12Italic"/>
    <w:basedOn w:val="Normal12"/>
    <w:rsid w:val="00753AEA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753AEA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753AEA"/>
    <w:pPr>
      <w:spacing w:before="240" w:after="240"/>
      <w:jc w:val="right"/>
    </w:pPr>
    <w:rPr>
      <w:noProof/>
      <w:szCs w:val="24"/>
      <w:lang w:val="fr-FR"/>
    </w:rPr>
  </w:style>
  <w:style w:type="paragraph" w:customStyle="1" w:styleId="ColumnHeading">
    <w:name w:val="ColumnHeading"/>
    <w:basedOn w:val="Normal"/>
    <w:rsid w:val="00753AEA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753AE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753AEA"/>
    <w:pPr>
      <w:spacing w:before="240"/>
      <w:jc w:val="center"/>
    </w:pPr>
    <w:rPr>
      <w:i/>
      <w:lang w:val="fr-FR"/>
    </w:rPr>
  </w:style>
  <w:style w:type="paragraph" w:customStyle="1" w:styleId="Default">
    <w:name w:val="Default"/>
    <w:rsid w:val="00753AEA"/>
    <w:pPr>
      <w:autoSpaceDE w:val="0"/>
      <w:autoSpaceDN w:val="0"/>
      <w:adjustRightInd w:val="0"/>
    </w:pPr>
    <w:rPr>
      <w:color w:val="000000"/>
      <w:sz w:val="24"/>
      <w:szCs w:val="24"/>
      <w:lang w:val="cs-CZ"/>
    </w:rPr>
  </w:style>
  <w:style w:type="paragraph" w:styleId="Footer">
    <w:name w:val="footer"/>
    <w:basedOn w:val="Normal"/>
    <w:link w:val="FooterChar"/>
    <w:uiPriority w:val="99"/>
    <w:rsid w:val="00753A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AEA"/>
    <w:rPr>
      <w:sz w:val="24"/>
      <w:lang w:val="cs-CZ"/>
    </w:rPr>
  </w:style>
  <w:style w:type="character" w:customStyle="1" w:styleId="FooterChar1">
    <w:name w:val="Footer Char1"/>
    <w:basedOn w:val="DefaultParagraphFont"/>
    <w:semiHidden/>
    <w:rsid w:val="00753AEA"/>
    <w:rPr>
      <w:sz w:val="24"/>
      <w:lang w:val="cs-CZ"/>
    </w:rPr>
  </w:style>
  <w:style w:type="character" w:customStyle="1" w:styleId="Footer2Middle">
    <w:name w:val="Footer2Middle"/>
    <w:rsid w:val="00753AEA"/>
    <w:rPr>
      <w:rFonts w:ascii="Arial" w:cs="Arial"/>
      <w:b w:val="0"/>
      <w:i/>
      <w:color w:val="C0C0C0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753AEA"/>
    <w:pPr>
      <w:widowControl/>
      <w:spacing w:before="120" w:after="120"/>
      <w:jc w:val="both"/>
    </w:pPr>
    <w:rPr>
      <w:sz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3AEA"/>
    <w:rPr>
      <w:lang w:val="fr-FR"/>
    </w:rPr>
  </w:style>
  <w:style w:type="character" w:styleId="CommentReference">
    <w:name w:val="annotation reference"/>
    <w:uiPriority w:val="99"/>
    <w:unhideWhenUsed/>
    <w:rsid w:val="00753AEA"/>
    <w:rPr>
      <w:rFonts w:ascii="Times New Roman" w:hAnsi="Times New Roman" w:cs="Times New Roman" w:hint="default"/>
      <w:sz w:val="16"/>
      <w:szCs w:val="16"/>
    </w:rPr>
  </w:style>
  <w:style w:type="character" w:styleId="Hyperlink">
    <w:name w:val="Hyperlink"/>
    <w:basedOn w:val="DefaultParagraphFont"/>
    <w:unhideWhenUsed/>
    <w:rsid w:val="00753AEA"/>
    <w:rPr>
      <w:color w:val="0000FF"/>
      <w:u w:val="single"/>
    </w:rPr>
  </w:style>
  <w:style w:type="paragraph" w:styleId="BalloonText">
    <w:name w:val="Balloon Text"/>
    <w:basedOn w:val="Normal"/>
    <w:link w:val="BalloonTextChar"/>
    <w:unhideWhenUsed/>
    <w:rsid w:val="00753AEA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753AEA"/>
    <w:rPr>
      <w:rFonts w:ascii="Segoe UI" w:hAnsi="Segoe UI" w:cs="Segoe UI"/>
      <w:sz w:val="18"/>
      <w:szCs w:val="18"/>
    </w:rPr>
  </w:style>
  <w:style w:type="character" w:customStyle="1" w:styleId="highlight-diff">
    <w:name w:val="highlight-diff"/>
    <w:basedOn w:val="DefaultParagraphFont"/>
    <w:rsid w:val="00753AEA"/>
  </w:style>
  <w:style w:type="character" w:styleId="FollowedHyperlink">
    <w:name w:val="FollowedHyperlink"/>
    <w:basedOn w:val="DefaultParagraphFont"/>
    <w:uiPriority w:val="99"/>
    <w:unhideWhenUsed/>
    <w:rsid w:val="00753AEA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753AEA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53AEA"/>
    <w:pPr>
      <w:widowControl w:val="0"/>
      <w:spacing w:before="0" w:after="0"/>
      <w:jc w:val="left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53AEA"/>
    <w:rPr>
      <w:b/>
      <w:bCs/>
      <w:lang w:val="fr-FR"/>
    </w:rPr>
  </w:style>
  <w:style w:type="paragraph" w:styleId="Revision">
    <w:name w:val="Revision"/>
    <w:uiPriority w:val="99"/>
    <w:semiHidden/>
    <w:rsid w:val="00753AEA"/>
    <w:rPr>
      <w:sz w:val="24"/>
    </w:rPr>
  </w:style>
  <w:style w:type="character" w:styleId="Emphasis">
    <w:name w:val="Emphasis"/>
    <w:basedOn w:val="DefaultParagraphFont"/>
    <w:uiPriority w:val="20"/>
    <w:qFormat/>
    <w:rsid w:val="00753AEA"/>
    <w:rPr>
      <w:i/>
      <w:iCs/>
    </w:rPr>
  </w:style>
  <w:style w:type="paragraph" w:customStyle="1" w:styleId="Normal24a">
    <w:name w:val="Normal24a"/>
    <w:basedOn w:val="Normal"/>
    <w:link w:val="Normal24aChar"/>
    <w:rsid w:val="00753AEA"/>
    <w:pPr>
      <w:spacing w:after="480"/>
    </w:pPr>
    <w:rPr>
      <w:rFonts w:ascii="Arial" w:hAnsi="Arial" w:cs="Arial"/>
    </w:rPr>
  </w:style>
  <w:style w:type="paragraph" w:customStyle="1" w:styleId="NormalBoldCenter">
    <w:name w:val="NormalBoldCenter"/>
    <w:basedOn w:val="Normal"/>
    <w:rsid w:val="00753AEA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753AEA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753AEA"/>
    <w:rPr>
      <w:szCs w:val="24"/>
      <w:lang w:val="en-GB"/>
    </w:rPr>
  </w:style>
  <w:style w:type="character" w:customStyle="1" w:styleId="CoverReferenceChar">
    <w:name w:val="CoverReference Char"/>
    <w:basedOn w:val="DefaultParagraphFont"/>
    <w:link w:val="CoverReference"/>
    <w:rsid w:val="00753AEA"/>
    <w:rPr>
      <w:rFonts w:ascii="Arial" w:hAnsi="Arial" w:cs="Arial"/>
      <w:b/>
      <w:sz w:val="24"/>
      <w:lang w:val="cs-CZ"/>
    </w:rPr>
  </w:style>
  <w:style w:type="paragraph" w:customStyle="1" w:styleId="Normal12a">
    <w:name w:val="Normal12a"/>
    <w:basedOn w:val="Normal"/>
    <w:rsid w:val="00753AEA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753AEA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753AEA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RollCallSymbols14pt">
    <w:name w:val="RollCallSymbols14pt"/>
    <w:basedOn w:val="Normal"/>
    <w:rsid w:val="00753AEA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753AEA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753AEA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753AEA"/>
    <w:pPr>
      <w:spacing w:before="120" w:after="120"/>
    </w:pPr>
    <w:rPr>
      <w:snapToGrid w:val="0"/>
      <w:sz w:val="16"/>
      <w:lang w:val="en-GB" w:eastAsia="en-US"/>
    </w:rPr>
  </w:style>
  <w:style w:type="character" w:customStyle="1" w:styleId="Normal24aChar">
    <w:name w:val="Normal24a Char"/>
    <w:basedOn w:val="CoverReferenceChar"/>
    <w:link w:val="Normal24a"/>
    <w:rsid w:val="00753AEA"/>
    <w:rPr>
      <w:rFonts w:ascii="Arial" w:hAnsi="Arial" w:cs="Arial"/>
      <w:b w:val="0"/>
      <w:sz w:val="24"/>
      <w:lang w:val="cs-CZ"/>
    </w:rPr>
  </w:style>
  <w:style w:type="paragraph" w:customStyle="1" w:styleId="Text1">
    <w:name w:val="Text 1"/>
    <w:basedOn w:val="Normal"/>
    <w:rsid w:val="00753AEA"/>
    <w:pPr>
      <w:widowControl/>
      <w:spacing w:before="120" w:after="120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CoverBold">
    <w:name w:val="CoverBold"/>
    <w:basedOn w:val="Normal"/>
    <w:rsid w:val="00753AEA"/>
    <w:pPr>
      <w:ind w:left="1416"/>
    </w:pPr>
    <w:rPr>
      <w:b/>
      <w:szCs w:val="24"/>
      <w:lang w:val="en-GB" w:eastAsia="en-US"/>
    </w:rPr>
  </w:style>
  <w:style w:type="paragraph" w:customStyle="1" w:styleId="NormalBold12b12a">
    <w:name w:val="NormalBold12b12a"/>
    <w:basedOn w:val="Normal"/>
    <w:next w:val="NormalBold"/>
    <w:rsid w:val="00753AEA"/>
    <w:pPr>
      <w:spacing w:before="240" w:after="240"/>
    </w:pPr>
    <w:rPr>
      <w:b/>
      <w:szCs w:val="24"/>
      <w:lang w:val="en-GB" w:eastAsia="en-US"/>
    </w:rPr>
  </w:style>
  <w:style w:type="paragraph" w:customStyle="1" w:styleId="Normal0">
    <w:name w:val="Normal0"/>
    <w:basedOn w:val="Normal"/>
    <w:rsid w:val="00753AEA"/>
    <w:rPr>
      <w:sz w:val="2"/>
      <w:szCs w:val="24"/>
      <w:lang w:val="en-GB" w:eastAsia="en-US"/>
    </w:rPr>
  </w:style>
  <w:style w:type="paragraph" w:customStyle="1" w:styleId="PMissingStyle">
    <w:name w:val="P_MissingStyle"/>
    <w:basedOn w:val="Normal"/>
    <w:rsid w:val="00753AEA"/>
    <w:pPr>
      <w:shd w:val="clear" w:color="auto" w:fill="000000"/>
    </w:pPr>
    <w:rPr>
      <w:color w:val="FFFFFF"/>
      <w:szCs w:val="24"/>
      <w:lang w:val="en-GB" w:eastAsia="en-US"/>
    </w:rPr>
  </w:style>
  <w:style w:type="paragraph" w:customStyle="1" w:styleId="NormalCenter12a">
    <w:name w:val="NormalCenter12a"/>
    <w:basedOn w:val="Normal"/>
    <w:rsid w:val="00753AEA"/>
    <w:pPr>
      <w:spacing w:after="240"/>
      <w:jc w:val="center"/>
    </w:pPr>
    <w:rPr>
      <w:lang w:val="en-GB"/>
    </w:rPr>
  </w:style>
  <w:style w:type="paragraph" w:customStyle="1" w:styleId="EPFooterLandscape">
    <w:name w:val="EPFooterLandscape"/>
    <w:rsid w:val="00753AEA"/>
    <w:pPr>
      <w:widowControl w:val="0"/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EPFooter2Landscape">
    <w:name w:val="EPFooter2Landscape"/>
    <w:rsid w:val="00753AEA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character" w:customStyle="1" w:styleId="EPFooter2Motto">
    <w:name w:val="EPFooter2Motto"/>
    <w:rsid w:val="00753AEA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753AEA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753AEA"/>
    <w:rPr>
      <w:color w:val="FFFFFF"/>
      <w:sz w:val="22"/>
      <w:shd w:val="clear" w:color="auto" w:fil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3AEA"/>
    <w:rPr>
      <w:color w:val="605E5C"/>
      <w:shd w:val="clear" w:color="auto" w:fill="E1DFDD"/>
    </w:rPr>
  </w:style>
  <w:style w:type="character" w:customStyle="1" w:styleId="FooterChar2">
    <w:name w:val="Footer Char2"/>
    <w:basedOn w:val="DefaultParagraphFont"/>
    <w:semiHidden/>
    <w:rsid w:val="00753AEA"/>
    <w:rPr>
      <w:sz w:val="24"/>
      <w:lang w:val="cs-CZ"/>
    </w:rPr>
  </w:style>
  <w:style w:type="paragraph" w:styleId="Title">
    <w:name w:val="Title"/>
    <w:basedOn w:val="Normal"/>
    <w:next w:val="Normal"/>
    <w:link w:val="TitleChar"/>
    <w:uiPriority w:val="10"/>
    <w:qFormat/>
    <w:rsid w:val="007E4CC8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E4CC8"/>
    <w:rPr>
      <w:rFonts w:ascii="Arial" w:eastAsiaTheme="majorEastAsia" w:hAnsi="Arial" w:cs="Arial"/>
      <w:b/>
      <w:bCs/>
      <w:kern w:val="28"/>
      <w:sz w:val="32"/>
      <w:szCs w:val="32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4CC8"/>
    <w:pPr>
      <w:widowControl/>
      <w:spacing w:after="60"/>
      <w:jc w:val="center"/>
      <w:outlineLvl w:val="1"/>
    </w:pPr>
    <w:rPr>
      <w:rFonts w:ascii="Arial" w:eastAsiaTheme="majorEastAsia" w:hAnsi="Arial" w:cs="Arial"/>
      <w:kern w:val="2"/>
      <w:szCs w:val="24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E4CC8"/>
    <w:rPr>
      <w:rFonts w:ascii="Arial" w:eastAsiaTheme="majorEastAsia" w:hAnsi="Arial" w:cs="Arial"/>
      <w:kern w:val="2"/>
      <w:sz w:val="24"/>
      <w:szCs w:val="24"/>
      <w:lang w:eastAsia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7E4CC8"/>
    <w:rPr>
      <w:b/>
      <w:bCs/>
    </w:rPr>
  </w:style>
  <w:style w:type="paragraph" w:styleId="NoSpacing">
    <w:name w:val="No Spacing"/>
    <w:basedOn w:val="Normal"/>
    <w:uiPriority w:val="1"/>
    <w:qFormat/>
    <w:rsid w:val="007E4CC8"/>
    <w:pPr>
      <w:widowControl/>
      <w:jc w:val="both"/>
    </w:pPr>
    <w:rPr>
      <w:rFonts w:eastAsiaTheme="minorHAnsi"/>
      <w:kern w:val="2"/>
      <w:szCs w:val="32"/>
      <w:lang w:val="en-GB" w:eastAsia="en-US"/>
      <w14:ligatures w14:val="standardContextual"/>
    </w:rPr>
  </w:style>
  <w:style w:type="paragraph" w:styleId="ListParagraph">
    <w:name w:val="List Paragraph"/>
    <w:aliases w:val="2,1st level - Bullet List Paragraph,List Paragraph1,Lettre d'introduction,Paragrafo elenco,Medium Grid 1 - Accent 21,Task Body,Viñetas (Inicio Parrafo),3 Txt tabla,Zerrenda-paragrafoa,Lista multicolor - Énfasis 11,Listaszerű bekezdés1"/>
    <w:basedOn w:val="Normal"/>
    <w:link w:val="ListParagraphChar"/>
    <w:uiPriority w:val="34"/>
    <w:qFormat/>
    <w:rsid w:val="007E4CC8"/>
    <w:pPr>
      <w:widowControl/>
      <w:ind w:left="720"/>
      <w:contextualSpacing/>
      <w:jc w:val="both"/>
    </w:pPr>
    <w:rPr>
      <w:rFonts w:eastAsiaTheme="minorHAnsi"/>
      <w:kern w:val="2"/>
      <w:szCs w:val="24"/>
      <w:lang w:val="en-GB"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7E4CC8"/>
    <w:pPr>
      <w:widowControl/>
      <w:jc w:val="both"/>
    </w:pPr>
    <w:rPr>
      <w:rFonts w:eastAsiaTheme="minorHAnsi"/>
      <w:i/>
      <w:kern w:val="2"/>
      <w:szCs w:val="24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E4CC8"/>
    <w:rPr>
      <w:rFonts w:eastAsiaTheme="minorHAnsi"/>
      <w:i/>
      <w:kern w:val="2"/>
      <w:sz w:val="24"/>
      <w:szCs w:val="24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CC8"/>
    <w:pPr>
      <w:widowControl/>
      <w:ind w:left="720" w:right="720"/>
      <w:jc w:val="both"/>
    </w:pPr>
    <w:rPr>
      <w:rFonts w:eastAsiaTheme="minorHAnsi"/>
      <w:b/>
      <w:i/>
      <w:kern w:val="2"/>
      <w:szCs w:val="2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CC8"/>
    <w:rPr>
      <w:rFonts w:eastAsiaTheme="minorHAnsi"/>
      <w:b/>
      <w:i/>
      <w:kern w:val="2"/>
      <w:sz w:val="24"/>
      <w:szCs w:val="22"/>
      <w:lang w:eastAsia="en-US"/>
      <w14:ligatures w14:val="standardContextual"/>
    </w:rPr>
  </w:style>
  <w:style w:type="character" w:styleId="SubtleEmphasis">
    <w:name w:val="Subtle Emphasis"/>
    <w:uiPriority w:val="19"/>
    <w:qFormat/>
    <w:rsid w:val="007E4CC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E4CC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E4CC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E4CC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E4CC8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AmDocTypeTab">
    <w:name w:val="AmDocTypeTab"/>
    <w:basedOn w:val="Normal"/>
    <w:rsid w:val="007E4CC8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7E4CC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E4CC8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7E4CC8"/>
  </w:style>
  <w:style w:type="paragraph" w:customStyle="1" w:styleId="Title1">
    <w:name w:val="Title1"/>
    <w:basedOn w:val="Normal"/>
    <w:next w:val="Normal"/>
    <w:uiPriority w:val="10"/>
    <w:qFormat/>
    <w:rsid w:val="007E4CC8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7E4CC8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7E4CC8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7E4CC8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7E4CC8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Reference1">
    <w:name w:val="Intense Reference1"/>
    <w:basedOn w:val="DefaultParagraphFont"/>
    <w:uiPriority w:val="32"/>
    <w:qFormat/>
    <w:rsid w:val="007E4CC8"/>
    <w:rPr>
      <w:b/>
      <w:bCs/>
      <w:smallCaps/>
      <w:color w:val="365F91"/>
      <w:spacing w:val="5"/>
    </w:rPr>
  </w:style>
  <w:style w:type="paragraph" w:customStyle="1" w:styleId="TechnicalBlockBase">
    <w:name w:val="TechnicalBlockBase"/>
    <w:link w:val="TechnicalBlockBaseChar"/>
    <w:rsid w:val="007E4CC8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cs-CZ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7E4CC8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cs-CZ" w:eastAsia="fr-BE"/>
    </w:rPr>
  </w:style>
  <w:style w:type="paragraph" w:customStyle="1" w:styleId="TBEntRefer">
    <w:name w:val="TBEntRefer"/>
    <w:basedOn w:val="TechnicalBlockBase"/>
    <w:link w:val="EntReferChar"/>
    <w:rsid w:val="007E4CC8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7E4CC8"/>
    <w:rPr>
      <w:rFonts w:ascii="Arial" w:hAnsi="Arial" w:cs="Arial"/>
      <w:b/>
      <w:sz w:val="23"/>
      <w:u w:color="606060"/>
      <w:lang w:val="cs-CZ" w:eastAsia="fr-BE"/>
    </w:rPr>
  </w:style>
  <w:style w:type="paragraph" w:customStyle="1" w:styleId="TBDistrbMarkers">
    <w:name w:val="TBDistrbMarkers"/>
    <w:basedOn w:val="TBEntRefer"/>
    <w:qFormat/>
    <w:rsid w:val="007E4CC8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7E4CC8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7E4CC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7E4CC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7E4CC8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7E4CC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7E4CC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7E4CC8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7E4CC8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7E4CC8"/>
    <w:rPr>
      <w:rFonts w:ascii="Arial" w:hAnsi="Arial" w:cs="Arial"/>
      <w:b/>
      <w:sz w:val="23"/>
      <w:u w:color="606060"/>
      <w:lang w:val="cs-CZ" w:eastAsia="fr-BE"/>
    </w:rPr>
  </w:style>
  <w:style w:type="paragraph" w:customStyle="1" w:styleId="TBSubjectTable">
    <w:name w:val="TBSubjectTable"/>
    <w:basedOn w:val="TechnicalBlockBase"/>
    <w:rsid w:val="007E4CC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7E4CC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7E4CC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7E4CC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7E4CC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uiPriority w:val="99"/>
    <w:unhideWhenUsed/>
    <w:rsid w:val="007E4CC8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unhideWhenUsed/>
    <w:rsid w:val="007E4CC8"/>
    <w:pPr>
      <w:widowControl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7E4CC8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E4CC8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7E4CC8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E4CC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E4CC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E4CC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E4CC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7E4CC8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7E4CC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7E4CC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7E4CC8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7E4CC8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7E4CC8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7E4CC8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7E4CC8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7E4CC8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7E4CC8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7E4CC8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7E4CC8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7E4CC8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7E4CC8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7E4CC8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7E4CC8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7E4CC8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7E4CC8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7E4CC8"/>
    <w:pPr>
      <w:widowControl/>
      <w:numPr>
        <w:ilvl w:val="1"/>
        <w:numId w:val="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7E4CC8"/>
    <w:pPr>
      <w:widowControl/>
      <w:numPr>
        <w:ilvl w:val="3"/>
        <w:numId w:val="3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7E4CC8"/>
    <w:pPr>
      <w:widowControl/>
      <w:numPr>
        <w:ilvl w:val="5"/>
        <w:numId w:val="3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7E4CC8"/>
    <w:pPr>
      <w:widowControl/>
      <w:numPr>
        <w:ilvl w:val="7"/>
        <w:numId w:val="3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7E4CC8"/>
    <w:pPr>
      <w:widowControl/>
      <w:numPr>
        <w:ilvl w:val="8"/>
        <w:numId w:val="3"/>
      </w:numPr>
      <w:tabs>
        <w:tab w:val="clear" w:pos="283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7E4CC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7E4CC8"/>
    <w:pPr>
      <w:widowControl/>
      <w:numPr>
        <w:ilvl w:val="2"/>
        <w:numId w:val="3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7E4CC8"/>
    <w:pPr>
      <w:widowControl/>
      <w:numPr>
        <w:ilvl w:val="4"/>
        <w:numId w:val="3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7E4CC8"/>
    <w:pPr>
      <w:widowControl/>
      <w:numPr>
        <w:ilvl w:val="6"/>
        <w:numId w:val="3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7E4CC8"/>
    <w:pPr>
      <w:widowControl/>
      <w:numPr>
        <w:numId w:val="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7E4CC8"/>
    <w:pPr>
      <w:widowControl/>
      <w:numPr>
        <w:ilvl w:val="1"/>
        <w:numId w:val="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7E4CC8"/>
    <w:pPr>
      <w:widowControl/>
      <w:numPr>
        <w:ilvl w:val="2"/>
        <w:numId w:val="4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7E4CC8"/>
    <w:pPr>
      <w:widowControl/>
      <w:numPr>
        <w:ilvl w:val="3"/>
        <w:numId w:val="4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7E4CC8"/>
    <w:pPr>
      <w:widowControl/>
      <w:numPr>
        <w:ilvl w:val="4"/>
        <w:numId w:val="4"/>
      </w:numPr>
      <w:tabs>
        <w:tab w:val="clear" w:pos="283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7E4CC8"/>
    <w:pPr>
      <w:widowControl/>
      <w:numPr>
        <w:numId w:val="5"/>
      </w:numPr>
      <w:tabs>
        <w:tab w:val="clear" w:pos="56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E4CC8"/>
    <w:pPr>
      <w:widowControl/>
      <w:numPr>
        <w:numId w:val="6"/>
      </w:numPr>
      <w:tabs>
        <w:tab w:val="clear" w:pos="113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E4CC8"/>
    <w:pPr>
      <w:widowControl/>
      <w:numPr>
        <w:numId w:val="7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E4CC8"/>
    <w:pPr>
      <w:widowControl/>
      <w:numPr>
        <w:numId w:val="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E4CC8"/>
    <w:pPr>
      <w:widowControl/>
      <w:numPr>
        <w:numId w:val="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7E4CC8"/>
    <w:pPr>
      <w:widowControl/>
      <w:numPr>
        <w:numId w:val="1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7E4CC8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7E4CC8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7E4CC8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7E4CC8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7E4CC8"/>
    <w:pPr>
      <w:numPr>
        <w:numId w:val="15"/>
      </w:numPr>
      <w:tabs>
        <w:tab w:val="clear" w:pos="567"/>
        <w:tab w:val="num" w:pos="720"/>
      </w:tabs>
      <w:ind w:left="720" w:hanging="360"/>
    </w:pPr>
  </w:style>
  <w:style w:type="paragraph" w:customStyle="1" w:styleId="DashEqual1">
    <w:name w:val="Dash Equal 1"/>
    <w:basedOn w:val="Dash1"/>
    <w:rsid w:val="007E4CC8"/>
    <w:pPr>
      <w:numPr>
        <w:numId w:val="16"/>
      </w:numPr>
      <w:tabs>
        <w:tab w:val="clear" w:pos="1134"/>
        <w:tab w:val="num" w:pos="720"/>
      </w:tabs>
      <w:ind w:left="720" w:hanging="360"/>
    </w:pPr>
  </w:style>
  <w:style w:type="paragraph" w:customStyle="1" w:styleId="DashEqual2">
    <w:name w:val="Dash Equal 2"/>
    <w:basedOn w:val="Dash2"/>
    <w:rsid w:val="007E4CC8"/>
    <w:pPr>
      <w:numPr>
        <w:numId w:val="17"/>
      </w:numPr>
      <w:tabs>
        <w:tab w:val="clear" w:pos="1701"/>
        <w:tab w:val="num" w:pos="1080"/>
      </w:tabs>
      <w:ind w:left="1080" w:hanging="360"/>
    </w:pPr>
  </w:style>
  <w:style w:type="paragraph" w:customStyle="1" w:styleId="DashEqual3">
    <w:name w:val="Dash Equal 3"/>
    <w:basedOn w:val="Dash3"/>
    <w:rsid w:val="007E4CC8"/>
    <w:pPr>
      <w:numPr>
        <w:numId w:val="18"/>
      </w:numPr>
      <w:tabs>
        <w:tab w:val="clear" w:pos="2268"/>
        <w:tab w:val="num" w:pos="1080"/>
      </w:tabs>
      <w:ind w:left="1080" w:hanging="360"/>
    </w:pPr>
  </w:style>
  <w:style w:type="paragraph" w:customStyle="1" w:styleId="DashEqual4">
    <w:name w:val="Dash Equal 4"/>
    <w:basedOn w:val="Dash4"/>
    <w:rsid w:val="007E4CC8"/>
    <w:pPr>
      <w:numPr>
        <w:numId w:val="19"/>
      </w:numPr>
      <w:tabs>
        <w:tab w:val="clear" w:pos="2835"/>
        <w:tab w:val="num" w:pos="1440"/>
      </w:tabs>
      <w:ind w:left="1440" w:hanging="360"/>
    </w:pPr>
  </w:style>
  <w:style w:type="character" w:customStyle="1" w:styleId="Marker">
    <w:name w:val="Marker"/>
    <w:basedOn w:val="DefaultParagraphFont"/>
    <w:rsid w:val="007E4CC8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E4CC8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7E4CC8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7E4CC8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123">
    <w:name w:val="Heading 123"/>
    <w:basedOn w:val="HeadingLeft"/>
    <w:next w:val="Normal"/>
    <w:rsid w:val="007E4CC8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7E4CC8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Centered">
    <w:name w:val="Heading Centered"/>
    <w:basedOn w:val="HeadingLeft"/>
    <w:next w:val="Normal"/>
    <w:rsid w:val="007E4CC8"/>
    <w:pPr>
      <w:jc w:val="center"/>
    </w:pPr>
  </w:style>
  <w:style w:type="paragraph" w:customStyle="1" w:styleId="Jardin">
    <w:name w:val="Jardin"/>
    <w:basedOn w:val="Normal"/>
    <w:rsid w:val="007E4CC8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7E4CC8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7E4CC8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7E4CC8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7E4CC8"/>
    <w:rPr>
      <w:b/>
    </w:rPr>
  </w:style>
  <w:style w:type="paragraph" w:customStyle="1" w:styleId="Annex">
    <w:name w:val="Annex"/>
    <w:basedOn w:val="Normal"/>
    <w:next w:val="Normal"/>
    <w:rsid w:val="007E4CC8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7E4CC8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7E4CC8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7E4CC8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7E4CC8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7E4CC8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E4CC8"/>
    <w:rPr>
      <w:rFonts w:eastAsia="Calibr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7E4CC8"/>
    <w:rPr>
      <w:vertAlign w:val="superscript"/>
    </w:rPr>
  </w:style>
  <w:style w:type="character" w:customStyle="1" w:styleId="ListParagraphChar">
    <w:name w:val="List Paragraph Char"/>
    <w:aliases w:val="2 Char,1st level - Bullet List Paragraph Char,List Paragraph1 Char,Lettre d'introduction Char,Paragrafo elenco Char,Medium Grid 1 - Accent 21 Char,Task Body Char,Viñetas (Inicio Parrafo) Char,3 Txt tabla Char,Zerrenda-paragrafoa Char"/>
    <w:link w:val="ListParagraph"/>
    <w:uiPriority w:val="34"/>
    <w:qFormat/>
    <w:locked/>
    <w:rsid w:val="007E4CC8"/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7E4CC8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7E4CC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E4CC8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E4CC8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E4CC8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E4CC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E4CC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7E4CC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E4CC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E4CC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E4CC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7E4CC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7E4CC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7E4CC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7E4CC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7E4CC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7E4CC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7E4CC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7E4CC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7E4CC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E4CC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E4CC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E4CC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7E4CC8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7E4CC8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7E4CC8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7E4CC8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7E4CC8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E4CC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7E4CC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7E4CC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7E4CC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7E4CC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7E4CC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E4CC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7E4CC8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7E4CC8"/>
    <w:pPr>
      <w:widowControl/>
      <w:numPr>
        <w:numId w:val="24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7E4CC8"/>
    <w:pPr>
      <w:widowControl/>
      <w:numPr>
        <w:numId w:val="25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7E4CC8"/>
    <w:pPr>
      <w:widowControl/>
      <w:numPr>
        <w:numId w:val="26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7E4CC8"/>
    <w:pPr>
      <w:widowControl/>
      <w:numPr>
        <w:numId w:val="27"/>
      </w:numPr>
      <w:tabs>
        <w:tab w:val="clear" w:pos="3118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7E4CC8"/>
    <w:pPr>
      <w:widowControl/>
      <w:numPr>
        <w:numId w:val="28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E4CC8"/>
    <w:pPr>
      <w:widowControl/>
      <w:numPr>
        <w:numId w:val="29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E4CC8"/>
    <w:pPr>
      <w:widowControl/>
      <w:numPr>
        <w:numId w:val="30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E4CC8"/>
    <w:pPr>
      <w:widowControl/>
      <w:numPr>
        <w:numId w:val="31"/>
      </w:numPr>
      <w:tabs>
        <w:tab w:val="clear" w:pos="5386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7E4CC8"/>
    <w:pPr>
      <w:widowControl/>
      <w:numPr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7E4CC8"/>
    <w:pPr>
      <w:widowControl/>
      <w:numPr>
        <w:ilvl w:val="1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7E4CC8"/>
    <w:pPr>
      <w:widowControl/>
      <w:numPr>
        <w:ilvl w:val="2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7E4CC8"/>
    <w:pPr>
      <w:widowControl/>
      <w:numPr>
        <w:ilvl w:val="3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7E4CC8"/>
    <w:pPr>
      <w:widowControl/>
      <w:numPr>
        <w:ilvl w:val="4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7E4CC8"/>
    <w:pPr>
      <w:widowControl/>
      <w:numPr>
        <w:ilvl w:val="5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7E4CC8"/>
    <w:pPr>
      <w:widowControl/>
      <w:numPr>
        <w:ilvl w:val="6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E4CC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E4CC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E4CC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E4CC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E4CC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E4CC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E4CC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7E4CC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E4CC8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E4CC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E4CC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E4CC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7E4CC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7E4CC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7E4CC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E4CC8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E4CC8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E4CC8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E4CC8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7E4CC8"/>
    <w:pPr>
      <w:widowControl/>
      <w:numPr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7E4CC8"/>
    <w:pPr>
      <w:widowControl/>
      <w:numPr>
        <w:ilvl w:val="2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7E4CC8"/>
    <w:pPr>
      <w:widowControl/>
      <w:numPr>
        <w:ilvl w:val="4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7E4CC8"/>
    <w:pPr>
      <w:widowControl/>
      <w:numPr>
        <w:ilvl w:val="6"/>
        <w:numId w:val="33"/>
      </w:numPr>
      <w:tabs>
        <w:tab w:val="clear" w:pos="2551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7E4CC8"/>
    <w:pPr>
      <w:widowControl/>
      <w:numPr>
        <w:ilvl w:val="1"/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7E4CC8"/>
    <w:pPr>
      <w:widowControl/>
      <w:numPr>
        <w:ilvl w:val="3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7E4CC8"/>
    <w:pPr>
      <w:widowControl/>
      <w:numPr>
        <w:ilvl w:val="5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7E4CC8"/>
    <w:pPr>
      <w:widowControl/>
      <w:numPr>
        <w:ilvl w:val="7"/>
        <w:numId w:val="33"/>
      </w:numPr>
      <w:tabs>
        <w:tab w:val="clear" w:pos="2551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7E4CC8"/>
    <w:pPr>
      <w:widowControl/>
      <w:numPr>
        <w:ilvl w:val="8"/>
        <w:numId w:val="33"/>
      </w:numPr>
      <w:tabs>
        <w:tab w:val="clear" w:pos="3118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7E4CC8"/>
    <w:pPr>
      <w:widowControl/>
      <w:numPr>
        <w:numId w:val="34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E4CC8"/>
    <w:pPr>
      <w:widowControl/>
      <w:numPr>
        <w:numId w:val="35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E4CC8"/>
    <w:pPr>
      <w:widowControl/>
      <w:numPr>
        <w:numId w:val="36"/>
      </w:numPr>
      <w:tabs>
        <w:tab w:val="clear" w:pos="4252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E4CC8"/>
    <w:pPr>
      <w:widowControl/>
      <w:numPr>
        <w:numId w:val="37"/>
      </w:numPr>
      <w:tabs>
        <w:tab w:val="clear" w:pos="4819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E4CC8"/>
    <w:pPr>
      <w:widowControl/>
      <w:numPr>
        <w:numId w:val="38"/>
      </w:numPr>
      <w:tabs>
        <w:tab w:val="clear" w:pos="5386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7E4CC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7E4CC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E4CC8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7E4CC8"/>
    <w:pPr>
      <w:widowControl/>
      <w:numPr>
        <w:numId w:val="39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E4CC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E4CC8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E4CC8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E4CC8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E4CC8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E4CC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E4CC8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7E4CC8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7E4CC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E4CC8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7E4CC8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7E4CC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7E4CC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E4CC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7E4CC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7E4CC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7E4CC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E4CC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E4CC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7E4CC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E4CC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E4CC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7E4CC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E4CC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E4CC8"/>
    <w:pPr>
      <w:spacing w:before="240"/>
    </w:pPr>
  </w:style>
  <w:style w:type="paragraph" w:customStyle="1" w:styleId="Accordtitre">
    <w:name w:val="Accord titre"/>
    <w:basedOn w:val="Normal"/>
    <w:rsid w:val="007E4CC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E4CC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E4CC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E4CC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E4CC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E4CC8"/>
    <w:pPr>
      <w:spacing w:after="240"/>
    </w:pPr>
  </w:style>
  <w:style w:type="paragraph" w:customStyle="1" w:styleId="Annexetitre">
    <w:name w:val="Annexe titre"/>
    <w:basedOn w:val="Normal"/>
    <w:next w:val="Normal"/>
    <w:rsid w:val="007E4CC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7E4CC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7E4CC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E4CC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E4CC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E4CC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E4CC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E4CC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E4CC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E4CC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E4CC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E4CC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E4CC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E4CC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E4CC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E4CC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E4CC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E4CC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E4CC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E4CC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E4CC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E4CC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E4CC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E4CC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E4CC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E4CC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E4CC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E4CC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7E4CC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cs-CZ" w:eastAsia="en-US"/>
    </w:rPr>
  </w:style>
  <w:style w:type="paragraph" w:customStyle="1" w:styleId="CommentFwdQuotedText">
    <w:name w:val="CommentFwdQuotedText"/>
    <w:basedOn w:val="Normal"/>
    <w:rsid w:val="007E4CC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E4CC8"/>
    <w:pPr>
      <w:pBdr>
        <w:top w:val="none" w:sz="0" w:space="0" w:color="auto"/>
        <w:left w:val="single" w:sz="4" w:space="20" w:color="auto"/>
      </w:pBdr>
    </w:pPr>
  </w:style>
  <w:style w:type="character" w:customStyle="1" w:styleId="TitleChar1">
    <w:name w:val="Title Char1"/>
    <w:basedOn w:val="DefaultParagraphFont"/>
    <w:rsid w:val="007E4CC8"/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</w:rPr>
  </w:style>
  <w:style w:type="character" w:customStyle="1" w:styleId="SubtitleChar1">
    <w:name w:val="Subtitle Char1"/>
    <w:basedOn w:val="DefaultParagraphFont"/>
    <w:rsid w:val="007E4CC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cs-CZ"/>
    </w:rPr>
  </w:style>
  <w:style w:type="character" w:customStyle="1" w:styleId="QuoteChar1">
    <w:name w:val="Quote Char1"/>
    <w:basedOn w:val="DefaultParagraphFont"/>
    <w:uiPriority w:val="29"/>
    <w:rsid w:val="007E4CC8"/>
    <w:rPr>
      <w:i/>
      <w:iCs/>
      <w:color w:val="404040" w:themeColor="text1" w:themeTint="BF"/>
      <w:sz w:val="24"/>
      <w:lang w:val="cs-CZ"/>
    </w:rPr>
  </w:style>
  <w:style w:type="character" w:customStyle="1" w:styleId="IntenseQuoteChar1">
    <w:name w:val="Intense Quote Char1"/>
    <w:basedOn w:val="DefaultParagraphFont"/>
    <w:uiPriority w:val="30"/>
    <w:rsid w:val="007E4CC8"/>
    <w:rPr>
      <w:i/>
      <w:iCs/>
      <w:color w:val="5B9BD5" w:themeColor="accent1"/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7E4CC8"/>
    <w:rPr>
      <w:color w:val="605E5C"/>
      <w:shd w:val="clear" w:color="auto" w:fill="E1DFDD"/>
    </w:rPr>
  </w:style>
  <w:style w:type="paragraph" w:customStyle="1" w:styleId="HeadingDocType24a">
    <w:name w:val="HeadingDocType24a"/>
    <w:basedOn w:val="Normal"/>
    <w:rsid w:val="00FF5FB4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FF5FB4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FF5FB4"/>
    <w:pPr>
      <w:jc w:val="center"/>
    </w:pPr>
  </w:style>
  <w:style w:type="paragraph" w:customStyle="1" w:styleId="LineSingle">
    <w:name w:val="LineSingle"/>
    <w:basedOn w:val="Normal"/>
    <w:next w:val="Normal"/>
    <w:rsid w:val="00FF5FB4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FF5FB4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42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355</Words>
  <Characters>2220</Characters>
  <Application>Microsoft Office Word</Application>
  <DocSecurity>0</DocSecurity>
  <Lines>96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2026-03-04T14:53:00Z</dcterms:created>
  <dcterms:modified xsi:type="dcterms:W3CDTF">2026-03-04T14:53:00Z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P10_TA(2025)0324_</vt:lpwstr>
  </property>
  <property fmtid="{D5CDD505-2E9C-101B-9397-08002B2CF9AE}" pid="4" name="&lt;Type&gt;">
    <vt:lpwstr>RR</vt:lpwstr>
  </property>
</Properties>
</file>