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4119" w14:paraId="3F4A31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08B12E" w14:textId="77777777" w:rsidR="00751A4A" w:rsidRPr="00FC4119" w:rsidRDefault="006F4C0E" w:rsidP="0010095E">
            <w:pPr>
              <w:pStyle w:val="EPName"/>
            </w:pPr>
            <w:r w:rsidRPr="00FC4119">
              <w:t>Europa-Parlamentet</w:t>
            </w:r>
          </w:p>
          <w:p w14:paraId="1E820E2D" w14:textId="77777777" w:rsidR="00751A4A" w:rsidRPr="00FC41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4119">
              <w:t>2024</w:t>
            </w:r>
            <w:r w:rsidR="00817416" w:rsidRPr="00FC4119">
              <w:t>-202</w:t>
            </w:r>
            <w:r w:rsidRPr="00FC4119">
              <w:t>9</w:t>
            </w:r>
          </w:p>
        </w:tc>
        <w:tc>
          <w:tcPr>
            <w:tcW w:w="2268" w:type="dxa"/>
            <w:shd w:val="clear" w:color="auto" w:fill="auto"/>
          </w:tcPr>
          <w:p w14:paraId="7E668D5D" w14:textId="77777777" w:rsidR="00751A4A" w:rsidRPr="00FC4119" w:rsidRDefault="00187494" w:rsidP="0010095E">
            <w:pPr>
              <w:pStyle w:val="EPLogo"/>
            </w:pPr>
            <w:r w:rsidRPr="00FC4119">
              <w:rPr>
                <w:noProof/>
                <w:lang w:eastAsia="ja-JP"/>
              </w:rPr>
              <w:drawing>
                <wp:inline distT="0" distB="0" distL="0" distR="0" wp14:anchorId="2F96BC51" wp14:editId="44C331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639474" w14:textId="77777777" w:rsidR="00D058B8" w:rsidRPr="00FC4119" w:rsidRDefault="00D058B8" w:rsidP="004C5D52">
      <w:pPr>
        <w:pStyle w:val="LineTop"/>
      </w:pPr>
    </w:p>
    <w:p w14:paraId="3342E9BA" w14:textId="77777777" w:rsidR="00680577" w:rsidRPr="00FC4119" w:rsidRDefault="006F4C0E" w:rsidP="00680577">
      <w:pPr>
        <w:pStyle w:val="EPBodyTA1"/>
      </w:pPr>
      <w:r w:rsidRPr="00FC4119">
        <w:t>VEDTAGNE TEKSTER</w:t>
      </w:r>
    </w:p>
    <w:p w14:paraId="290D5844" w14:textId="77777777" w:rsidR="00D058B8" w:rsidRPr="00FC4119" w:rsidRDefault="00D058B8" w:rsidP="00D058B8">
      <w:pPr>
        <w:pStyle w:val="LineBottom"/>
      </w:pPr>
    </w:p>
    <w:p w14:paraId="7FFFFE6B" w14:textId="760D5A24" w:rsidR="006F4C0E" w:rsidRPr="00FC4119" w:rsidRDefault="006F4C0E" w:rsidP="006F4C0E">
      <w:pPr>
        <w:pStyle w:val="ATHeading1"/>
      </w:pPr>
      <w:bookmarkStart w:id="0" w:name="TANumber"/>
      <w:r w:rsidRPr="00FC4119">
        <w:t>P10_</w:t>
      </w:r>
      <w:proofErr w:type="gramStart"/>
      <w:r w:rsidRPr="00FC4119">
        <w:t>TA(</w:t>
      </w:r>
      <w:proofErr w:type="gramEnd"/>
      <w:r w:rsidRPr="00FC4119">
        <w:t>2025)0</w:t>
      </w:r>
      <w:bookmarkEnd w:id="0"/>
      <w:r w:rsidR="00AD5041">
        <w:t>324</w:t>
      </w:r>
    </w:p>
    <w:p w14:paraId="1AD04749" w14:textId="44CB5E47" w:rsidR="006F4C0E" w:rsidRPr="00FC4119" w:rsidRDefault="00297C64" w:rsidP="00297C64">
      <w:pPr>
        <w:pStyle w:val="ATHeading2"/>
      </w:pPr>
      <w:r w:rsidRPr="00A845DB">
        <w:rPr>
          <w:bCs/>
        </w:rPr>
        <w:t>Visse krav til virksomheders bæredygtighedsrapportering og due diligence i forbindelse med</w:t>
      </w:r>
      <w:r>
        <w:rPr>
          <w:bCs/>
        </w:rPr>
        <w:t xml:space="preserve"> </w:t>
      </w:r>
      <w:r w:rsidRPr="00A845DB">
        <w:rPr>
          <w:bCs/>
        </w:rPr>
        <w:t>bæredygtighed</w:t>
      </w:r>
    </w:p>
    <w:p w14:paraId="434B6B19" w14:textId="77777777" w:rsidR="006F4C0E" w:rsidRPr="00FC4119" w:rsidRDefault="006F4C0E" w:rsidP="006F4C0E">
      <w:pPr>
        <w:rPr>
          <w:i/>
          <w:vanish/>
        </w:rPr>
      </w:pPr>
      <w:r w:rsidRPr="00FC4119">
        <w:rPr>
          <w:i/>
        </w:rPr>
        <w:fldChar w:fldCharType="begin"/>
      </w:r>
      <w:r w:rsidRPr="00FC4119">
        <w:rPr>
          <w:i/>
        </w:rPr>
        <w:instrText xml:space="preserve"> TC"(</w:instrText>
      </w:r>
      <w:bookmarkStart w:id="1" w:name="DocNumber"/>
      <w:r w:rsidRPr="00FC4119">
        <w:rPr>
          <w:i/>
        </w:rPr>
        <w:instrText>A10-0197/2025</w:instrText>
      </w:r>
      <w:bookmarkEnd w:id="1"/>
      <w:r w:rsidRPr="00FC4119">
        <w:rPr>
          <w:i/>
        </w:rPr>
        <w:instrText xml:space="preserve"> - Ordfører: </w:instrText>
      </w:r>
      <w:proofErr w:type="spellStart"/>
      <w:r w:rsidRPr="00FC4119">
        <w:rPr>
          <w:i/>
        </w:rPr>
        <w:instrText>Jörgen</w:instrText>
      </w:r>
      <w:proofErr w:type="spellEnd"/>
      <w:r w:rsidRPr="00FC4119">
        <w:rPr>
          <w:i/>
        </w:rPr>
        <w:instrText xml:space="preserve"> </w:instrText>
      </w:r>
      <w:proofErr w:type="spellStart"/>
      <w:r w:rsidRPr="00FC4119">
        <w:rPr>
          <w:i/>
        </w:rPr>
        <w:instrText>Warborn</w:instrText>
      </w:r>
      <w:proofErr w:type="spellEnd"/>
      <w:r w:rsidRPr="00FC4119">
        <w:rPr>
          <w:i/>
        </w:rPr>
        <w:instrText xml:space="preserve">)"\l3 \n&gt; \* MERGEFORMAT </w:instrText>
      </w:r>
      <w:r w:rsidRPr="00FC4119">
        <w:rPr>
          <w:i/>
        </w:rPr>
        <w:fldChar w:fldCharType="end"/>
      </w:r>
    </w:p>
    <w:p w14:paraId="3F588509" w14:textId="77777777" w:rsidR="006F4C0E" w:rsidRPr="00FC4119" w:rsidRDefault="006F4C0E" w:rsidP="006F4C0E">
      <w:pPr>
        <w:rPr>
          <w:vanish/>
        </w:rPr>
      </w:pPr>
      <w:bookmarkStart w:id="2" w:name="Commission"/>
      <w:r w:rsidRPr="00FC4119">
        <w:rPr>
          <w:vanish/>
        </w:rPr>
        <w:t>Retsudvalget</w:t>
      </w:r>
      <w:bookmarkEnd w:id="2"/>
    </w:p>
    <w:p w14:paraId="41F473C6" w14:textId="77777777" w:rsidR="006F4C0E" w:rsidRPr="00FC4119" w:rsidRDefault="006F4C0E" w:rsidP="006F4C0E">
      <w:pPr>
        <w:rPr>
          <w:vanish/>
        </w:rPr>
      </w:pPr>
      <w:bookmarkStart w:id="3" w:name="PE"/>
      <w:r w:rsidRPr="00FC4119">
        <w:rPr>
          <w:vanish/>
        </w:rPr>
        <w:t>PE774.282</w:t>
      </w:r>
      <w:bookmarkEnd w:id="3"/>
    </w:p>
    <w:p w14:paraId="5A0A5409" w14:textId="23650CAF" w:rsidR="006F4C0E" w:rsidRPr="00FC4119" w:rsidRDefault="006F4C0E" w:rsidP="006F4C0E">
      <w:pPr>
        <w:pStyle w:val="ATHeading3"/>
      </w:pPr>
      <w:bookmarkStart w:id="4" w:name="Sujet"/>
      <w:r w:rsidRPr="00FC4119">
        <w:t xml:space="preserve">Europa-Parlamentets lovgivningsmæssige beslutning af </w:t>
      </w:r>
      <w:r w:rsidR="00E62119">
        <w:t>16</w:t>
      </w:r>
      <w:r w:rsidRPr="00FC4119">
        <w:t>.</w:t>
      </w:r>
      <w:r w:rsidR="00297C64">
        <w:t xml:space="preserve"> </w:t>
      </w:r>
      <w:r w:rsidR="00B44D12">
        <w:t>december</w:t>
      </w:r>
      <w:r w:rsidRPr="00FC4119">
        <w:t xml:space="preserve"> 2025 om forslag til Europa-Parlamentets og Rådets direktiv om ændring af direktiv 2006/43/EF, 2013/34/EU, (EU) 2022/2464 og (EU) 2024/1760 for så vidt angår visse krav til virksomheders bæredygtighedsrapportering og due diligence i forbindelse med bæredygtighed</w:t>
      </w:r>
      <w:bookmarkEnd w:id="4"/>
      <w:r w:rsidRPr="00FC4119">
        <w:t xml:space="preserve"> </w:t>
      </w:r>
      <w:bookmarkStart w:id="5" w:name="References"/>
      <w:r w:rsidRPr="00FC4119">
        <w:t>(</w:t>
      </w:r>
      <w:proofErr w:type="gramStart"/>
      <w:r w:rsidRPr="00FC4119">
        <w:t>COM(</w:t>
      </w:r>
      <w:proofErr w:type="gramEnd"/>
      <w:r w:rsidRPr="00FC4119">
        <w:t>2025)0081 – C10-0037/2025 – 2025/0045(COD))</w:t>
      </w:r>
      <w:bookmarkEnd w:id="5"/>
    </w:p>
    <w:p w14:paraId="20779634" w14:textId="77777777" w:rsidR="001432EF" w:rsidRPr="00FC4119" w:rsidRDefault="001432EF" w:rsidP="001432EF">
      <w:pPr>
        <w:pStyle w:val="NormalBold"/>
      </w:pPr>
      <w:r w:rsidRPr="00FC4119">
        <w:t>(Almindelig lovgivningsprocedure: førstebehandling)</w:t>
      </w:r>
    </w:p>
    <w:p w14:paraId="26C9FC98" w14:textId="77777777" w:rsidR="001432EF" w:rsidRPr="00FC4119" w:rsidRDefault="001432EF" w:rsidP="001432EF">
      <w:pPr>
        <w:pStyle w:val="EPComma"/>
      </w:pPr>
      <w:r w:rsidRPr="00FC4119">
        <w:rPr>
          <w:i/>
        </w:rPr>
        <w:t>Europa-Parlamentet,</w:t>
      </w:r>
    </w:p>
    <w:p w14:paraId="2DEC136F" w14:textId="77777777" w:rsidR="001432EF" w:rsidRPr="00FC4119" w:rsidRDefault="001432EF" w:rsidP="001432EF">
      <w:pPr>
        <w:pStyle w:val="NormalHanging12a"/>
      </w:pPr>
      <w:r w:rsidRPr="00FC4119">
        <w:t>–</w:t>
      </w:r>
      <w:r w:rsidRPr="00FC4119">
        <w:tab/>
        <w:t>der henviser til Kommissionens forslag til Europa-Parlamentet og Rådet (</w:t>
      </w:r>
      <w:proofErr w:type="gramStart"/>
      <w:r w:rsidRPr="00FC4119">
        <w:t>COM(</w:t>
      </w:r>
      <w:proofErr w:type="gramEnd"/>
      <w:r w:rsidRPr="00FC4119">
        <w:t>2025)0081),</w:t>
      </w:r>
    </w:p>
    <w:p w14:paraId="54B25659" w14:textId="1D76ABE6" w:rsidR="001432EF" w:rsidRPr="00FC4119" w:rsidRDefault="001432EF" w:rsidP="001432EF">
      <w:pPr>
        <w:pStyle w:val="NormalHanging12a"/>
      </w:pPr>
      <w:r w:rsidRPr="00FC4119">
        <w:t>–</w:t>
      </w:r>
      <w:r w:rsidRPr="00FC4119">
        <w:tab/>
        <w:t xml:space="preserve">der henviser til artikel 294, stk. 2, </w:t>
      </w:r>
      <w:r w:rsidR="00B8453A">
        <w:t xml:space="preserve">og </w:t>
      </w:r>
      <w:r w:rsidRPr="00FC4119">
        <w:t>artikel 50, og artikel 114 i traktaten om Den Europæiske Unions funktionsmåde, på grundlag af hvilke Kommissionen har forelagt forslaget for Parlamentet (C10</w:t>
      </w:r>
      <w:r w:rsidRPr="00FC4119">
        <w:noBreakHyphen/>
        <w:t>0037/2025),</w:t>
      </w:r>
    </w:p>
    <w:p w14:paraId="58A78A0B" w14:textId="77777777" w:rsidR="001432EF" w:rsidRPr="00FC4119" w:rsidRDefault="001432EF" w:rsidP="001432EF">
      <w:pPr>
        <w:pStyle w:val="NormalHanging12a"/>
      </w:pPr>
      <w:r w:rsidRPr="00FC4119">
        <w:t>–</w:t>
      </w:r>
      <w:r w:rsidRPr="00FC4119">
        <w:tab/>
        <w:t>der henviser til artikel 294, stk. 3, i traktaten om Den Europæiske Unions funktionsmåde,</w:t>
      </w:r>
    </w:p>
    <w:p w14:paraId="2E67AF8C" w14:textId="2BAC94B2" w:rsidR="001432EF" w:rsidRPr="00FC4119" w:rsidRDefault="001432EF" w:rsidP="001432EF">
      <w:pPr>
        <w:pStyle w:val="NormalHanging12a"/>
      </w:pPr>
      <w:r w:rsidRPr="00FC4119">
        <w:t>–</w:t>
      </w:r>
      <w:r w:rsidRPr="00FC4119">
        <w:tab/>
        <w:t xml:space="preserve">der henviser til udtalelse </w:t>
      </w:r>
      <w:r w:rsidR="00E62119">
        <w:t xml:space="preserve">af 20. august 2025 </w:t>
      </w:r>
      <w:r w:rsidRPr="00FC4119">
        <w:t>fra Det Europæiske Økonomiske og Sociale Udvalg</w:t>
      </w:r>
      <w:r w:rsidRPr="00FC4119">
        <w:rPr>
          <w:rStyle w:val="FootnoteReference"/>
        </w:rPr>
        <w:footnoteReference w:id="1"/>
      </w:r>
      <w:r w:rsidRPr="00FC4119">
        <w:t>,</w:t>
      </w:r>
    </w:p>
    <w:p w14:paraId="7DEE42FB" w14:textId="7EF0C86E" w:rsidR="00394A80" w:rsidRDefault="00394A80" w:rsidP="001432EF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11. december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5AC668BF" w14:textId="642F1966" w:rsidR="001432EF" w:rsidRPr="00FC4119" w:rsidRDefault="001432EF" w:rsidP="001432EF">
      <w:pPr>
        <w:pStyle w:val="NormalHanging12a"/>
      </w:pPr>
      <w:r w:rsidRPr="00FC4119">
        <w:t>–</w:t>
      </w:r>
      <w:r w:rsidRPr="00FC4119">
        <w:tab/>
        <w:t>der henviser til forretningsordenens artikel 60,</w:t>
      </w:r>
    </w:p>
    <w:p w14:paraId="08AD4DE4" w14:textId="77777777" w:rsidR="001432EF" w:rsidRPr="00FC4119" w:rsidRDefault="001432EF" w:rsidP="001432EF">
      <w:pPr>
        <w:pStyle w:val="NormalHanging12a"/>
      </w:pPr>
      <w:r w:rsidRPr="00FC4119">
        <w:t>–</w:t>
      </w:r>
      <w:r w:rsidRPr="00FC4119">
        <w:tab/>
        <w:t xml:space="preserve">der henviser til udtalelser fra Udenrigsudvalget, Udvalget om International Handel, Økonomi- og Valutaudvalget, Udvalget om Beskæftigelse og Sociale Anliggender samt </w:t>
      </w:r>
      <w:r w:rsidRPr="00FC4119">
        <w:lastRenderedPageBreak/>
        <w:t>Udvalget om Miljø, Klima og Fødevaresikkerhed,</w:t>
      </w:r>
    </w:p>
    <w:p w14:paraId="7B91E9E2" w14:textId="77777777" w:rsidR="001432EF" w:rsidRPr="00FC4119" w:rsidRDefault="001432EF" w:rsidP="001432EF">
      <w:pPr>
        <w:pStyle w:val="NormalHanging12a"/>
      </w:pPr>
      <w:r w:rsidRPr="00FC4119">
        <w:t>–</w:t>
      </w:r>
      <w:r w:rsidRPr="00FC4119">
        <w:tab/>
        <w:t>der henviser til betænkning fra Retsudvalget (A10-0197/2025),</w:t>
      </w:r>
    </w:p>
    <w:p w14:paraId="27C67CF0" w14:textId="77777777" w:rsidR="001432EF" w:rsidRPr="00FC4119" w:rsidRDefault="001432EF" w:rsidP="001432EF">
      <w:pPr>
        <w:pStyle w:val="NormalHanging12a"/>
      </w:pPr>
      <w:r w:rsidRPr="00FC4119">
        <w:t>1.</w:t>
      </w:r>
      <w:r w:rsidRPr="00FC4119">
        <w:tab/>
        <w:t>vedtager nedenstående holdning ved førstebehandling;</w:t>
      </w:r>
    </w:p>
    <w:p w14:paraId="04B3C427" w14:textId="77777777" w:rsidR="001432EF" w:rsidRPr="00FC4119" w:rsidRDefault="001432EF" w:rsidP="001432EF">
      <w:pPr>
        <w:pStyle w:val="NormalHanging12a"/>
      </w:pPr>
      <w:r w:rsidRPr="00FC4119">
        <w:t>2.</w:t>
      </w:r>
      <w:r w:rsidRPr="00FC4119">
        <w:tab/>
        <w:t>anmoder om fornyet forelæggelse, hvis Kommissionen erstatter, i væsentlig grad ændrer eller agter i væsentlig grad at ændre sit forslag;</w:t>
      </w:r>
    </w:p>
    <w:p w14:paraId="7F78D226" w14:textId="77777777" w:rsidR="001432EF" w:rsidRPr="00FC4119" w:rsidRDefault="001432EF" w:rsidP="001432EF">
      <w:pPr>
        <w:pStyle w:val="NormalHanging12a"/>
      </w:pPr>
      <w:r w:rsidRPr="00FC4119">
        <w:t>3.</w:t>
      </w:r>
      <w:r w:rsidRPr="00FC4119">
        <w:tab/>
        <w:t>pålægger sin formand at sende Parlamentets holdning til Rådet og Kommissionen samt til de nationale parlamenter.</w:t>
      </w:r>
    </w:p>
    <w:p w14:paraId="5BC785E5" w14:textId="77777777" w:rsidR="00E62119" w:rsidRDefault="00E62119">
      <w:pPr>
        <w:widowControl/>
        <w:sectPr w:rsidR="00E62119" w:rsidSect="00297C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11FF6ADB" w14:textId="0D160FB3" w:rsidR="00297C64" w:rsidRDefault="00297C64">
      <w:pPr>
        <w:widowControl/>
      </w:pPr>
    </w:p>
    <w:p w14:paraId="0D8393FC" w14:textId="112222B6" w:rsidR="00CB4035" w:rsidRPr="00606380" w:rsidRDefault="00CB4035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045</w:t>
      </w:r>
    </w:p>
    <w:p w14:paraId="0BD0D39C" w14:textId="65BE69EB" w:rsidR="00CB4035" w:rsidRDefault="00CB4035" w:rsidP="00AA368B">
      <w:pPr>
        <w:pStyle w:val="NormalHanging12a"/>
        <w:ind w:left="0" w:firstLine="0"/>
        <w:rPr>
          <w:b/>
          <w:color w:val="000000"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="00E62119" w:rsidRPr="00E62119">
        <w:rPr>
          <w:b/>
        </w:rPr>
        <w:t>16. december 2025</w:t>
      </w:r>
      <w:r w:rsidR="00E62119">
        <w:rPr>
          <w:b/>
        </w:rPr>
        <w:t xml:space="preserve"> </w:t>
      </w:r>
      <w:r w:rsidRPr="00511370">
        <w:rPr>
          <w:b/>
        </w:rPr>
        <w:t xml:space="preserve">med henblik på vedtagelse af Europa-Parlamentets og Rådets </w:t>
      </w:r>
      <w:r>
        <w:rPr>
          <w:rFonts w:eastAsia="Calibri"/>
          <w:b/>
        </w:rPr>
        <w:t xml:space="preserve">direktiv </w:t>
      </w:r>
      <w:r w:rsidRPr="00511370">
        <w:rPr>
          <w:b/>
        </w:rPr>
        <w:t xml:space="preserve">(EU) </w:t>
      </w:r>
      <w:r w:rsidRPr="00511370">
        <w:rPr>
          <w:rFonts w:eastAsia="Calibri"/>
          <w:b/>
        </w:rPr>
        <w:t>202</w:t>
      </w:r>
      <w:r w:rsidR="00AA0289">
        <w:rPr>
          <w:rFonts w:eastAsia="Calibri"/>
          <w:b/>
        </w:rPr>
        <w:t>6</w:t>
      </w:r>
      <w:r w:rsidRPr="00511370">
        <w:rPr>
          <w:rFonts w:eastAsia="Calibri"/>
          <w:b/>
        </w:rPr>
        <w:t xml:space="preserve">/… om </w:t>
      </w:r>
      <w:r w:rsidR="00FF6D35" w:rsidRPr="00FC0AAA">
        <w:rPr>
          <w:b/>
          <w:color w:val="000000"/>
        </w:rPr>
        <w:t>ændring af direktiv 2006/43/EF, 2013/34/EU, (EU) 2022/2464 og (EU) 2024/1760 for så vidt angår visse krav til virksomheders bæredygtighedsrapportering og visse krav til virksomheders due diligence i forbindelse med bæredygtighed</w:t>
      </w:r>
    </w:p>
    <w:p w14:paraId="638AB0BE" w14:textId="3A7A173C" w:rsidR="00AA0289" w:rsidRDefault="00AA0289" w:rsidP="00AA368B">
      <w:pPr>
        <w:pStyle w:val="NormalHanging12a"/>
        <w:ind w:left="0" w:firstLine="0"/>
        <w:rPr>
          <w:rFonts w:eastAsia="Calibri"/>
          <w:b/>
        </w:rPr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direktiv (EU) 2026/470</w:t>
      </w:r>
      <w:r w:rsidRPr="00DC166C">
        <w:rPr>
          <w:i/>
        </w:rPr>
        <w:t>.)</w:t>
      </w:r>
    </w:p>
    <w:sectPr w:rsidR="00AA0289" w:rsidSect="00297C64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6BE26" w14:textId="77777777" w:rsidR="006F4C0E" w:rsidRPr="00FC4119" w:rsidRDefault="006F4C0E">
      <w:r w:rsidRPr="00FC4119">
        <w:separator/>
      </w:r>
    </w:p>
  </w:endnote>
  <w:endnote w:type="continuationSeparator" w:id="0">
    <w:p w14:paraId="027B0D3D" w14:textId="77777777" w:rsidR="006F4C0E" w:rsidRPr="00FC4119" w:rsidRDefault="006F4C0E">
      <w:r w:rsidRPr="00FC41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AF52" w14:textId="77777777" w:rsidR="00064002" w:rsidRPr="00FC41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F65A" w14:textId="77777777" w:rsidR="00064002" w:rsidRPr="00FC41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173B" w14:textId="77777777" w:rsidR="00064002" w:rsidRPr="00FC41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B1678" w14:textId="77777777" w:rsidR="006F4C0E" w:rsidRPr="00FC4119" w:rsidRDefault="006F4C0E">
      <w:r w:rsidRPr="00FC4119">
        <w:separator/>
      </w:r>
    </w:p>
  </w:footnote>
  <w:footnote w:type="continuationSeparator" w:id="0">
    <w:p w14:paraId="2A6E9666" w14:textId="77777777" w:rsidR="006F4C0E" w:rsidRPr="00FC4119" w:rsidRDefault="006F4C0E">
      <w:r w:rsidRPr="00FC4119">
        <w:continuationSeparator/>
      </w:r>
    </w:p>
  </w:footnote>
  <w:footnote w:id="1">
    <w:p w14:paraId="6B658F2D" w14:textId="486003D1" w:rsidR="001432EF" w:rsidRPr="00A845DB" w:rsidRDefault="001432EF" w:rsidP="00CB4035">
      <w:pPr>
        <w:pStyle w:val="FootnoteText"/>
        <w:ind w:left="851" w:hanging="851"/>
        <w:rPr>
          <w:sz w:val="24"/>
          <w:szCs w:val="24"/>
        </w:rPr>
      </w:pPr>
      <w:r w:rsidRPr="00CB4035">
        <w:rPr>
          <w:rStyle w:val="FootnoteReference"/>
          <w:sz w:val="24"/>
          <w:szCs w:val="24"/>
          <w:lang w:val="da-DK"/>
        </w:rPr>
        <w:footnoteRef/>
      </w:r>
      <w:r w:rsidR="00FC4119" w:rsidRPr="00A845DB">
        <w:rPr>
          <w:sz w:val="24"/>
          <w:szCs w:val="24"/>
        </w:rPr>
        <w:t xml:space="preserve"> </w:t>
      </w:r>
      <w:r w:rsidR="00FC4119" w:rsidRPr="00A845DB">
        <w:rPr>
          <w:sz w:val="24"/>
          <w:szCs w:val="24"/>
        </w:rPr>
        <w:tab/>
      </w:r>
      <w:r w:rsidRPr="00A845DB">
        <w:rPr>
          <w:sz w:val="24"/>
          <w:szCs w:val="24"/>
        </w:rPr>
        <w:t>EUT</w:t>
      </w:r>
      <w:r w:rsidR="00E62119" w:rsidRPr="00A845DB">
        <w:rPr>
          <w:sz w:val="24"/>
          <w:szCs w:val="24"/>
        </w:rPr>
        <w:t xml:space="preserve"> C, C/2025/4212, 20.8.2025, </w:t>
      </w:r>
      <w:proofErr w:type="gramStart"/>
      <w:r w:rsidR="00E62119" w:rsidRPr="00A845DB">
        <w:rPr>
          <w:sz w:val="24"/>
          <w:szCs w:val="24"/>
        </w:rPr>
        <w:t>ELI:</w:t>
      </w:r>
      <w:proofErr w:type="gramEnd"/>
      <w:r w:rsidR="00E62119" w:rsidRPr="00A845DB">
        <w:rPr>
          <w:sz w:val="24"/>
          <w:szCs w:val="24"/>
        </w:rPr>
        <w:t> </w:t>
      </w:r>
      <w:hyperlink r:id="rId1" w:tgtFrame="_blank" w:tooltip="Giver adgang til dette dokument gennem dets ELI-URI." w:history="1">
        <w:r w:rsidR="00E62119" w:rsidRPr="00A845DB">
          <w:rPr>
            <w:rStyle w:val="Hyperlink"/>
            <w:sz w:val="24"/>
            <w:szCs w:val="24"/>
          </w:rPr>
          <w:t>http://data.europa.eu/eli/C/2025/4212/oj</w:t>
        </w:r>
      </w:hyperlink>
      <w:r w:rsidRPr="00A845DB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4A9D9" w14:textId="77777777" w:rsidR="00064002" w:rsidRPr="00FC41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E16FC" w14:textId="77777777" w:rsidR="00064002" w:rsidRPr="00FC41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79F62" w14:textId="77777777" w:rsidR="00064002" w:rsidRPr="00FC41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10115305">
    <w:abstractNumId w:val="2"/>
  </w:num>
  <w:num w:numId="2" w16cid:durableId="203060986">
    <w:abstractNumId w:val="13"/>
  </w:num>
  <w:num w:numId="3" w16cid:durableId="1307466308">
    <w:abstractNumId w:val="0"/>
  </w:num>
  <w:num w:numId="4" w16cid:durableId="567542593">
    <w:abstractNumId w:val="10"/>
  </w:num>
  <w:num w:numId="5" w16cid:durableId="468937464">
    <w:abstractNumId w:val="17"/>
  </w:num>
  <w:num w:numId="6" w16cid:durableId="419840491">
    <w:abstractNumId w:val="9"/>
  </w:num>
  <w:num w:numId="7" w16cid:durableId="1468821640">
    <w:abstractNumId w:val="7"/>
  </w:num>
  <w:num w:numId="8" w16cid:durableId="1006633821">
    <w:abstractNumId w:val="27"/>
  </w:num>
  <w:num w:numId="9" w16cid:durableId="128519428">
    <w:abstractNumId w:val="32"/>
  </w:num>
  <w:num w:numId="10" w16cid:durableId="397554397">
    <w:abstractNumId w:val="28"/>
  </w:num>
  <w:num w:numId="11" w16cid:durableId="1046486109">
    <w:abstractNumId w:val="1"/>
  </w:num>
  <w:num w:numId="12" w16cid:durableId="794643710">
    <w:abstractNumId w:val="29"/>
  </w:num>
  <w:num w:numId="13" w16cid:durableId="2146312979">
    <w:abstractNumId w:val="25"/>
  </w:num>
  <w:num w:numId="14" w16cid:durableId="2045208649">
    <w:abstractNumId w:val="3"/>
  </w:num>
  <w:num w:numId="15" w16cid:durableId="288975442">
    <w:abstractNumId w:val="31"/>
  </w:num>
  <w:num w:numId="16" w16cid:durableId="1456873556">
    <w:abstractNumId w:val="36"/>
  </w:num>
  <w:num w:numId="17" w16cid:durableId="2111467445">
    <w:abstractNumId w:val="22"/>
  </w:num>
  <w:num w:numId="18" w16cid:durableId="1665891583">
    <w:abstractNumId w:val="30"/>
  </w:num>
  <w:num w:numId="19" w16cid:durableId="638341248">
    <w:abstractNumId w:val="26"/>
  </w:num>
  <w:num w:numId="20" w16cid:durableId="1515917783">
    <w:abstractNumId w:val="23"/>
  </w:num>
  <w:num w:numId="21" w16cid:durableId="674577510">
    <w:abstractNumId w:val="11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8"/>
  </w:num>
  <w:num w:numId="25" w16cid:durableId="2004619729">
    <w:abstractNumId w:val="21"/>
  </w:num>
  <w:num w:numId="26" w16cid:durableId="1464152385">
    <w:abstractNumId w:val="20"/>
  </w:num>
  <w:num w:numId="27" w16cid:durableId="405152505">
    <w:abstractNumId w:val="37"/>
  </w:num>
  <w:num w:numId="28" w16cid:durableId="299963359">
    <w:abstractNumId w:val="14"/>
  </w:num>
  <w:num w:numId="29" w16cid:durableId="232548307">
    <w:abstractNumId w:val="15"/>
  </w:num>
  <w:num w:numId="30" w16cid:durableId="1631327944">
    <w:abstractNumId w:val="16"/>
  </w:num>
  <w:num w:numId="31" w16cid:durableId="1948272343">
    <w:abstractNumId w:val="19"/>
  </w:num>
  <w:num w:numId="32" w16cid:durableId="1325275986">
    <w:abstractNumId w:val="8"/>
  </w:num>
  <w:num w:numId="33" w16cid:durableId="72089652">
    <w:abstractNumId w:val="38"/>
  </w:num>
  <w:num w:numId="34" w16cid:durableId="440535980">
    <w:abstractNumId w:val="12"/>
  </w:num>
  <w:num w:numId="35" w16cid:durableId="1528057680">
    <w:abstractNumId w:val="24"/>
  </w:num>
  <w:num w:numId="36" w16cid:durableId="1138108179">
    <w:abstractNumId w:val="34"/>
  </w:num>
  <w:num w:numId="37" w16cid:durableId="229847272">
    <w:abstractNumId w:val="33"/>
  </w:num>
  <w:num w:numId="38" w16cid:durableId="694695438">
    <w:abstractNumId w:val="35"/>
  </w:num>
  <w:num w:numId="39" w16cid:durableId="9577624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DA"/>
    <w:docVar w:name="dvnumam" w:val="287"/>
    <w:docVar w:name="dvpe" w:val="774.282"/>
    <w:docVar w:name="dvrapporteur" w:val="Ordfører: "/>
    <w:docVar w:name="dvstar" w:val="***I"/>
    <w:docVar w:name="dvtitre" w:val="Europa-Parlamentets lovgivningsmæssige beslutning af xx.xx 2025 om forslag til Europa-Parlamentets og Rådets direktiv om ændring af direktiv 2006/43/EF, 2013/34/EU, (EU) 2022/2464 og (EU) 2024/1760 for så vidt angår visse krav til virksomheders bæredygtighedsrapportering og due diligence i forbindelse med bæredygtighed.(COM(2025)0081 – C10-0037/2025 – 2025/0045(COD))"/>
  </w:docVars>
  <w:rsids>
    <w:rsidRoot w:val="006F4C0E"/>
    <w:rsid w:val="00000D18"/>
    <w:rsid w:val="00002272"/>
    <w:rsid w:val="00064002"/>
    <w:rsid w:val="000677B9"/>
    <w:rsid w:val="000831BA"/>
    <w:rsid w:val="000866CD"/>
    <w:rsid w:val="000A42CC"/>
    <w:rsid w:val="000E7DD9"/>
    <w:rsid w:val="000F1509"/>
    <w:rsid w:val="0010095E"/>
    <w:rsid w:val="00125B37"/>
    <w:rsid w:val="001432EF"/>
    <w:rsid w:val="00153744"/>
    <w:rsid w:val="001636E6"/>
    <w:rsid w:val="0016393D"/>
    <w:rsid w:val="00163DF3"/>
    <w:rsid w:val="00187494"/>
    <w:rsid w:val="001F32AE"/>
    <w:rsid w:val="00201E1A"/>
    <w:rsid w:val="002767FF"/>
    <w:rsid w:val="00297C64"/>
    <w:rsid w:val="002B18FE"/>
    <w:rsid w:val="002B5493"/>
    <w:rsid w:val="002B7FB5"/>
    <w:rsid w:val="002D4477"/>
    <w:rsid w:val="002E793C"/>
    <w:rsid w:val="00343214"/>
    <w:rsid w:val="00361C00"/>
    <w:rsid w:val="00367165"/>
    <w:rsid w:val="00370BC4"/>
    <w:rsid w:val="00386403"/>
    <w:rsid w:val="00394A80"/>
    <w:rsid w:val="00395FA1"/>
    <w:rsid w:val="003E15D4"/>
    <w:rsid w:val="00400C42"/>
    <w:rsid w:val="00400DC0"/>
    <w:rsid w:val="00411CCE"/>
    <w:rsid w:val="0041666E"/>
    <w:rsid w:val="00421060"/>
    <w:rsid w:val="004352A6"/>
    <w:rsid w:val="00471C19"/>
    <w:rsid w:val="004867E3"/>
    <w:rsid w:val="00494A28"/>
    <w:rsid w:val="004B5563"/>
    <w:rsid w:val="004C0004"/>
    <w:rsid w:val="004C5D52"/>
    <w:rsid w:val="0050519A"/>
    <w:rsid w:val="005072A1"/>
    <w:rsid w:val="0051073F"/>
    <w:rsid w:val="00514517"/>
    <w:rsid w:val="00545827"/>
    <w:rsid w:val="00560270"/>
    <w:rsid w:val="005C2568"/>
    <w:rsid w:val="005E4D2D"/>
    <w:rsid w:val="005F1B17"/>
    <w:rsid w:val="006037C0"/>
    <w:rsid w:val="006631B6"/>
    <w:rsid w:val="00680577"/>
    <w:rsid w:val="006C76DB"/>
    <w:rsid w:val="006F4C0E"/>
    <w:rsid w:val="006F74FA"/>
    <w:rsid w:val="00715400"/>
    <w:rsid w:val="00731ADD"/>
    <w:rsid w:val="00734777"/>
    <w:rsid w:val="00747932"/>
    <w:rsid w:val="00751A4A"/>
    <w:rsid w:val="0075364D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FD5"/>
    <w:rsid w:val="00887B3E"/>
    <w:rsid w:val="008B3054"/>
    <w:rsid w:val="008B62A1"/>
    <w:rsid w:val="008C2AC6"/>
    <w:rsid w:val="008E1CA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5DB"/>
    <w:rsid w:val="00AA0289"/>
    <w:rsid w:val="00AB441E"/>
    <w:rsid w:val="00AB6293"/>
    <w:rsid w:val="00AB64E5"/>
    <w:rsid w:val="00AD5041"/>
    <w:rsid w:val="00AE0928"/>
    <w:rsid w:val="00AF3B82"/>
    <w:rsid w:val="00B05AB5"/>
    <w:rsid w:val="00B12E95"/>
    <w:rsid w:val="00B22876"/>
    <w:rsid w:val="00B44D12"/>
    <w:rsid w:val="00B558F0"/>
    <w:rsid w:val="00B641C5"/>
    <w:rsid w:val="00B82EA0"/>
    <w:rsid w:val="00B8453A"/>
    <w:rsid w:val="00BD48FE"/>
    <w:rsid w:val="00BD7BD8"/>
    <w:rsid w:val="00BE6ADC"/>
    <w:rsid w:val="00C05BFE"/>
    <w:rsid w:val="00C23CD4"/>
    <w:rsid w:val="00C43456"/>
    <w:rsid w:val="00C61C0C"/>
    <w:rsid w:val="00C6212D"/>
    <w:rsid w:val="00C71005"/>
    <w:rsid w:val="00C941CB"/>
    <w:rsid w:val="00CB4035"/>
    <w:rsid w:val="00CC2357"/>
    <w:rsid w:val="00CE5356"/>
    <w:rsid w:val="00CF071A"/>
    <w:rsid w:val="00D013AF"/>
    <w:rsid w:val="00D058B8"/>
    <w:rsid w:val="00D56C11"/>
    <w:rsid w:val="00D834A0"/>
    <w:rsid w:val="00D872DF"/>
    <w:rsid w:val="00D91E21"/>
    <w:rsid w:val="00DA7FCD"/>
    <w:rsid w:val="00DD7649"/>
    <w:rsid w:val="00E3002D"/>
    <w:rsid w:val="00E365E1"/>
    <w:rsid w:val="00E62119"/>
    <w:rsid w:val="00E820A4"/>
    <w:rsid w:val="00EB006A"/>
    <w:rsid w:val="00EB4772"/>
    <w:rsid w:val="00ED0445"/>
    <w:rsid w:val="00ED169E"/>
    <w:rsid w:val="00ED4235"/>
    <w:rsid w:val="00F04346"/>
    <w:rsid w:val="00F075DC"/>
    <w:rsid w:val="00F149E9"/>
    <w:rsid w:val="00F25471"/>
    <w:rsid w:val="00F5134D"/>
    <w:rsid w:val="00F74202"/>
    <w:rsid w:val="00F87713"/>
    <w:rsid w:val="00FB4232"/>
    <w:rsid w:val="00FB4360"/>
    <w:rsid w:val="00FC0AAA"/>
    <w:rsid w:val="00FC4119"/>
    <w:rsid w:val="00FD0C70"/>
    <w:rsid w:val="00FF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76FB0"/>
  <w15:chartTrackingRefBased/>
  <w15:docId w15:val="{5917AD1B-CBF4-413B-B601-5C4A2F35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567"/>
      </w:tabs>
      <w:spacing w:before="240" w:after="60"/>
      <w:ind w:left="567" w:hanging="567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1134"/>
      </w:tabs>
      <w:spacing w:before="240" w:after="60"/>
      <w:ind w:left="1134" w:hanging="567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1134"/>
      </w:tabs>
      <w:spacing w:before="240" w:after="60"/>
      <w:ind w:left="1134" w:hanging="567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2835"/>
      </w:tabs>
      <w:spacing w:before="240" w:after="60"/>
      <w:ind w:left="2835" w:hanging="567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432E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2E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2E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2E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2E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2EF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2EF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2EF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2EF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1432E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1432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432E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432EF"/>
    <w:pPr>
      <w:spacing w:after="120"/>
    </w:pPr>
  </w:style>
  <w:style w:type="paragraph" w:customStyle="1" w:styleId="PageHeading">
    <w:name w:val="PageHeading"/>
    <w:basedOn w:val="Normal"/>
    <w:rsid w:val="001432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432EF"/>
    <w:rPr>
      <w:b/>
    </w:rPr>
  </w:style>
  <w:style w:type="character" w:customStyle="1" w:styleId="NormalBoldChar">
    <w:name w:val="NormalBold Char"/>
    <w:basedOn w:val="DefaultParagraphFont"/>
    <w:link w:val="NormalBold"/>
    <w:rsid w:val="001432EF"/>
    <w:rPr>
      <w:b/>
      <w:sz w:val="24"/>
      <w:lang w:val="da-DK"/>
    </w:rPr>
  </w:style>
  <w:style w:type="paragraph" w:customStyle="1" w:styleId="NormalBold12a">
    <w:name w:val="NormalBold12a"/>
    <w:basedOn w:val="Normal"/>
    <w:rsid w:val="001432EF"/>
    <w:pPr>
      <w:spacing w:after="240"/>
    </w:pPr>
    <w:rPr>
      <w:b/>
    </w:rPr>
  </w:style>
  <w:style w:type="paragraph" w:customStyle="1" w:styleId="AmJustText">
    <w:name w:val="AmJustText"/>
    <w:basedOn w:val="Normal"/>
    <w:rsid w:val="001432E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432E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432EF"/>
    <w:pPr>
      <w:spacing w:after="480"/>
      <w:ind w:left="1417"/>
    </w:pPr>
  </w:style>
  <w:style w:type="paragraph" w:customStyle="1" w:styleId="CoverNormal">
    <w:name w:val="CoverNormal"/>
    <w:basedOn w:val="Normal"/>
    <w:rsid w:val="001432EF"/>
    <w:pPr>
      <w:ind w:left="1418"/>
    </w:pPr>
  </w:style>
  <w:style w:type="paragraph" w:customStyle="1" w:styleId="AmCrossRef">
    <w:name w:val="AmCrossRef"/>
    <w:basedOn w:val="Normal"/>
    <w:rsid w:val="001432E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432E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1432EF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1432EF"/>
    <w:rPr>
      <w:rFonts w:ascii="Arial" w:hAnsi="Arial" w:cs="Arial"/>
      <w:b/>
      <w:sz w:val="24"/>
      <w:lang w:val="da-DK"/>
    </w:rPr>
  </w:style>
  <w:style w:type="paragraph" w:customStyle="1" w:styleId="CoverDocType">
    <w:name w:val="CoverDocType"/>
    <w:basedOn w:val="Normal"/>
    <w:rsid w:val="001432E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432E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432E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432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2EF"/>
    <w:rPr>
      <w:sz w:val="24"/>
      <w:lang w:val="da-DK"/>
    </w:rPr>
  </w:style>
  <w:style w:type="paragraph" w:customStyle="1" w:styleId="AmOrLang">
    <w:name w:val="AmOrLang"/>
    <w:basedOn w:val="Normal"/>
    <w:rsid w:val="001432E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432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432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432EF"/>
    <w:pPr>
      <w:spacing w:before="240"/>
    </w:pPr>
    <w:rPr>
      <w:b/>
    </w:rPr>
  </w:style>
  <w:style w:type="paragraph" w:customStyle="1" w:styleId="EPBody">
    <w:name w:val="EPBody"/>
    <w:basedOn w:val="Normal"/>
    <w:rsid w:val="001432E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1432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432EF"/>
    <w:pPr>
      <w:spacing w:before="480" w:after="240"/>
    </w:pPr>
  </w:style>
  <w:style w:type="paragraph" w:customStyle="1" w:styleId="Lgendesigne">
    <w:name w:val="Légende signe"/>
    <w:basedOn w:val="Normal"/>
    <w:rsid w:val="001432E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432E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432EF"/>
    <w:rPr>
      <w:sz w:val="18"/>
    </w:rPr>
  </w:style>
  <w:style w:type="paragraph" w:customStyle="1" w:styleId="EntPE">
    <w:name w:val="EntPE"/>
    <w:basedOn w:val="Normal12"/>
    <w:rsid w:val="001432EF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432EF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432EF"/>
    <w:rPr>
      <w:noProof/>
      <w:sz w:val="24"/>
      <w:lang w:val="da-DK"/>
    </w:rPr>
  </w:style>
  <w:style w:type="paragraph" w:customStyle="1" w:styleId="CommitteeAM">
    <w:name w:val="CommitteeAM"/>
    <w:basedOn w:val="Normal"/>
    <w:rsid w:val="001432E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432E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432E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432E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432EF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1432E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432EF"/>
    <w:rPr>
      <w:sz w:val="24"/>
      <w:lang w:val="da-DK"/>
    </w:rPr>
  </w:style>
  <w:style w:type="paragraph" w:customStyle="1" w:styleId="Normal12Italic">
    <w:name w:val="Normal12Italic"/>
    <w:basedOn w:val="Normal12"/>
    <w:rsid w:val="001432EF"/>
    <w:rPr>
      <w:i/>
    </w:rPr>
  </w:style>
  <w:style w:type="paragraph" w:customStyle="1" w:styleId="JustificationTitle">
    <w:name w:val="JustificationTitle"/>
    <w:basedOn w:val="Normal"/>
    <w:next w:val="Normal12"/>
    <w:rsid w:val="001432E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432E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432E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432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432EF"/>
    <w:pPr>
      <w:spacing w:before="240"/>
      <w:jc w:val="center"/>
    </w:pPr>
    <w:rPr>
      <w:i/>
    </w:rPr>
  </w:style>
  <w:style w:type="paragraph" w:customStyle="1" w:styleId="NormalBoldCenter">
    <w:name w:val="NormalBoldCenter"/>
    <w:basedOn w:val="Normal"/>
    <w:rsid w:val="001432EF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1432E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432EF"/>
    <w:rPr>
      <w:szCs w:val="24"/>
    </w:rPr>
  </w:style>
  <w:style w:type="character" w:customStyle="1" w:styleId="Footer2Middle">
    <w:name w:val="Footer2Middle"/>
    <w:rsid w:val="001432EF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1432EF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2EF"/>
    <w:rPr>
      <w:lang w:val="da-DK"/>
    </w:rPr>
  </w:style>
  <w:style w:type="character" w:styleId="CommentReference">
    <w:name w:val="annotation reference"/>
    <w:uiPriority w:val="99"/>
    <w:unhideWhenUsed/>
    <w:rsid w:val="001432EF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1432EF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1432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32EF"/>
    <w:rPr>
      <w:rFonts w:ascii="Segoe UI" w:hAnsi="Segoe UI" w:cs="Segoe UI"/>
      <w:sz w:val="18"/>
      <w:szCs w:val="18"/>
      <w:lang w:val="da-DK"/>
    </w:rPr>
  </w:style>
  <w:style w:type="character" w:customStyle="1" w:styleId="highlight-diff">
    <w:name w:val="highlight-diff"/>
    <w:basedOn w:val="DefaultParagraphFont"/>
    <w:rsid w:val="001432EF"/>
  </w:style>
  <w:style w:type="character" w:styleId="FollowedHyperlink">
    <w:name w:val="FollowedHyperlink"/>
    <w:basedOn w:val="DefaultParagraphFont"/>
    <w:uiPriority w:val="99"/>
    <w:unhideWhenUsed/>
    <w:rsid w:val="001432EF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1432EF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432EF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2EF"/>
    <w:rPr>
      <w:b/>
      <w:bCs/>
      <w:lang w:val="da-DK"/>
    </w:rPr>
  </w:style>
  <w:style w:type="paragraph" w:styleId="Revision">
    <w:name w:val="Revision"/>
    <w:uiPriority w:val="99"/>
    <w:semiHidden/>
    <w:rsid w:val="001432EF"/>
    <w:rPr>
      <w:sz w:val="24"/>
      <w:lang w:val="da-DK"/>
    </w:rPr>
  </w:style>
  <w:style w:type="character" w:styleId="Emphasis">
    <w:name w:val="Emphasis"/>
    <w:basedOn w:val="DefaultParagraphFont"/>
    <w:uiPriority w:val="20"/>
    <w:qFormat/>
    <w:rsid w:val="001432EF"/>
    <w:rPr>
      <w:i/>
      <w:iCs/>
    </w:rPr>
  </w:style>
  <w:style w:type="paragraph" w:customStyle="1" w:styleId="Normal12a">
    <w:name w:val="Normal12a"/>
    <w:basedOn w:val="Normal"/>
    <w:rsid w:val="001432EF"/>
    <w:pPr>
      <w:spacing w:after="240"/>
    </w:pPr>
  </w:style>
  <w:style w:type="paragraph" w:customStyle="1" w:styleId="PageHeadingNotTOC">
    <w:name w:val="PageHeadingNotTOC"/>
    <w:basedOn w:val="Normal"/>
    <w:rsid w:val="001432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432E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1432E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432E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432E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432E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1432EF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1432EF"/>
    <w:rPr>
      <w:rFonts w:ascii="Arial" w:hAnsi="Arial" w:cs="Arial"/>
      <w:b w:val="0"/>
      <w:sz w:val="24"/>
      <w:lang w:val="da-DK"/>
    </w:rPr>
  </w:style>
  <w:style w:type="paragraph" w:customStyle="1" w:styleId="Text1">
    <w:name w:val="Text 1"/>
    <w:basedOn w:val="Normal"/>
    <w:rsid w:val="001432E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1432EF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1432EF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1432EF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1432EF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1432EF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1432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2EF"/>
    <w:rPr>
      <w:sz w:val="24"/>
      <w:lang w:val="da-DK"/>
    </w:rPr>
  </w:style>
  <w:style w:type="paragraph" w:customStyle="1" w:styleId="EPFooterLandscape">
    <w:name w:val="EPFooterLandscape"/>
    <w:rsid w:val="001432EF"/>
    <w:pPr>
      <w:widowControl w:val="0"/>
      <w:tabs>
        <w:tab w:val="center" w:pos="6800"/>
        <w:tab w:val="right" w:pos="15020"/>
      </w:tabs>
    </w:pPr>
    <w:rPr>
      <w:sz w:val="22"/>
      <w:lang w:val="da-DK" w:eastAsia="en-US"/>
    </w:rPr>
  </w:style>
  <w:style w:type="paragraph" w:customStyle="1" w:styleId="EPFooter2Landscape">
    <w:name w:val="EPFooter2Landscape"/>
    <w:rsid w:val="001432EF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da-DK" w:eastAsia="en-US"/>
    </w:rPr>
  </w:style>
  <w:style w:type="character" w:customStyle="1" w:styleId="EPFooter2Motto">
    <w:name w:val="EPFooter2Motto"/>
    <w:rsid w:val="001432EF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1432EF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1432EF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1432E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432E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432EF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2E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432EF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1432EF"/>
    <w:rPr>
      <w:b/>
      <w:bCs/>
    </w:rPr>
  </w:style>
  <w:style w:type="paragraph" w:styleId="NoSpacing">
    <w:name w:val="No Spacing"/>
    <w:basedOn w:val="Normal"/>
    <w:uiPriority w:val="1"/>
    <w:qFormat/>
    <w:rsid w:val="001432EF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aliases w:val="2,1st level - Bullet List Paragraph,List Paragraph1,Lettre d'introduction,Paragrafo elenco,Medium Grid 1 - Accent 21,Task Body,Viñetas (Inicio Parrafo),3 Txt tabla,Zerrenda-paragrafoa,Lista multicolor - Énfasis 11,Listaszerű bekezdés1"/>
    <w:basedOn w:val="Normal"/>
    <w:link w:val="ListParagraphChar"/>
    <w:uiPriority w:val="34"/>
    <w:qFormat/>
    <w:rsid w:val="001432EF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432EF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432EF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2EF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2EF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1432E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432E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432E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432E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432EF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1432EF"/>
    <w:rPr>
      <w:rFonts w:ascii="Arial" w:hAnsi="Arial" w:cs="Arial"/>
      <w:b/>
      <w:sz w:val="48"/>
      <w:lang w:val="da-DK"/>
    </w:rPr>
  </w:style>
  <w:style w:type="character" w:customStyle="1" w:styleId="EPFooterChar">
    <w:name w:val="EPFooter Char"/>
    <w:basedOn w:val="DefaultParagraphFont"/>
    <w:link w:val="EPFooter"/>
    <w:rsid w:val="001432EF"/>
    <w:rPr>
      <w:color w:val="010000"/>
      <w:sz w:val="22"/>
      <w:lang w:val="da-DK"/>
    </w:rPr>
  </w:style>
  <w:style w:type="paragraph" w:customStyle="1" w:styleId="AmDocTypeTab">
    <w:name w:val="AmDocTypeTab"/>
    <w:basedOn w:val="Normal"/>
    <w:rsid w:val="00CB403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CB403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B403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B4035"/>
  </w:style>
  <w:style w:type="paragraph" w:customStyle="1" w:styleId="Title1">
    <w:name w:val="Title1"/>
    <w:basedOn w:val="Normal"/>
    <w:next w:val="Normal"/>
    <w:uiPriority w:val="10"/>
    <w:qFormat/>
    <w:rsid w:val="00CB4035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CB4035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CB4035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CB4035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CB4035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CB4035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CB403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B403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paragraph" w:customStyle="1" w:styleId="TBEntRefer">
    <w:name w:val="TBEntRefer"/>
    <w:basedOn w:val="TechnicalBlockBase"/>
    <w:link w:val="EntReferChar"/>
    <w:rsid w:val="00CB403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CB4035"/>
    <w:rPr>
      <w:rFonts w:ascii="Arial" w:hAnsi="Arial" w:cs="Arial"/>
      <w:b/>
      <w:sz w:val="23"/>
      <w:u w:color="606060"/>
      <w:lang w:val="da-DK" w:eastAsia="fr-BE"/>
    </w:rPr>
  </w:style>
  <w:style w:type="paragraph" w:customStyle="1" w:styleId="TBDistrbMarkers">
    <w:name w:val="TBDistrbMarkers"/>
    <w:basedOn w:val="TBEntRefer"/>
    <w:qFormat/>
    <w:rsid w:val="00CB403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CB4035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CB403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B403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CB403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B403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B403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B403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CB403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CB4035"/>
    <w:rPr>
      <w:rFonts w:ascii="Arial" w:hAnsi="Arial" w:cs="Arial"/>
      <w:b/>
      <w:sz w:val="23"/>
      <w:u w:color="606060"/>
      <w:lang w:val="da-DK" w:eastAsia="fr-BE"/>
    </w:rPr>
  </w:style>
  <w:style w:type="paragraph" w:customStyle="1" w:styleId="TBSubjectTable">
    <w:name w:val="TBSubjectTable"/>
    <w:basedOn w:val="TechnicalBlockBase"/>
    <w:rsid w:val="00CB403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CB403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CB403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CB403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CB403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CB4035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CB4035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B403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B403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B403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B403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B403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B403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B403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B403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B403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B403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CB403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B403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B403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B403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B403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B403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B403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B403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B403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B403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B403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B403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B403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B403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B403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B4035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B4035"/>
    <w:pPr>
      <w:widowControl/>
      <w:numPr>
        <w:ilvl w:val="3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B4035"/>
    <w:pPr>
      <w:widowControl/>
      <w:numPr>
        <w:ilvl w:val="5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B4035"/>
    <w:pPr>
      <w:widowControl/>
      <w:numPr>
        <w:ilvl w:val="7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B4035"/>
    <w:pPr>
      <w:widowControl/>
      <w:numPr>
        <w:ilvl w:val="8"/>
        <w:numId w:val="3"/>
      </w:numPr>
      <w:tabs>
        <w:tab w:val="clear" w:pos="2835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CB40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B4035"/>
    <w:pPr>
      <w:widowControl/>
      <w:numPr>
        <w:ilvl w:val="2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B4035"/>
    <w:pPr>
      <w:widowControl/>
      <w:numPr>
        <w:ilvl w:val="4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B4035"/>
    <w:pPr>
      <w:widowControl/>
      <w:numPr>
        <w:ilvl w:val="6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B4035"/>
    <w:pPr>
      <w:widowControl/>
      <w:numPr>
        <w:numId w:val="4"/>
      </w:numPr>
      <w:tabs>
        <w:tab w:val="clear" w:pos="567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B4035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B4035"/>
    <w:pPr>
      <w:widowControl/>
      <w:numPr>
        <w:ilvl w:val="2"/>
        <w:numId w:val="4"/>
      </w:numPr>
      <w:tabs>
        <w:tab w:val="clear" w:pos="1701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B4035"/>
    <w:pPr>
      <w:widowControl/>
      <w:numPr>
        <w:ilvl w:val="3"/>
        <w:numId w:val="4"/>
      </w:numPr>
      <w:tabs>
        <w:tab w:val="clear" w:pos="2268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B4035"/>
    <w:pPr>
      <w:widowControl/>
      <w:numPr>
        <w:ilvl w:val="4"/>
        <w:numId w:val="4"/>
      </w:numPr>
      <w:tabs>
        <w:tab w:val="clear" w:pos="2835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B4035"/>
    <w:pPr>
      <w:widowControl/>
      <w:numPr>
        <w:numId w:val="5"/>
      </w:numPr>
      <w:tabs>
        <w:tab w:val="clear" w:pos="567"/>
        <w:tab w:val="num" w:pos="720"/>
        <w:tab w:val="num" w:pos="1701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B4035"/>
    <w:pPr>
      <w:widowControl/>
      <w:numPr>
        <w:numId w:val="6"/>
      </w:numPr>
      <w:tabs>
        <w:tab w:val="clear" w:pos="1134"/>
        <w:tab w:val="num" w:pos="720"/>
        <w:tab w:val="num" w:pos="2268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B4035"/>
    <w:pPr>
      <w:widowControl/>
      <w:numPr>
        <w:numId w:val="7"/>
      </w:numPr>
      <w:tabs>
        <w:tab w:val="clear" w:pos="1701"/>
        <w:tab w:val="num" w:pos="1080"/>
        <w:tab w:val="num" w:pos="2835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B4035"/>
    <w:pPr>
      <w:widowControl/>
      <w:numPr>
        <w:numId w:val="8"/>
      </w:numPr>
      <w:tabs>
        <w:tab w:val="clear" w:pos="2268"/>
        <w:tab w:val="num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B4035"/>
    <w:pPr>
      <w:widowControl/>
      <w:numPr>
        <w:numId w:val="9"/>
      </w:numPr>
      <w:tabs>
        <w:tab w:val="clear" w:pos="2835"/>
        <w:tab w:val="num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B4035"/>
    <w:pPr>
      <w:widowControl/>
      <w:numPr>
        <w:numId w:val="10"/>
      </w:numPr>
      <w:tabs>
        <w:tab w:val="clear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B4035"/>
    <w:pPr>
      <w:widowControl/>
      <w:numPr>
        <w:numId w:val="11"/>
      </w:numPr>
      <w:tabs>
        <w:tab w:val="clear" w:pos="113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B4035"/>
    <w:pPr>
      <w:widowControl/>
      <w:numPr>
        <w:numId w:val="12"/>
      </w:numPr>
      <w:tabs>
        <w:tab w:val="clear" w:pos="170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B4035"/>
    <w:pPr>
      <w:widowControl/>
      <w:numPr>
        <w:numId w:val="13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B4035"/>
    <w:pPr>
      <w:widowControl/>
      <w:numPr>
        <w:numId w:val="14"/>
      </w:numPr>
      <w:tabs>
        <w:tab w:val="clear" w:pos="283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B4035"/>
    <w:pPr>
      <w:numPr>
        <w:numId w:val="15"/>
      </w:numPr>
      <w:tabs>
        <w:tab w:val="clear" w:pos="567"/>
        <w:tab w:val="num" w:pos="720"/>
        <w:tab w:val="num" w:pos="1701"/>
      </w:tabs>
      <w:ind w:left="720" w:hanging="360"/>
    </w:pPr>
  </w:style>
  <w:style w:type="paragraph" w:customStyle="1" w:styleId="DashEqual1">
    <w:name w:val="Dash Equal 1"/>
    <w:basedOn w:val="Dash1"/>
    <w:rsid w:val="00CB4035"/>
    <w:pPr>
      <w:numPr>
        <w:numId w:val="16"/>
      </w:numPr>
      <w:tabs>
        <w:tab w:val="clear" w:pos="1134"/>
        <w:tab w:val="num" w:pos="720"/>
        <w:tab w:val="num" w:pos="2268"/>
      </w:tabs>
      <w:ind w:left="720" w:hanging="360"/>
    </w:pPr>
  </w:style>
  <w:style w:type="paragraph" w:customStyle="1" w:styleId="DashEqual2">
    <w:name w:val="Dash Equal 2"/>
    <w:basedOn w:val="Dash2"/>
    <w:rsid w:val="00CB4035"/>
    <w:pPr>
      <w:numPr>
        <w:numId w:val="17"/>
      </w:numPr>
      <w:tabs>
        <w:tab w:val="clear" w:pos="1701"/>
        <w:tab w:val="num" w:pos="1080"/>
        <w:tab w:val="num" w:pos="2835"/>
      </w:tabs>
      <w:ind w:left="1080" w:hanging="360"/>
    </w:pPr>
  </w:style>
  <w:style w:type="paragraph" w:customStyle="1" w:styleId="DashEqual3">
    <w:name w:val="Dash Equal 3"/>
    <w:basedOn w:val="Dash3"/>
    <w:rsid w:val="00CB4035"/>
    <w:pPr>
      <w:numPr>
        <w:numId w:val="18"/>
      </w:numPr>
      <w:tabs>
        <w:tab w:val="clear" w:pos="2268"/>
        <w:tab w:val="num" w:pos="567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CB4035"/>
    <w:pPr>
      <w:numPr>
        <w:numId w:val="19"/>
      </w:numPr>
      <w:tabs>
        <w:tab w:val="clear" w:pos="2835"/>
        <w:tab w:val="num" w:pos="567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CB403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B403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B403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B403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CB4035"/>
    <w:pPr>
      <w:numPr>
        <w:numId w:val="21"/>
      </w:numPr>
      <w:tabs>
        <w:tab w:val="clear" w:pos="567"/>
        <w:tab w:val="num" w:pos="850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B4035"/>
    <w:pPr>
      <w:numPr>
        <w:numId w:val="22"/>
      </w:numPr>
      <w:tabs>
        <w:tab w:val="clear" w:pos="567"/>
        <w:tab w:val="num" w:pos="141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CB4035"/>
    <w:pPr>
      <w:jc w:val="center"/>
    </w:pPr>
  </w:style>
  <w:style w:type="paragraph" w:customStyle="1" w:styleId="Jardin">
    <w:name w:val="Jardin"/>
    <w:basedOn w:val="Normal"/>
    <w:rsid w:val="00CB403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B403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B403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B403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B4035"/>
    <w:rPr>
      <w:b/>
    </w:rPr>
  </w:style>
  <w:style w:type="paragraph" w:customStyle="1" w:styleId="Annex">
    <w:name w:val="Annex"/>
    <w:basedOn w:val="Normal"/>
    <w:next w:val="Normal"/>
    <w:rsid w:val="00CB403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B403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B403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B403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B403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B403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4035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CB4035"/>
    <w:rPr>
      <w:vertAlign w:val="superscript"/>
    </w:rPr>
  </w:style>
  <w:style w:type="character" w:customStyle="1" w:styleId="ListParagraphChar">
    <w:name w:val="List Paragraph Char"/>
    <w:aliases w:val="2 Char,1st level - Bullet List Paragraph Char,List Paragraph1 Char,Lettre d'introduction Char,Paragrafo elenco Char,Medium Grid 1 - Accent 21 Char,Task Body Char,Viñetas (Inicio Parrafo) Char,3 Txt tabla Char,Zerrenda-paragrafoa Char"/>
    <w:link w:val="ListParagraph"/>
    <w:uiPriority w:val="34"/>
    <w:qFormat/>
    <w:locked/>
    <w:rsid w:val="00CB4035"/>
    <w:rPr>
      <w:rFonts w:eastAsiaTheme="minorHAnsi"/>
      <w:sz w:val="24"/>
      <w:szCs w:val="24"/>
      <w:lang w:val="da-DK" w:eastAsia="en-US"/>
    </w:rPr>
  </w:style>
  <w:style w:type="character" w:styleId="PlaceholderText">
    <w:name w:val="Placeholder Text"/>
    <w:basedOn w:val="DefaultParagraphFont"/>
    <w:uiPriority w:val="99"/>
    <w:semiHidden/>
    <w:rsid w:val="00CB4035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CB403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B403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B403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B403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B403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B403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B403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B403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B403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B403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B40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B403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B40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B40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B403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B403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B403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B403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B403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B403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B403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B403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B403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B403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B403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B403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B403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B403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B403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B403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B403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B403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B403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B403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B4035"/>
    <w:pPr>
      <w:widowControl/>
      <w:numPr>
        <w:numId w:val="23"/>
      </w:numPr>
      <w:tabs>
        <w:tab w:val="clear" w:pos="850"/>
        <w:tab w:val="num" w:pos="567"/>
        <w:tab w:val="num" w:pos="1984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B4035"/>
    <w:pPr>
      <w:widowControl/>
      <w:numPr>
        <w:numId w:val="24"/>
      </w:numPr>
      <w:tabs>
        <w:tab w:val="clear" w:pos="1417"/>
        <w:tab w:val="num" w:pos="567"/>
        <w:tab w:val="num" w:pos="2551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B4035"/>
    <w:pPr>
      <w:widowControl/>
      <w:numPr>
        <w:numId w:val="25"/>
      </w:numPr>
      <w:tabs>
        <w:tab w:val="clear" w:pos="1984"/>
        <w:tab w:val="num" w:pos="567"/>
        <w:tab w:val="num" w:pos="3118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B4035"/>
    <w:pPr>
      <w:widowControl/>
      <w:numPr>
        <w:numId w:val="26"/>
      </w:numPr>
      <w:tabs>
        <w:tab w:val="clear" w:pos="2551"/>
        <w:tab w:val="num" w:pos="1134"/>
        <w:tab w:val="num" w:pos="3685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B4035"/>
    <w:pPr>
      <w:widowControl/>
      <w:numPr>
        <w:numId w:val="27"/>
      </w:numPr>
      <w:tabs>
        <w:tab w:val="clear" w:pos="3118"/>
        <w:tab w:val="num" w:pos="1701"/>
        <w:tab w:val="num" w:pos="4252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B4035"/>
    <w:pPr>
      <w:widowControl/>
      <w:numPr>
        <w:numId w:val="28"/>
      </w:numPr>
      <w:tabs>
        <w:tab w:val="clear" w:pos="3685"/>
        <w:tab w:val="num" w:pos="2268"/>
        <w:tab w:val="num" w:pos="4819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B4035"/>
    <w:pPr>
      <w:widowControl/>
      <w:numPr>
        <w:numId w:val="29"/>
      </w:numPr>
      <w:tabs>
        <w:tab w:val="clear" w:pos="4252"/>
        <w:tab w:val="num" w:pos="2835"/>
        <w:tab w:val="num" w:pos="5386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B4035"/>
    <w:pPr>
      <w:widowControl/>
      <w:numPr>
        <w:numId w:val="3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B4035"/>
    <w:pPr>
      <w:widowControl/>
      <w:numPr>
        <w:numId w:val="31"/>
      </w:numPr>
      <w:tabs>
        <w:tab w:val="clear" w:pos="5386"/>
        <w:tab w:val="num" w:pos="850"/>
        <w:tab w:val="num" w:pos="1134"/>
      </w:tabs>
      <w:spacing w:before="120" w:after="120" w:line="360" w:lineRule="auto"/>
      <w:ind w:left="1134" w:hanging="85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B4035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B4035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B4035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B4035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B4035"/>
    <w:pPr>
      <w:widowControl/>
      <w:numPr>
        <w:ilvl w:val="4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B4035"/>
    <w:pPr>
      <w:widowControl/>
      <w:numPr>
        <w:ilvl w:val="5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B4035"/>
    <w:pPr>
      <w:widowControl/>
      <w:numPr>
        <w:ilvl w:val="6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B40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B40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B40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B40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B40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B40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B40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B40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B403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B40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B40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B40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B40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B40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B40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B403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B403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B403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B403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B4035"/>
    <w:pPr>
      <w:widowControl/>
      <w:numPr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B4035"/>
    <w:pPr>
      <w:widowControl/>
      <w:numPr>
        <w:ilvl w:val="2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B4035"/>
    <w:pPr>
      <w:widowControl/>
      <w:numPr>
        <w:ilvl w:val="4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B4035"/>
    <w:pPr>
      <w:widowControl/>
      <w:numPr>
        <w:ilvl w:val="6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B4035"/>
    <w:pPr>
      <w:widowControl/>
      <w:numPr>
        <w:ilvl w:val="1"/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B4035"/>
    <w:pPr>
      <w:widowControl/>
      <w:numPr>
        <w:ilvl w:val="3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B4035"/>
    <w:pPr>
      <w:widowControl/>
      <w:numPr>
        <w:ilvl w:val="5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B4035"/>
    <w:pPr>
      <w:widowControl/>
      <w:numPr>
        <w:ilvl w:val="7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B4035"/>
    <w:pPr>
      <w:widowControl/>
      <w:numPr>
        <w:ilvl w:val="8"/>
        <w:numId w:val="33"/>
      </w:numPr>
      <w:tabs>
        <w:tab w:val="clear" w:pos="3118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B4035"/>
    <w:pPr>
      <w:widowControl/>
      <w:numPr>
        <w:numId w:val="34"/>
      </w:numPr>
      <w:tabs>
        <w:tab w:val="clear" w:pos="850"/>
        <w:tab w:val="num" w:pos="2835"/>
        <w:tab w:val="num" w:pos="4252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B4035"/>
    <w:pPr>
      <w:widowControl/>
      <w:numPr>
        <w:numId w:val="35"/>
      </w:numPr>
      <w:tabs>
        <w:tab w:val="clear" w:pos="3685"/>
        <w:tab w:val="num" w:pos="567"/>
        <w:tab w:val="num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B4035"/>
    <w:pPr>
      <w:widowControl/>
      <w:numPr>
        <w:numId w:val="36"/>
      </w:numPr>
      <w:tabs>
        <w:tab w:val="clear" w:pos="4252"/>
        <w:tab w:val="num" w:pos="1134"/>
        <w:tab w:val="num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B4035"/>
    <w:pPr>
      <w:widowControl/>
      <w:numPr>
        <w:numId w:val="37"/>
      </w:numPr>
      <w:tabs>
        <w:tab w:val="clear" w:pos="4819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B4035"/>
    <w:pPr>
      <w:widowControl/>
      <w:numPr>
        <w:numId w:val="38"/>
      </w:numPr>
      <w:tabs>
        <w:tab w:val="clear" w:pos="5386"/>
        <w:tab w:val="num" w:pos="360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B40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B40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B403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B4035"/>
    <w:pPr>
      <w:widowControl/>
      <w:numPr>
        <w:numId w:val="39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B403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B403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B403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B403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B403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B40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B403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B403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B403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B403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B403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B403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B403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B403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B403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B403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B403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B403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B403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B40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B403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B403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B403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B403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B4035"/>
    <w:pPr>
      <w:spacing w:before="240"/>
    </w:pPr>
  </w:style>
  <w:style w:type="paragraph" w:customStyle="1" w:styleId="Accordtitre">
    <w:name w:val="Accord titre"/>
    <w:basedOn w:val="Normal"/>
    <w:rsid w:val="00CB403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B403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B403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B403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B403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B4035"/>
    <w:pPr>
      <w:spacing w:after="240"/>
    </w:pPr>
  </w:style>
  <w:style w:type="paragraph" w:customStyle="1" w:styleId="Annexetitre">
    <w:name w:val="Annexe titre"/>
    <w:basedOn w:val="Normal"/>
    <w:next w:val="Normal"/>
    <w:rsid w:val="00CB40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B403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B40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B40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B40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B40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B403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B40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B403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B403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B403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B403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B403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B403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B403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B403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B403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B403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B403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B403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B403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B403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B403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B403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B403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B403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B40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B40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B403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CB403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B4035"/>
    <w:pPr>
      <w:pBdr>
        <w:top w:val="none" w:sz="0" w:space="0" w:color="auto"/>
        <w:left w:val="single" w:sz="4" w:space="20" w:color="auto"/>
      </w:pBdr>
    </w:pPr>
  </w:style>
  <w:style w:type="character" w:customStyle="1" w:styleId="TitleChar1">
    <w:name w:val="Title Char1"/>
    <w:basedOn w:val="DefaultParagraphFont"/>
    <w:rsid w:val="00CB4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rsid w:val="00CB403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QuoteChar1">
    <w:name w:val="Quote Char1"/>
    <w:basedOn w:val="DefaultParagraphFont"/>
    <w:uiPriority w:val="29"/>
    <w:rsid w:val="00CB4035"/>
    <w:rPr>
      <w:i/>
      <w:iCs/>
      <w:color w:val="404040" w:themeColor="text1" w:themeTint="BF"/>
      <w:sz w:val="24"/>
    </w:rPr>
  </w:style>
  <w:style w:type="character" w:customStyle="1" w:styleId="IntenseQuoteChar1">
    <w:name w:val="Intense Quote Char1"/>
    <w:basedOn w:val="DefaultParagraphFont"/>
    <w:uiPriority w:val="30"/>
    <w:rsid w:val="00CB4035"/>
    <w:rPr>
      <w:i/>
      <w:iCs/>
      <w:color w:val="5B9BD5" w:themeColor="accent1"/>
      <w:sz w:val="24"/>
    </w:rPr>
  </w:style>
  <w:style w:type="paragraph" w:customStyle="1" w:styleId="HeadingDocType24a">
    <w:name w:val="HeadingDocType24a"/>
    <w:basedOn w:val="Normal"/>
    <w:rsid w:val="00FC0AA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C0AA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C0AAA"/>
    <w:pPr>
      <w:jc w:val="center"/>
    </w:pPr>
  </w:style>
  <w:style w:type="paragraph" w:customStyle="1" w:styleId="LineSingle">
    <w:name w:val="LineSingle"/>
    <w:basedOn w:val="Normal"/>
    <w:next w:val="Normal"/>
    <w:rsid w:val="00FC0AA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C0AAA"/>
    <w:pPr>
      <w:spacing w:before="240" w:after="240"/>
    </w:pPr>
  </w:style>
  <w:style w:type="paragraph" w:styleId="NormalWeb">
    <w:name w:val="Normal (Web)"/>
    <w:basedOn w:val="Normal"/>
    <w:rsid w:val="00FC0AAA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Anja Nielsen</cp:lastModifiedBy>
  <cp:revision>2</cp:revision>
  <cp:lastPrinted>2004-11-19T15:42:00Z</cp:lastPrinted>
  <dcterms:created xsi:type="dcterms:W3CDTF">2026-03-04T10:44:00Z</dcterms:created>
  <dcterms:modified xsi:type="dcterms:W3CDTF">2026-03-04T10:44:00Z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