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68B8" w14:paraId="0A16DF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0AE11C" w14:textId="77777777" w:rsidR="00751A4A" w:rsidRPr="00E468B8" w:rsidRDefault="00B9257B" w:rsidP="0010095E">
            <w:pPr>
              <w:pStyle w:val="EPName"/>
            </w:pPr>
            <w:r w:rsidRPr="00E468B8">
              <w:t>Ευρωπαϊκό Κοινοβούλιο</w:t>
            </w:r>
          </w:p>
          <w:p w14:paraId="496ADBBE" w14:textId="77777777" w:rsidR="00751A4A" w:rsidRPr="00E468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68B8">
              <w:t>2024</w:t>
            </w:r>
            <w:r w:rsidR="00817416" w:rsidRPr="00E468B8">
              <w:t>-202</w:t>
            </w:r>
            <w:r w:rsidRPr="00E468B8">
              <w:t>9</w:t>
            </w:r>
          </w:p>
        </w:tc>
        <w:tc>
          <w:tcPr>
            <w:tcW w:w="2268" w:type="dxa"/>
            <w:shd w:val="clear" w:color="auto" w:fill="auto"/>
          </w:tcPr>
          <w:p w14:paraId="237CE982" w14:textId="77777777" w:rsidR="00751A4A" w:rsidRPr="00E468B8" w:rsidRDefault="00187494" w:rsidP="0010095E">
            <w:pPr>
              <w:pStyle w:val="EPLogo"/>
            </w:pPr>
            <w:r w:rsidRPr="00E468B8">
              <w:rPr>
                <w:noProof/>
                <w:lang w:eastAsia="ja-JP"/>
              </w:rPr>
              <w:drawing>
                <wp:inline distT="0" distB="0" distL="0" distR="0" wp14:anchorId="646CF8E3" wp14:editId="4394FE7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933D3E" w14:textId="77777777" w:rsidR="00D058B8" w:rsidRPr="00E468B8" w:rsidRDefault="00D058B8" w:rsidP="004C5D52">
      <w:pPr>
        <w:pStyle w:val="LineTop"/>
      </w:pPr>
    </w:p>
    <w:p w14:paraId="6DA14199" w14:textId="77777777" w:rsidR="00680577" w:rsidRPr="00E468B8" w:rsidRDefault="00B9257B" w:rsidP="00680577">
      <w:pPr>
        <w:pStyle w:val="EPBodyTA1"/>
      </w:pPr>
      <w:r w:rsidRPr="00E468B8">
        <w:t>ΚΕΙΜΕΝΑ ΠΟΥ ΕΓΚΡΙΘΗΚΑΝ</w:t>
      </w:r>
    </w:p>
    <w:p w14:paraId="5E5E6EC2" w14:textId="77777777" w:rsidR="00D058B8" w:rsidRPr="00E468B8" w:rsidRDefault="00D058B8" w:rsidP="00D058B8">
      <w:pPr>
        <w:pStyle w:val="LineBottom"/>
      </w:pPr>
    </w:p>
    <w:p w14:paraId="67CC0322" w14:textId="6C3F8794" w:rsidR="00B9257B" w:rsidRPr="00262288" w:rsidRDefault="00B9257B" w:rsidP="00B9257B">
      <w:pPr>
        <w:pStyle w:val="ATHeading1"/>
      </w:pPr>
      <w:bookmarkStart w:id="0" w:name="TANumber"/>
      <w:r w:rsidRPr="00E468B8">
        <w:t>P10_TA(2025)0</w:t>
      </w:r>
      <w:r w:rsidR="00262288" w:rsidRPr="00262288">
        <w:t>324</w:t>
      </w:r>
      <w:bookmarkEnd w:id="0"/>
    </w:p>
    <w:p w14:paraId="18A11675" w14:textId="77777777" w:rsidR="00B9257B" w:rsidRPr="00E468B8" w:rsidRDefault="00B9257B" w:rsidP="00B9257B">
      <w:pPr>
        <w:pStyle w:val="ATHeading2"/>
      </w:pPr>
      <w:bookmarkStart w:id="1" w:name="title"/>
      <w:r w:rsidRPr="00E468B8">
        <w:t>Ορισμένες απαιτήσεις υποβολής εκθέσεων βιωσιμότητας και απαιτήσεις δέουσας επιμέλειας από τις εταιρείες</w:t>
      </w:r>
      <w:bookmarkEnd w:id="1"/>
    </w:p>
    <w:p w14:paraId="76E73794" w14:textId="77777777" w:rsidR="00B9257B" w:rsidRPr="00E468B8" w:rsidRDefault="00B9257B" w:rsidP="00B9257B">
      <w:pPr>
        <w:rPr>
          <w:i/>
          <w:vanish/>
        </w:rPr>
      </w:pPr>
      <w:r w:rsidRPr="00E468B8">
        <w:rPr>
          <w:i/>
        </w:rPr>
        <w:fldChar w:fldCharType="begin"/>
      </w:r>
      <w:r w:rsidRPr="00E468B8">
        <w:rPr>
          <w:i/>
        </w:rPr>
        <w:instrText xml:space="preserve"> TC"(</w:instrText>
      </w:r>
      <w:bookmarkStart w:id="2" w:name="DocNumber"/>
      <w:r w:rsidRPr="00E468B8">
        <w:rPr>
          <w:i/>
        </w:rPr>
        <w:instrText>A10-0197/2025</w:instrText>
      </w:r>
      <w:bookmarkEnd w:id="2"/>
      <w:r w:rsidRPr="00E468B8">
        <w:rPr>
          <w:i/>
        </w:rPr>
        <w:instrText xml:space="preserve"> - Εισηγητής: Jörgen Warborn)"\l3 \n&gt; \* MERGEFORMAT </w:instrText>
      </w:r>
      <w:r w:rsidRPr="00E468B8">
        <w:rPr>
          <w:i/>
        </w:rPr>
        <w:fldChar w:fldCharType="end"/>
      </w:r>
    </w:p>
    <w:p w14:paraId="1F4C27FF" w14:textId="77777777" w:rsidR="00B9257B" w:rsidRPr="00E468B8" w:rsidRDefault="00B9257B" w:rsidP="00B9257B">
      <w:pPr>
        <w:rPr>
          <w:vanish/>
        </w:rPr>
      </w:pPr>
      <w:bookmarkStart w:id="3" w:name="Commission"/>
      <w:r w:rsidRPr="00E468B8">
        <w:rPr>
          <w:vanish/>
        </w:rPr>
        <w:t>Επιτροπή Νομικών Θεμάτων</w:t>
      </w:r>
      <w:bookmarkEnd w:id="3"/>
    </w:p>
    <w:p w14:paraId="47A72599" w14:textId="77777777" w:rsidR="00B9257B" w:rsidRPr="00E468B8" w:rsidRDefault="00B9257B" w:rsidP="00B9257B">
      <w:pPr>
        <w:rPr>
          <w:vanish/>
        </w:rPr>
      </w:pPr>
      <w:bookmarkStart w:id="4" w:name="PE"/>
      <w:r w:rsidRPr="00E468B8">
        <w:rPr>
          <w:vanish/>
        </w:rPr>
        <w:t>PE774.282</w:t>
      </w:r>
      <w:bookmarkEnd w:id="4"/>
    </w:p>
    <w:p w14:paraId="725A2EC1" w14:textId="0C16DC1F" w:rsidR="00B9257B" w:rsidRPr="00E468B8" w:rsidRDefault="00B9257B" w:rsidP="00B9257B">
      <w:pPr>
        <w:pStyle w:val="ATHeading3"/>
      </w:pPr>
      <w:bookmarkStart w:id="5" w:name="Sujet"/>
      <w:r w:rsidRPr="00E468B8">
        <w:t xml:space="preserve">Νομοθετικό ψήφισμα του Ευρωπαϊκού Κοινοβουλίου </w:t>
      </w:r>
      <w:r w:rsidR="00DB7534">
        <w:t xml:space="preserve">της 16ης Δεκεμβρίου 2025 </w:t>
      </w:r>
      <w:r w:rsidRPr="00E468B8">
        <w:t>σχετικά με την πρόταση οδηγίας του Ευρωπαϊκού Κοινοβουλίου και του Συμβουλίου για την τροποποίηση των οδηγιών 2006/43/ΕΚ, 2013/34/ΕΕ, (ΕΕ) 2022/2464 και (ΕΕ) 2024/1760 όσον αφορά ορισμένες απαιτήσεις υποβολής εκθέσεων βιωσιμότητας και απαιτήσεις δέουσας επιμέλειας από τις εταιρείες</w:t>
      </w:r>
      <w:bookmarkEnd w:id="5"/>
      <w:r w:rsidRPr="00E468B8">
        <w:t xml:space="preserve"> </w:t>
      </w:r>
      <w:bookmarkStart w:id="6" w:name="References"/>
      <w:r w:rsidRPr="00E468B8">
        <w:t>(COM(2025)0081 – C10-0037/2025 – 2025/0045(COD))</w:t>
      </w:r>
      <w:bookmarkEnd w:id="6"/>
    </w:p>
    <w:p w14:paraId="08C08998" w14:textId="77777777" w:rsidR="00B9257B" w:rsidRPr="00E468B8" w:rsidRDefault="00B9257B" w:rsidP="00B9257B"/>
    <w:p w14:paraId="33228F50" w14:textId="77777777" w:rsidR="00BA0681" w:rsidRPr="00E468B8" w:rsidRDefault="00BA0681" w:rsidP="00BA0681">
      <w:pPr>
        <w:pStyle w:val="NormalBold"/>
      </w:pPr>
      <w:bookmarkStart w:id="7" w:name="TextBodyBegin"/>
      <w:bookmarkEnd w:id="7"/>
      <w:r w:rsidRPr="00E468B8">
        <w:t>(Συνήθης νομοθετική διαδικασία: πρώτη ανάγνωση))</w:t>
      </w:r>
    </w:p>
    <w:p w14:paraId="4FE0CC73" w14:textId="2130D2E5" w:rsidR="00BA0681" w:rsidRPr="00E468B8" w:rsidRDefault="00BA0681" w:rsidP="00BA0681">
      <w:pPr>
        <w:pStyle w:val="EPComma"/>
      </w:pPr>
      <w:r w:rsidRPr="00E468B8">
        <w:rPr>
          <w:i/>
        </w:rPr>
        <w:t>Το Ευρωπαϊκό Κοινοβούλιο</w:t>
      </w:r>
      <w:r w:rsidRPr="00E468B8">
        <w:t>,</w:t>
      </w:r>
    </w:p>
    <w:p w14:paraId="7E103030" w14:textId="4056CF18" w:rsidR="00BA0681" w:rsidRPr="00E468B8" w:rsidRDefault="00BA0681" w:rsidP="00BA0681">
      <w:pPr>
        <w:pStyle w:val="NormalHanging12a"/>
      </w:pPr>
      <w:r w:rsidRPr="00E468B8">
        <w:t>–</w:t>
      </w:r>
      <w:r w:rsidRPr="00E468B8">
        <w:tab/>
        <w:t>έχοντας υπόψη την πρόταση της Επιτροπής προς το Κοινοβούλιο και το Συμβούλιο (COM(2025)0081),</w:t>
      </w:r>
    </w:p>
    <w:p w14:paraId="4E15AE87" w14:textId="2CE7F597" w:rsidR="00BA0681" w:rsidRPr="00E468B8" w:rsidRDefault="00BA0681" w:rsidP="00BA0681">
      <w:pPr>
        <w:pStyle w:val="NormalHanging12a"/>
      </w:pPr>
      <w:r w:rsidRPr="00E468B8">
        <w:t>–</w:t>
      </w:r>
      <w:r w:rsidRPr="00E468B8">
        <w:tab/>
        <w:t>έχοντας υπόψη το άρθρο 294 παράγραφος 2 και τα άρθρα 50 και 114 της Συνθήκης για τη λειτουργία της Ευρωπαϊκής Ένωσης, σύμφωνα με τα οποία του υποβλήθηκε η πρόταση από την Επιτροπή (C10</w:t>
      </w:r>
      <w:r w:rsidRPr="00E468B8">
        <w:noBreakHyphen/>
        <w:t>0037/2025),</w:t>
      </w:r>
    </w:p>
    <w:p w14:paraId="30D54C15" w14:textId="63554A9D" w:rsidR="00BA0681" w:rsidRPr="00E468B8" w:rsidRDefault="00BA0681" w:rsidP="00BA0681">
      <w:pPr>
        <w:pStyle w:val="NormalHanging12a"/>
      </w:pPr>
      <w:r w:rsidRPr="00E468B8">
        <w:t>–</w:t>
      </w:r>
      <w:r w:rsidRPr="00E468B8">
        <w:tab/>
        <w:t>έχοντας υπόψη το άρθρο 294 παράγραφος 3 της Συνθήκης για τη λειτουργία της Ευρωπαϊκής Ένωσης,</w:t>
      </w:r>
    </w:p>
    <w:p w14:paraId="01D48FB5" w14:textId="59C55E19" w:rsidR="00BA0681" w:rsidRDefault="00BA0681" w:rsidP="00BA0681">
      <w:pPr>
        <w:pStyle w:val="NormalHanging12a"/>
      </w:pPr>
      <w:r w:rsidRPr="00E468B8">
        <w:t>–</w:t>
      </w:r>
      <w:r w:rsidRPr="00E468B8">
        <w:tab/>
        <w:t>έχοντας υπόψη τη γνώμη της Ευρωπαϊκής Οικονομικής και Κοινωνικής Επιτροπής</w:t>
      </w:r>
      <w:r w:rsidR="001A1A49">
        <w:t>,</w:t>
      </w:r>
      <w:r w:rsidRPr="00E468B8">
        <w:t xml:space="preserve"> της </w:t>
      </w:r>
      <w:r w:rsidR="00A96AF3">
        <w:t>20ής Αυγούστου 2025</w:t>
      </w:r>
      <w:r w:rsidRPr="00E468B8">
        <w:rPr>
          <w:rStyle w:val="FootnoteReference"/>
        </w:rPr>
        <w:footnoteReference w:id="1"/>
      </w:r>
      <w:r w:rsidRPr="00E468B8">
        <w:t>,</w:t>
      </w:r>
    </w:p>
    <w:p w14:paraId="2DCE742C" w14:textId="3D15240C" w:rsidR="00B43A97" w:rsidRPr="00E468B8" w:rsidRDefault="00B43A97" w:rsidP="00BA0681">
      <w:pPr>
        <w:pStyle w:val="NormalHanging12a"/>
      </w:pPr>
      <w:r w:rsidRPr="00E468B8">
        <w:t>–</w:t>
      </w:r>
      <w:r w:rsidRPr="00E468B8">
        <w:tab/>
      </w:r>
      <w:r w:rsidRPr="00B43A97">
        <w:t xml:space="preserve">έχοντας υπόψη την προσωρινή συμφωνία που εγκρίθηκε από την αρμόδια επιτροπή σύμφωνα με το άρθρο </w:t>
      </w:r>
      <w:r>
        <w:t>7</w:t>
      </w:r>
      <w:r w:rsidR="00DD2DC9">
        <w:rPr>
          <w:lang w:val="hr-HR"/>
        </w:rPr>
        <w:t>5</w:t>
      </w:r>
      <w:r w:rsidRPr="00B43A97">
        <w:t xml:space="preserve"> παράγραφος 4 του Κανονισμού του, και τη δέσμευση του εκπροσώπου του Συμβουλίου, με επιστολή της </w:t>
      </w:r>
      <w:r>
        <w:t>11ης</w:t>
      </w:r>
      <w:r w:rsidRPr="00B43A97">
        <w:t> </w:t>
      </w:r>
      <w:r>
        <w:t>Δεκεμβρίου</w:t>
      </w:r>
      <w:r w:rsidRPr="00B43A97">
        <w:t xml:space="preserve"> 20</w:t>
      </w:r>
      <w:r>
        <w:t>25</w:t>
      </w:r>
      <w:r w:rsidRPr="00B43A97">
        <w:t>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5299D092" w14:textId="7D2E7F7A" w:rsidR="00BA0681" w:rsidRPr="00E468B8" w:rsidRDefault="00BA0681" w:rsidP="00BA0681">
      <w:pPr>
        <w:pStyle w:val="NormalHanging12a"/>
      </w:pPr>
      <w:r w:rsidRPr="00E468B8">
        <w:t>–</w:t>
      </w:r>
      <w:r w:rsidRPr="00E468B8">
        <w:tab/>
        <w:t>έχοντας υπόψη το άρθρο 60 του Κανονισμού του,</w:t>
      </w:r>
    </w:p>
    <w:p w14:paraId="71E34542" w14:textId="621D01EC" w:rsidR="00BA0681" w:rsidRPr="00E468B8" w:rsidRDefault="00BA0681" w:rsidP="00D852A9">
      <w:pPr>
        <w:pStyle w:val="NormalHanging12a"/>
      </w:pPr>
      <w:r w:rsidRPr="00E468B8">
        <w:t>–</w:t>
      </w:r>
      <w:r w:rsidRPr="00E468B8">
        <w:tab/>
        <w:t xml:space="preserve">έχοντας υπόψη τις γνωμοδοτήσεις της Επιτροπής Εξωτερικών Υποθέσεων, της Επιτροπής Διεθνούς Εμπορίου, της Επιτροπής Οικονομικής και Νομισματικής </w:t>
      </w:r>
      <w:r w:rsidRPr="00E468B8">
        <w:lastRenderedPageBreak/>
        <w:t>Πολιτικής, της Επιτροπής Απασχόλησης και Κοινωνικών Υποθέσεων και της Επιτροπής Περιβάλλοντος, Κλίματος και Ασφάλειας των Τροφίμων,</w:t>
      </w:r>
    </w:p>
    <w:p w14:paraId="36E4EC1D" w14:textId="59FF6746" w:rsidR="00BA0681" w:rsidRPr="00E468B8" w:rsidRDefault="00BA0681" w:rsidP="00BA0681">
      <w:pPr>
        <w:pStyle w:val="NormalHanging12a"/>
      </w:pPr>
      <w:r w:rsidRPr="00E468B8">
        <w:t>–</w:t>
      </w:r>
      <w:r w:rsidRPr="00E468B8">
        <w:tab/>
        <w:t>έχοντας υπόψη την έκθεση της Επιτροπής Νομικών Θεμάτων (A10-0197/2025),</w:t>
      </w:r>
    </w:p>
    <w:p w14:paraId="0742E72F" w14:textId="7CC94ED2" w:rsidR="00BA0681" w:rsidRPr="00E468B8" w:rsidRDefault="00BA0681" w:rsidP="00BA0681">
      <w:pPr>
        <w:pStyle w:val="NormalHanging12a"/>
      </w:pPr>
      <w:r w:rsidRPr="00E468B8">
        <w:t>1.</w:t>
      </w:r>
      <w:r w:rsidRPr="00E468B8">
        <w:tab/>
        <w:t>εγκρίνει τη θέση του σε πρώτη ανάγνωση όπως παρατίθεται κατωτέρω·</w:t>
      </w:r>
    </w:p>
    <w:p w14:paraId="2CABB6F7" w14:textId="5B8B2E3F" w:rsidR="00BA0681" w:rsidRPr="00E468B8" w:rsidRDefault="00BA0681" w:rsidP="00BA0681">
      <w:pPr>
        <w:pStyle w:val="NormalHanging12a"/>
      </w:pPr>
      <w:r w:rsidRPr="00E468B8">
        <w:t>2.</w:t>
      </w:r>
      <w:r w:rsidRPr="00E468B8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10F890D0" w14:textId="77777777" w:rsidR="00DB7534" w:rsidRDefault="00BA0681" w:rsidP="00BA0681">
      <w:pPr>
        <w:pStyle w:val="NormalHanging12a"/>
        <w:sectPr w:rsidR="00DB7534" w:rsidSect="00E468B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468B8">
        <w:t>3.</w:t>
      </w:r>
      <w:r w:rsidRPr="00E468B8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25ED78C4" w14:textId="0361FE3F" w:rsidR="00DB7534" w:rsidRPr="00C96A0A" w:rsidRDefault="00DB7534" w:rsidP="00DB7534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P10_TC1-COD(2025</w:t>
      </w:r>
      <w:r w:rsidRPr="00C96A0A">
        <w:rPr>
          <w:b/>
        </w:rPr>
        <w:t>)0</w:t>
      </w:r>
      <w:r>
        <w:rPr>
          <w:b/>
        </w:rPr>
        <w:t>045</w:t>
      </w:r>
    </w:p>
    <w:p w14:paraId="5944860F" w14:textId="0F6F71AB" w:rsidR="00A96AF3" w:rsidRPr="00A96AF3" w:rsidRDefault="00DB7534" w:rsidP="00262288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4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16</w:t>
      </w:r>
      <w:r w:rsidRPr="00C96A0A">
        <w:rPr>
          <w:b/>
        </w:rPr>
        <w:t> </w:t>
      </w:r>
      <w:r>
        <w:rPr>
          <w:b/>
        </w:rPr>
        <w:t>Δεκεμβρίου 2025</w:t>
      </w:r>
      <w:r w:rsidRPr="00C96A0A">
        <w:rPr>
          <w:b/>
        </w:rPr>
        <w:t xml:space="preserve"> εν όψει της έγκρισης </w:t>
      </w:r>
      <w:r>
        <w:rPr>
          <w:b/>
        </w:rPr>
        <w:t>οδηγίας</w:t>
      </w:r>
      <w:r w:rsidRPr="00C96A0A">
        <w:rPr>
          <w:b/>
        </w:rPr>
        <w:t xml:space="preserve"> (ΕΕ) 20</w:t>
      </w:r>
      <w:r>
        <w:rPr>
          <w:b/>
        </w:rPr>
        <w:t>2</w:t>
      </w:r>
      <w:r w:rsidR="00E56D8F">
        <w:rPr>
          <w:b/>
        </w:rPr>
        <w:t>6</w:t>
      </w:r>
      <w:r w:rsidRPr="00C96A0A">
        <w:rPr>
          <w:b/>
        </w:rPr>
        <w:t xml:space="preserve">/... του Ευρωπαϊκού Κοινοβουλίου και του Συμβουλίου </w:t>
      </w:r>
      <w:r w:rsidR="00194310" w:rsidRPr="00194310">
        <w:rPr>
          <w:b/>
        </w:rPr>
        <w:t>για την τροποποίηση των οδηγιών 2006/43/ΕΚ, 2013/34/ΕΕ, (ΕΕ) 2022/2464 και (ΕΕ) 2024/1760 όσον αφορά ορισμένες απαιτήσεις υποβολής εκθέσεων βιωσιμότητας από τις εταιρείες και ορισμένες απαιτήσεις εταιρικής δέουσας επιμέλειας όσον αφορά τη βιωσιμότητα</w:t>
      </w:r>
    </w:p>
    <w:p w14:paraId="5C54EAB1" w14:textId="3723B065" w:rsidR="00E56D8F" w:rsidRPr="007B7B26" w:rsidRDefault="00E56D8F" w:rsidP="00E56D8F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οδηγία</w:t>
      </w:r>
      <w:r>
        <w:rPr>
          <w:i/>
        </w:rPr>
        <w:t xml:space="preserve">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6</w:t>
      </w:r>
      <w:r>
        <w:rPr>
          <w:i/>
        </w:rPr>
        <w:t>/</w:t>
      </w:r>
      <w:r>
        <w:rPr>
          <w:i/>
        </w:rPr>
        <w:t>470</w:t>
      </w:r>
      <w:r>
        <w:rPr>
          <w:i/>
        </w:rPr>
        <w:t>.</w:t>
      </w:r>
      <w:r w:rsidRPr="007B7B26">
        <w:rPr>
          <w:i/>
        </w:rPr>
        <w:t>)</w:t>
      </w:r>
    </w:p>
    <w:p w14:paraId="6782FE4D" w14:textId="77777777" w:rsidR="00A96AF3" w:rsidRPr="00A96AF3" w:rsidRDefault="00A96AF3" w:rsidP="00E56D8F">
      <w:pPr>
        <w:widowControl/>
        <w:spacing w:before="360" w:after="240" w:line="360" w:lineRule="auto"/>
        <w:jc w:val="center"/>
        <w:rPr>
          <w:b/>
        </w:rPr>
      </w:pPr>
    </w:p>
    <w:sectPr w:rsidR="00A96AF3" w:rsidRPr="00A96AF3" w:rsidSect="00E468B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A46B3" w14:textId="77777777" w:rsidR="00B9257B" w:rsidRPr="00E468B8" w:rsidRDefault="00B9257B">
      <w:r w:rsidRPr="00E468B8">
        <w:separator/>
      </w:r>
    </w:p>
  </w:endnote>
  <w:endnote w:type="continuationSeparator" w:id="0">
    <w:p w14:paraId="11375372" w14:textId="77777777" w:rsidR="00B9257B" w:rsidRPr="00E468B8" w:rsidRDefault="00B9257B">
      <w:r w:rsidRPr="00E468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BCC3B" w14:textId="77777777" w:rsidR="00064002" w:rsidRPr="00E468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D9231" w14:textId="77777777" w:rsidR="00064002" w:rsidRPr="00E468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3041C" w14:textId="77777777" w:rsidR="00064002" w:rsidRPr="00E468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E9C33" w14:textId="77777777" w:rsidR="00B9257B" w:rsidRPr="00E468B8" w:rsidRDefault="00B9257B">
      <w:r w:rsidRPr="00E468B8">
        <w:separator/>
      </w:r>
    </w:p>
  </w:footnote>
  <w:footnote w:type="continuationSeparator" w:id="0">
    <w:p w14:paraId="4F467999" w14:textId="77777777" w:rsidR="00B9257B" w:rsidRPr="00E468B8" w:rsidRDefault="00B9257B">
      <w:r w:rsidRPr="00E468B8">
        <w:continuationSeparator/>
      </w:r>
    </w:p>
  </w:footnote>
  <w:footnote w:id="1">
    <w:p w14:paraId="7953E5BA" w14:textId="388A8F1B" w:rsidR="00BA0681" w:rsidRPr="00262288" w:rsidRDefault="00BA0681" w:rsidP="00262288">
      <w:pPr>
        <w:pStyle w:val="FootnoteText"/>
        <w:ind w:left="851" w:hanging="851"/>
        <w:rPr>
          <w:sz w:val="24"/>
          <w:szCs w:val="24"/>
          <w:lang w:val="fi-FI"/>
        </w:rPr>
      </w:pPr>
      <w:r w:rsidRPr="007E190C">
        <w:rPr>
          <w:rStyle w:val="FootnoteReference"/>
          <w:sz w:val="24"/>
          <w:szCs w:val="24"/>
          <w:lang w:val="el-GR"/>
        </w:rPr>
        <w:footnoteRef/>
      </w:r>
      <w:r w:rsidR="00E468B8" w:rsidRPr="00262288">
        <w:rPr>
          <w:sz w:val="24"/>
          <w:szCs w:val="24"/>
          <w:lang w:val="fi-FI"/>
        </w:rPr>
        <w:t xml:space="preserve"> </w:t>
      </w:r>
      <w:r w:rsidR="00E468B8" w:rsidRPr="00262288">
        <w:rPr>
          <w:sz w:val="24"/>
          <w:szCs w:val="24"/>
          <w:lang w:val="fi-FI"/>
        </w:rPr>
        <w:tab/>
      </w:r>
      <w:r w:rsidR="00A96AF3" w:rsidRPr="007E190C">
        <w:rPr>
          <w:sz w:val="24"/>
          <w:szCs w:val="24"/>
          <w:lang w:val="el-GR"/>
        </w:rPr>
        <w:t>ΕΕ</w:t>
      </w:r>
      <w:r w:rsidR="00A96AF3" w:rsidRPr="007E190C">
        <w:rPr>
          <w:sz w:val="24"/>
          <w:szCs w:val="24"/>
          <w:lang w:val="fi-FI"/>
        </w:rPr>
        <w:t xml:space="preserve"> C, C/2025/4212, 20.8.2025, ELI: </w:t>
      </w:r>
      <w:hyperlink r:id="rId1" w:history="1">
        <w:r w:rsidR="00A96AF3" w:rsidRPr="007E190C">
          <w:rPr>
            <w:rStyle w:val="Hyperlink"/>
            <w:sz w:val="24"/>
            <w:szCs w:val="24"/>
            <w:lang w:val="fi-FI"/>
          </w:rPr>
          <w:t>http://data.europa.eu/eli/C/2025/4212/oj</w:t>
        </w:r>
      </w:hyperlink>
      <w:r w:rsidRPr="00262288">
        <w:rPr>
          <w:sz w:val="24"/>
          <w:szCs w:val="24"/>
          <w:lang w:val="fi-FI"/>
        </w:rPr>
        <w:t>.</w:t>
      </w:r>
      <w:r w:rsidR="00A96AF3" w:rsidRPr="00262288">
        <w:rPr>
          <w:sz w:val="24"/>
          <w:szCs w:val="24"/>
          <w:lang w:val="fi-F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54080" w14:textId="77777777" w:rsidR="00064002" w:rsidRPr="00E468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46294" w14:textId="77777777" w:rsidR="00064002" w:rsidRPr="00E468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F7E27" w14:textId="77777777" w:rsidR="00064002" w:rsidRPr="00E468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D096C25C"/>
    <w:name w:val="Point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893857649">
    <w:abstractNumId w:val="2"/>
  </w:num>
  <w:num w:numId="2" w16cid:durableId="1797486738">
    <w:abstractNumId w:val="13"/>
  </w:num>
  <w:num w:numId="3" w16cid:durableId="1307466308">
    <w:abstractNumId w:val="0"/>
  </w:num>
  <w:num w:numId="4" w16cid:durableId="567542593">
    <w:abstractNumId w:val="10"/>
  </w:num>
  <w:num w:numId="5" w16cid:durableId="468937464">
    <w:abstractNumId w:val="17"/>
  </w:num>
  <w:num w:numId="6" w16cid:durableId="419840491">
    <w:abstractNumId w:val="9"/>
  </w:num>
  <w:num w:numId="7" w16cid:durableId="1468821640">
    <w:abstractNumId w:val="7"/>
  </w:num>
  <w:num w:numId="8" w16cid:durableId="1006633821">
    <w:abstractNumId w:val="27"/>
  </w:num>
  <w:num w:numId="9" w16cid:durableId="128519428">
    <w:abstractNumId w:val="32"/>
  </w:num>
  <w:num w:numId="10" w16cid:durableId="397554397">
    <w:abstractNumId w:val="28"/>
  </w:num>
  <w:num w:numId="11" w16cid:durableId="1046486109">
    <w:abstractNumId w:val="1"/>
  </w:num>
  <w:num w:numId="12" w16cid:durableId="794643710">
    <w:abstractNumId w:val="29"/>
  </w:num>
  <w:num w:numId="13" w16cid:durableId="2146312979">
    <w:abstractNumId w:val="25"/>
  </w:num>
  <w:num w:numId="14" w16cid:durableId="2045208649">
    <w:abstractNumId w:val="3"/>
  </w:num>
  <w:num w:numId="15" w16cid:durableId="288975442">
    <w:abstractNumId w:val="31"/>
  </w:num>
  <w:num w:numId="16" w16cid:durableId="1456873556">
    <w:abstractNumId w:val="36"/>
  </w:num>
  <w:num w:numId="17" w16cid:durableId="2111467445">
    <w:abstractNumId w:val="22"/>
  </w:num>
  <w:num w:numId="18" w16cid:durableId="1665891583">
    <w:abstractNumId w:val="30"/>
  </w:num>
  <w:num w:numId="19" w16cid:durableId="638341248">
    <w:abstractNumId w:val="26"/>
  </w:num>
  <w:num w:numId="20" w16cid:durableId="1515917783">
    <w:abstractNumId w:val="23"/>
  </w:num>
  <w:num w:numId="21" w16cid:durableId="674577510">
    <w:abstractNumId w:val="11"/>
  </w:num>
  <w:num w:numId="22" w16cid:durableId="1179271976">
    <w:abstractNumId w:val="6"/>
  </w:num>
  <w:num w:numId="23" w16cid:durableId="1230767757">
    <w:abstractNumId w:val="5"/>
  </w:num>
  <w:num w:numId="24" w16cid:durableId="2047022713">
    <w:abstractNumId w:val="18"/>
  </w:num>
  <w:num w:numId="25" w16cid:durableId="2004619729">
    <w:abstractNumId w:val="21"/>
  </w:num>
  <w:num w:numId="26" w16cid:durableId="1464152385">
    <w:abstractNumId w:val="20"/>
  </w:num>
  <w:num w:numId="27" w16cid:durableId="405152505">
    <w:abstractNumId w:val="37"/>
  </w:num>
  <w:num w:numId="28" w16cid:durableId="299963359">
    <w:abstractNumId w:val="14"/>
  </w:num>
  <w:num w:numId="29" w16cid:durableId="232548307">
    <w:abstractNumId w:val="15"/>
  </w:num>
  <w:num w:numId="30" w16cid:durableId="1631327944">
    <w:abstractNumId w:val="16"/>
  </w:num>
  <w:num w:numId="31" w16cid:durableId="1948272343">
    <w:abstractNumId w:val="19"/>
  </w:num>
  <w:num w:numId="32" w16cid:durableId="1325275986">
    <w:abstractNumId w:val="8"/>
  </w:num>
  <w:num w:numId="33" w16cid:durableId="72089652">
    <w:abstractNumId w:val="38"/>
  </w:num>
  <w:num w:numId="34" w16cid:durableId="440535980">
    <w:abstractNumId w:val="12"/>
  </w:num>
  <w:num w:numId="35" w16cid:durableId="1528057680">
    <w:abstractNumId w:val="24"/>
  </w:num>
  <w:num w:numId="36" w16cid:durableId="1138108179">
    <w:abstractNumId w:val="34"/>
  </w:num>
  <w:num w:numId="37" w16cid:durableId="229847272">
    <w:abstractNumId w:val="33"/>
  </w:num>
  <w:num w:numId="38" w16cid:durableId="694695438">
    <w:abstractNumId w:val="35"/>
  </w:num>
  <w:num w:numId="39" w16cid:durableId="957762499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EL"/>
    <w:docVar w:name="dvnumam" w:val="287"/>
    <w:docVar w:name="dvpe" w:val="774.282"/>
    <w:docVar w:name="dvrapporteur" w:val="Εισηγητής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ων οδηγιών 2006/43/ΕΚ, 2013/34/ΕΕ, (ΕΕ) 2022/2464 και (ΕΕ) 2024/1760 όσον αφορά ορισμένες απαιτήσεις υποβολής εκθέσεων βιωσιμότητας και απαιτήσεις δέουσας επιμέλειας από τις εταιρείες(COM(2025)0081 – C10-0037/2025 – 2025/0045(COD))"/>
  </w:docVars>
  <w:rsids>
    <w:rsidRoot w:val="00B9257B"/>
    <w:rsid w:val="00002272"/>
    <w:rsid w:val="00013563"/>
    <w:rsid w:val="0003590E"/>
    <w:rsid w:val="00064002"/>
    <w:rsid w:val="000677B9"/>
    <w:rsid w:val="000831BA"/>
    <w:rsid w:val="000A42CC"/>
    <w:rsid w:val="000D3B7E"/>
    <w:rsid w:val="000E7DD9"/>
    <w:rsid w:val="0010095E"/>
    <w:rsid w:val="00125B37"/>
    <w:rsid w:val="00187494"/>
    <w:rsid w:val="00194310"/>
    <w:rsid w:val="001A0C26"/>
    <w:rsid w:val="001A1315"/>
    <w:rsid w:val="001A1A49"/>
    <w:rsid w:val="001F32AE"/>
    <w:rsid w:val="00262288"/>
    <w:rsid w:val="0026435F"/>
    <w:rsid w:val="002767FF"/>
    <w:rsid w:val="002A659F"/>
    <w:rsid w:val="002B18FE"/>
    <w:rsid w:val="002B4399"/>
    <w:rsid w:val="002B5493"/>
    <w:rsid w:val="002D22B0"/>
    <w:rsid w:val="0032409F"/>
    <w:rsid w:val="00343214"/>
    <w:rsid w:val="00361487"/>
    <w:rsid w:val="00361C00"/>
    <w:rsid w:val="00395FA1"/>
    <w:rsid w:val="003E15D4"/>
    <w:rsid w:val="003E3B4B"/>
    <w:rsid w:val="00411CCE"/>
    <w:rsid w:val="0041666E"/>
    <w:rsid w:val="00421060"/>
    <w:rsid w:val="00471C19"/>
    <w:rsid w:val="004817F9"/>
    <w:rsid w:val="004867E3"/>
    <w:rsid w:val="00494A28"/>
    <w:rsid w:val="004C0004"/>
    <w:rsid w:val="004C5D52"/>
    <w:rsid w:val="0050519A"/>
    <w:rsid w:val="005072A1"/>
    <w:rsid w:val="005119DC"/>
    <w:rsid w:val="00514517"/>
    <w:rsid w:val="00545827"/>
    <w:rsid w:val="00560270"/>
    <w:rsid w:val="00577634"/>
    <w:rsid w:val="005A7E5F"/>
    <w:rsid w:val="005C2568"/>
    <w:rsid w:val="005F1B17"/>
    <w:rsid w:val="006037C0"/>
    <w:rsid w:val="006631B6"/>
    <w:rsid w:val="00671110"/>
    <w:rsid w:val="00680577"/>
    <w:rsid w:val="006D70B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90C"/>
    <w:rsid w:val="007E22AD"/>
    <w:rsid w:val="00817416"/>
    <w:rsid w:val="00834C0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7D21"/>
    <w:rsid w:val="00A663E4"/>
    <w:rsid w:val="00A778C7"/>
    <w:rsid w:val="00A96AF3"/>
    <w:rsid w:val="00AB441E"/>
    <w:rsid w:val="00AB6293"/>
    <w:rsid w:val="00AD76DD"/>
    <w:rsid w:val="00AE0928"/>
    <w:rsid w:val="00AF3B82"/>
    <w:rsid w:val="00B12E95"/>
    <w:rsid w:val="00B22876"/>
    <w:rsid w:val="00B43A97"/>
    <w:rsid w:val="00B558F0"/>
    <w:rsid w:val="00B749D1"/>
    <w:rsid w:val="00B9257B"/>
    <w:rsid w:val="00BA0681"/>
    <w:rsid w:val="00BD48FE"/>
    <w:rsid w:val="00BD7BD8"/>
    <w:rsid w:val="00BE6ADC"/>
    <w:rsid w:val="00C05BFE"/>
    <w:rsid w:val="00C23CD4"/>
    <w:rsid w:val="00C25271"/>
    <w:rsid w:val="00C61C0C"/>
    <w:rsid w:val="00C941CB"/>
    <w:rsid w:val="00CC2357"/>
    <w:rsid w:val="00CF0363"/>
    <w:rsid w:val="00CF071A"/>
    <w:rsid w:val="00D058B8"/>
    <w:rsid w:val="00D30DAC"/>
    <w:rsid w:val="00D56C11"/>
    <w:rsid w:val="00D834A0"/>
    <w:rsid w:val="00D852A9"/>
    <w:rsid w:val="00D872DF"/>
    <w:rsid w:val="00D91E21"/>
    <w:rsid w:val="00DA7FCD"/>
    <w:rsid w:val="00DB7534"/>
    <w:rsid w:val="00DD2DC9"/>
    <w:rsid w:val="00DE386C"/>
    <w:rsid w:val="00E365E1"/>
    <w:rsid w:val="00E468B8"/>
    <w:rsid w:val="00E55962"/>
    <w:rsid w:val="00E56D8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09E"/>
    <w:rsid w:val="00FB4360"/>
    <w:rsid w:val="00FD0C70"/>
    <w:rsid w:val="00FF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0631A"/>
  <w15:chartTrackingRefBased/>
  <w15:docId w15:val="{1EE1DDCC-33D6-47B7-BEE6-36CEE99FA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tabs>
        <w:tab w:val="clear" w:pos="792"/>
        <w:tab w:val="num" w:pos="567"/>
      </w:tabs>
      <w:spacing w:before="240" w:after="60"/>
      <w:ind w:left="567" w:hanging="567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tabs>
        <w:tab w:val="clear" w:pos="1224"/>
        <w:tab w:val="num" w:pos="1134"/>
      </w:tabs>
      <w:spacing w:before="240" w:after="60"/>
      <w:ind w:left="1134" w:hanging="567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tabs>
        <w:tab w:val="clear" w:pos="1728"/>
        <w:tab w:val="num" w:pos="1134"/>
      </w:tabs>
      <w:spacing w:before="240" w:after="60"/>
      <w:ind w:left="1134" w:hanging="567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tabs>
        <w:tab w:val="clear" w:pos="2232"/>
        <w:tab w:val="num" w:pos="2835"/>
      </w:tabs>
      <w:spacing w:before="240" w:after="60"/>
      <w:ind w:left="2835" w:hanging="567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A068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68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68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68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68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681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681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681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681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BA068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A068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A068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A0681"/>
    <w:pPr>
      <w:spacing w:after="120"/>
    </w:pPr>
  </w:style>
  <w:style w:type="paragraph" w:customStyle="1" w:styleId="PageHeading">
    <w:name w:val="PageHeading"/>
    <w:basedOn w:val="Normal"/>
    <w:rsid w:val="00BA068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A0681"/>
    <w:rPr>
      <w:b/>
    </w:rPr>
  </w:style>
  <w:style w:type="character" w:customStyle="1" w:styleId="NormalBoldChar">
    <w:name w:val="NormalBold Char"/>
    <w:basedOn w:val="DefaultParagraphFont"/>
    <w:link w:val="NormalBold"/>
    <w:rsid w:val="00BA0681"/>
    <w:rPr>
      <w:b/>
      <w:sz w:val="24"/>
      <w:lang w:val="el-GR"/>
    </w:rPr>
  </w:style>
  <w:style w:type="paragraph" w:customStyle="1" w:styleId="NormalBold12a">
    <w:name w:val="NormalBold12a"/>
    <w:basedOn w:val="Normal"/>
    <w:rsid w:val="00BA0681"/>
    <w:pPr>
      <w:spacing w:after="240"/>
    </w:pPr>
    <w:rPr>
      <w:b/>
    </w:rPr>
  </w:style>
  <w:style w:type="paragraph" w:customStyle="1" w:styleId="AmJustText">
    <w:name w:val="AmJustText"/>
    <w:basedOn w:val="Normal"/>
    <w:rsid w:val="00BA068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A068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A0681"/>
    <w:pPr>
      <w:spacing w:after="480"/>
      <w:ind w:left="1417"/>
    </w:pPr>
  </w:style>
  <w:style w:type="paragraph" w:customStyle="1" w:styleId="CoverNormal">
    <w:name w:val="CoverNormal"/>
    <w:basedOn w:val="Normal"/>
    <w:rsid w:val="00BA0681"/>
    <w:pPr>
      <w:ind w:left="1418"/>
    </w:pPr>
  </w:style>
  <w:style w:type="paragraph" w:customStyle="1" w:styleId="AmCrossRef">
    <w:name w:val="AmCrossRef"/>
    <w:basedOn w:val="Normal"/>
    <w:rsid w:val="00BA068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A068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BA0681"/>
    <w:pPr>
      <w:spacing w:before="1080"/>
      <w:jc w:val="right"/>
    </w:pPr>
    <w:rPr>
      <w:rFonts w:ascii="Arial" w:hAnsi="Arial" w:cs="Arial"/>
      <w:b/>
    </w:rPr>
  </w:style>
  <w:style w:type="character" w:customStyle="1" w:styleId="CoverReferenceChar">
    <w:name w:val="CoverReference Char"/>
    <w:basedOn w:val="DefaultParagraphFont"/>
    <w:link w:val="CoverReference"/>
    <w:rsid w:val="00BA0681"/>
    <w:rPr>
      <w:rFonts w:ascii="Arial" w:hAnsi="Arial" w:cs="Arial"/>
      <w:b/>
      <w:sz w:val="24"/>
      <w:lang w:val="el-GR"/>
    </w:rPr>
  </w:style>
  <w:style w:type="paragraph" w:customStyle="1" w:styleId="CoverDocType">
    <w:name w:val="CoverDocType"/>
    <w:basedOn w:val="Normal"/>
    <w:rsid w:val="00BA068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A068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A068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A06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0681"/>
    <w:rPr>
      <w:sz w:val="24"/>
      <w:lang w:val="el-GR"/>
    </w:rPr>
  </w:style>
  <w:style w:type="paragraph" w:customStyle="1" w:styleId="AmOrLang">
    <w:name w:val="AmOrLang"/>
    <w:basedOn w:val="Normal"/>
    <w:rsid w:val="00BA068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A06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A06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A0681"/>
    <w:pPr>
      <w:spacing w:before="240"/>
    </w:pPr>
    <w:rPr>
      <w:b/>
    </w:rPr>
  </w:style>
  <w:style w:type="paragraph" w:customStyle="1" w:styleId="EPBody">
    <w:name w:val="EPBody"/>
    <w:basedOn w:val="Normal"/>
    <w:rsid w:val="00BA068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A068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A0681"/>
    <w:pPr>
      <w:spacing w:before="480" w:after="240"/>
    </w:pPr>
  </w:style>
  <w:style w:type="paragraph" w:customStyle="1" w:styleId="Lgendesigne">
    <w:name w:val="Légende signe"/>
    <w:basedOn w:val="Normal"/>
    <w:rsid w:val="00BA068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A068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A0681"/>
    <w:rPr>
      <w:sz w:val="18"/>
    </w:rPr>
  </w:style>
  <w:style w:type="paragraph" w:customStyle="1" w:styleId="EntPE">
    <w:name w:val="EntPE"/>
    <w:basedOn w:val="Normal12"/>
    <w:rsid w:val="00BA068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A0681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BA0681"/>
    <w:rPr>
      <w:noProof/>
      <w:sz w:val="24"/>
      <w:lang w:val="el-GR"/>
    </w:rPr>
  </w:style>
  <w:style w:type="paragraph" w:customStyle="1" w:styleId="CommitteeAM">
    <w:name w:val="CommitteeAM"/>
    <w:basedOn w:val="Normal"/>
    <w:rsid w:val="00BA068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A068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A068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A068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A0681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BA0681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A0681"/>
    <w:rPr>
      <w:sz w:val="24"/>
      <w:lang w:val="el-GR"/>
    </w:rPr>
  </w:style>
  <w:style w:type="paragraph" w:customStyle="1" w:styleId="Normal12Italic">
    <w:name w:val="Normal12Italic"/>
    <w:basedOn w:val="Normal12"/>
    <w:rsid w:val="00BA0681"/>
    <w:rPr>
      <w:i/>
    </w:rPr>
  </w:style>
  <w:style w:type="paragraph" w:customStyle="1" w:styleId="JustificationTitle">
    <w:name w:val="JustificationTitle"/>
    <w:basedOn w:val="Normal"/>
    <w:next w:val="Normal12"/>
    <w:rsid w:val="00BA068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A068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A068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A06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A0681"/>
    <w:pPr>
      <w:spacing w:before="240"/>
      <w:jc w:val="center"/>
    </w:pPr>
    <w:rPr>
      <w:i/>
    </w:rPr>
  </w:style>
  <w:style w:type="paragraph" w:customStyle="1" w:styleId="NormalBoldCenter">
    <w:name w:val="NormalBoldCenter"/>
    <w:basedOn w:val="Normal"/>
    <w:rsid w:val="00BA0681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BA068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A0681"/>
    <w:rPr>
      <w:szCs w:val="24"/>
    </w:rPr>
  </w:style>
  <w:style w:type="character" w:customStyle="1" w:styleId="Footer2Middle">
    <w:name w:val="Footer2Middle"/>
    <w:rsid w:val="00BA0681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BA0681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681"/>
    <w:rPr>
      <w:lang w:val="el-GR"/>
    </w:rPr>
  </w:style>
  <w:style w:type="character" w:styleId="CommentReference">
    <w:name w:val="annotation reference"/>
    <w:uiPriority w:val="99"/>
    <w:unhideWhenUsed/>
    <w:rsid w:val="00BA0681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BA0681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BA06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0681"/>
    <w:rPr>
      <w:rFonts w:ascii="Segoe UI" w:hAnsi="Segoe UI" w:cs="Segoe UI"/>
      <w:sz w:val="18"/>
      <w:szCs w:val="18"/>
      <w:lang w:val="el-GR"/>
    </w:rPr>
  </w:style>
  <w:style w:type="character" w:customStyle="1" w:styleId="highlight-diff">
    <w:name w:val="highlight-diff"/>
    <w:basedOn w:val="DefaultParagraphFont"/>
    <w:rsid w:val="00BA0681"/>
  </w:style>
  <w:style w:type="character" w:styleId="FollowedHyperlink">
    <w:name w:val="FollowedHyperlink"/>
    <w:basedOn w:val="DefaultParagraphFont"/>
    <w:uiPriority w:val="99"/>
    <w:unhideWhenUsed/>
    <w:rsid w:val="00BA0681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BA0681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A0681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A0681"/>
    <w:rPr>
      <w:b/>
      <w:bCs/>
      <w:lang w:val="el-GR"/>
    </w:rPr>
  </w:style>
  <w:style w:type="paragraph" w:styleId="Revision">
    <w:name w:val="Revision"/>
    <w:uiPriority w:val="99"/>
    <w:semiHidden/>
    <w:rsid w:val="00BA0681"/>
    <w:rPr>
      <w:sz w:val="24"/>
      <w:lang w:val="el-GR"/>
    </w:rPr>
  </w:style>
  <w:style w:type="character" w:styleId="Emphasis">
    <w:name w:val="Emphasis"/>
    <w:basedOn w:val="DefaultParagraphFont"/>
    <w:uiPriority w:val="20"/>
    <w:qFormat/>
    <w:rsid w:val="00BA0681"/>
    <w:rPr>
      <w:i/>
      <w:iCs/>
    </w:rPr>
  </w:style>
  <w:style w:type="paragraph" w:customStyle="1" w:styleId="Normal12a">
    <w:name w:val="Normal12a"/>
    <w:basedOn w:val="Normal"/>
    <w:rsid w:val="00BA0681"/>
    <w:pPr>
      <w:spacing w:after="240"/>
    </w:pPr>
  </w:style>
  <w:style w:type="paragraph" w:customStyle="1" w:styleId="PageHeadingNotTOC">
    <w:name w:val="PageHeadingNotTOC"/>
    <w:basedOn w:val="Normal"/>
    <w:rsid w:val="00BA068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A068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BA068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A068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A068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A0681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BA0681"/>
    <w:pPr>
      <w:spacing w:after="480"/>
    </w:pPr>
    <w:rPr>
      <w:rFonts w:ascii="Arial" w:hAnsi="Arial" w:cs="Arial"/>
    </w:rPr>
  </w:style>
  <w:style w:type="character" w:customStyle="1" w:styleId="Normal24aChar">
    <w:name w:val="Normal24a Char"/>
    <w:basedOn w:val="CoverReferenceChar"/>
    <w:link w:val="Normal24a"/>
    <w:rsid w:val="00BA0681"/>
    <w:rPr>
      <w:rFonts w:ascii="Arial" w:hAnsi="Arial" w:cs="Arial"/>
      <w:b w:val="0"/>
      <w:sz w:val="24"/>
      <w:lang w:val="el-GR"/>
    </w:rPr>
  </w:style>
  <w:style w:type="paragraph" w:customStyle="1" w:styleId="Text1">
    <w:name w:val="Text 1"/>
    <w:basedOn w:val="Normal"/>
    <w:rsid w:val="00BA068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BA0681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BA0681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BA0681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BA0681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BA0681"/>
    <w:pPr>
      <w:spacing w:after="240"/>
      <w:jc w:val="center"/>
    </w:pPr>
  </w:style>
  <w:style w:type="paragraph" w:styleId="Footer">
    <w:name w:val="footer"/>
    <w:basedOn w:val="Normal"/>
    <w:link w:val="FooterChar"/>
    <w:uiPriority w:val="99"/>
    <w:rsid w:val="00BA06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0681"/>
    <w:rPr>
      <w:sz w:val="24"/>
      <w:lang w:val="el-GR"/>
    </w:rPr>
  </w:style>
  <w:style w:type="paragraph" w:customStyle="1" w:styleId="EPFooterLandscape">
    <w:name w:val="EPFooterLandscape"/>
    <w:rsid w:val="00BA0681"/>
    <w:pPr>
      <w:widowControl w:val="0"/>
      <w:tabs>
        <w:tab w:val="center" w:pos="6800"/>
        <w:tab w:val="right" w:pos="15020"/>
      </w:tabs>
    </w:pPr>
    <w:rPr>
      <w:sz w:val="22"/>
      <w:lang w:val="el-GR" w:eastAsia="en-US"/>
    </w:rPr>
  </w:style>
  <w:style w:type="paragraph" w:customStyle="1" w:styleId="EPFooter2Landscape">
    <w:name w:val="EPFooter2Landscape"/>
    <w:rsid w:val="00BA0681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el-GR" w:eastAsia="en-US"/>
    </w:rPr>
  </w:style>
  <w:style w:type="character" w:customStyle="1" w:styleId="EPFooter2Motto">
    <w:name w:val="EPFooter2Motto"/>
    <w:rsid w:val="00BA0681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BA0681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BA0681"/>
    <w:rPr>
      <w:color w:val="FFFFFF"/>
      <w:sz w:val="22"/>
      <w:shd w:val="clear" w:color="auto" w:fil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BA068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A0681"/>
    <w:rPr>
      <w:b/>
      <w:bCs/>
    </w:rPr>
  </w:style>
  <w:style w:type="paragraph" w:customStyle="1" w:styleId="AmDocTypeTab">
    <w:name w:val="AmDocTypeTab"/>
    <w:basedOn w:val="Normal"/>
    <w:rsid w:val="00A96AF3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A96AF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96AF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96AF3"/>
  </w:style>
  <w:style w:type="paragraph" w:customStyle="1" w:styleId="Title1">
    <w:name w:val="Title1"/>
    <w:basedOn w:val="Normal"/>
    <w:next w:val="Normal"/>
    <w:uiPriority w:val="10"/>
    <w:qFormat/>
    <w:rsid w:val="00A96AF3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96AF3"/>
    <w:rPr>
      <w:rFonts w:ascii="Cambria" w:hAnsi="Cambria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A96AF3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96AF3"/>
    <w:rPr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A96AF3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96AF3"/>
    <w:rPr>
      <w:i/>
      <w:iCs/>
      <w:color w:val="404040"/>
      <w:sz w:val="24"/>
    </w:rPr>
  </w:style>
  <w:style w:type="paragraph" w:styleId="ListParagraph">
    <w:name w:val="List Paragraph"/>
    <w:aliases w:val="1st level - Bullet List Paragraph,2,3 Txt tabla,Lettre d'introduction,List Paragraph1,Lista multicolor - Énfasis 11,Listaszerű bekezdés1,Medium Grid 1 - Accent 21,Paragrafo elenco,Task Body,Viñetas (Inicio Parrafo),Zerrenda-paragrafoa"/>
    <w:basedOn w:val="Normal"/>
    <w:link w:val="ListParagraphChar"/>
    <w:uiPriority w:val="34"/>
    <w:qFormat/>
    <w:rsid w:val="00A96AF3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A96AF3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A96AF3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AF3"/>
    <w:rPr>
      <w:i/>
      <w:iCs/>
      <w:color w:val="365F91"/>
      <w:sz w:val="24"/>
    </w:rPr>
  </w:style>
  <w:style w:type="character" w:customStyle="1" w:styleId="IntenseReference1">
    <w:name w:val="Intense Reference1"/>
    <w:basedOn w:val="DefaultParagraphFont"/>
    <w:uiPriority w:val="32"/>
    <w:qFormat/>
    <w:rsid w:val="00A96AF3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A96AF3"/>
    <w:rPr>
      <w:rFonts w:eastAsia="Calibri" w:cs="Arial"/>
      <w:sz w:val="24"/>
      <w:szCs w:val="22"/>
      <w:lang w:val="el-GR" w:eastAsia="en-US"/>
    </w:rPr>
  </w:style>
  <w:style w:type="paragraph" w:customStyle="1" w:styleId="TechnicalBlockBase">
    <w:name w:val="TechnicalBlockBase"/>
    <w:link w:val="TechnicalBlockBaseChar"/>
    <w:rsid w:val="00A96AF3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l-GR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96AF3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l-GR" w:eastAsia="fr-BE"/>
    </w:rPr>
  </w:style>
  <w:style w:type="paragraph" w:customStyle="1" w:styleId="TBEntRefer">
    <w:name w:val="TBEntRefer"/>
    <w:basedOn w:val="TechnicalBlockBase"/>
    <w:link w:val="EntReferChar"/>
    <w:rsid w:val="00A96AF3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A96AF3"/>
    <w:rPr>
      <w:rFonts w:ascii="Arial" w:hAnsi="Arial" w:cs="Arial"/>
      <w:b/>
      <w:sz w:val="23"/>
      <w:u w:color="606060"/>
      <w:lang w:val="el-GR" w:eastAsia="fr-BE"/>
    </w:rPr>
  </w:style>
  <w:style w:type="paragraph" w:customStyle="1" w:styleId="TBDistrbMarkers">
    <w:name w:val="TBDistrbMarkers"/>
    <w:basedOn w:val="TBEntRefer"/>
    <w:qFormat/>
    <w:rsid w:val="00A96AF3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A96AF3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A96AF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96AF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A96AF3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96AF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96AF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96AF3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A96AF3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A96AF3"/>
    <w:rPr>
      <w:rFonts w:ascii="Arial" w:hAnsi="Arial" w:cs="Arial"/>
      <w:b/>
      <w:sz w:val="23"/>
      <w:u w:color="606060"/>
      <w:lang w:val="el-GR" w:eastAsia="fr-BE"/>
    </w:rPr>
  </w:style>
  <w:style w:type="paragraph" w:customStyle="1" w:styleId="TBSubjectTable">
    <w:name w:val="TBSubjectTable"/>
    <w:basedOn w:val="TechnicalBlockBase"/>
    <w:rsid w:val="00A96AF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A96AF3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A96AF3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A96AF3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A96AF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A96AF3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A96AF3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96AF3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96AF3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A96AF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96AF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96AF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96AF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96AF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96AF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A96AF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A96AF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A96AF3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96AF3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96AF3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96AF3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96AF3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A96AF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A96AF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A96AF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A96AF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A96AF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A96AF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A96AF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A96AF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A96AF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A96AF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A96AF3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A96AF3"/>
    <w:pPr>
      <w:widowControl/>
      <w:numPr>
        <w:ilvl w:val="3"/>
        <w:numId w:val="3"/>
      </w:numPr>
      <w:tabs>
        <w:tab w:val="clear" w:pos="1134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A96AF3"/>
    <w:pPr>
      <w:widowControl/>
      <w:numPr>
        <w:ilvl w:val="5"/>
        <w:numId w:val="3"/>
      </w:numPr>
      <w:tabs>
        <w:tab w:val="clear" w:pos="1701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A96AF3"/>
    <w:pPr>
      <w:widowControl/>
      <w:numPr>
        <w:ilvl w:val="7"/>
        <w:numId w:val="3"/>
      </w:numPr>
      <w:tabs>
        <w:tab w:val="clear" w:pos="2268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A96AF3"/>
    <w:pPr>
      <w:widowControl/>
      <w:numPr>
        <w:ilvl w:val="8"/>
        <w:numId w:val="3"/>
      </w:numPr>
      <w:tabs>
        <w:tab w:val="clear" w:pos="2835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A96AF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A96AF3"/>
    <w:pPr>
      <w:widowControl/>
      <w:numPr>
        <w:ilvl w:val="2"/>
        <w:numId w:val="3"/>
      </w:numPr>
      <w:tabs>
        <w:tab w:val="clear" w:pos="1134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A96AF3"/>
    <w:pPr>
      <w:widowControl/>
      <w:numPr>
        <w:ilvl w:val="4"/>
        <w:numId w:val="3"/>
      </w:numPr>
      <w:tabs>
        <w:tab w:val="clear" w:pos="1701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A96AF3"/>
    <w:pPr>
      <w:widowControl/>
      <w:numPr>
        <w:ilvl w:val="6"/>
        <w:numId w:val="3"/>
      </w:numPr>
      <w:tabs>
        <w:tab w:val="clear" w:pos="2268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A96AF3"/>
    <w:pPr>
      <w:widowControl/>
      <w:numPr>
        <w:numId w:val="4"/>
      </w:numPr>
      <w:tabs>
        <w:tab w:val="clear" w:pos="567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A96AF3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A96AF3"/>
    <w:pPr>
      <w:widowControl/>
      <w:numPr>
        <w:ilvl w:val="2"/>
        <w:numId w:val="4"/>
      </w:numPr>
      <w:tabs>
        <w:tab w:val="clear" w:pos="1701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A96AF3"/>
    <w:pPr>
      <w:widowControl/>
      <w:numPr>
        <w:ilvl w:val="3"/>
        <w:numId w:val="4"/>
      </w:numPr>
      <w:tabs>
        <w:tab w:val="clear" w:pos="2268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A96AF3"/>
    <w:pPr>
      <w:widowControl/>
      <w:numPr>
        <w:ilvl w:val="4"/>
        <w:numId w:val="4"/>
      </w:numPr>
      <w:tabs>
        <w:tab w:val="clear" w:pos="2835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A96AF3"/>
    <w:pPr>
      <w:widowControl/>
      <w:numPr>
        <w:numId w:val="5"/>
      </w:numPr>
      <w:tabs>
        <w:tab w:val="clear" w:pos="567"/>
        <w:tab w:val="num" w:pos="720"/>
        <w:tab w:val="num" w:pos="1701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96AF3"/>
    <w:pPr>
      <w:widowControl/>
      <w:numPr>
        <w:numId w:val="6"/>
      </w:numPr>
      <w:tabs>
        <w:tab w:val="clear" w:pos="1134"/>
        <w:tab w:val="num" w:pos="720"/>
        <w:tab w:val="num" w:pos="2268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96AF3"/>
    <w:pPr>
      <w:widowControl/>
      <w:numPr>
        <w:numId w:val="7"/>
      </w:numPr>
      <w:tabs>
        <w:tab w:val="clear" w:pos="1701"/>
        <w:tab w:val="num" w:pos="1080"/>
        <w:tab w:val="num" w:pos="2835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96AF3"/>
    <w:pPr>
      <w:widowControl/>
      <w:numPr>
        <w:numId w:val="8"/>
      </w:numPr>
      <w:tabs>
        <w:tab w:val="clear" w:pos="2268"/>
        <w:tab w:val="num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96AF3"/>
    <w:pPr>
      <w:widowControl/>
      <w:numPr>
        <w:numId w:val="9"/>
      </w:numPr>
      <w:tabs>
        <w:tab w:val="clear" w:pos="2835"/>
        <w:tab w:val="num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A96AF3"/>
    <w:pPr>
      <w:widowControl/>
      <w:numPr>
        <w:numId w:val="10"/>
      </w:numPr>
      <w:tabs>
        <w:tab w:val="clear" w:pos="56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A96AF3"/>
    <w:pPr>
      <w:widowControl/>
      <w:numPr>
        <w:numId w:val="11"/>
      </w:numPr>
      <w:tabs>
        <w:tab w:val="clear" w:pos="113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A96AF3"/>
    <w:pPr>
      <w:widowControl/>
      <w:numPr>
        <w:numId w:val="12"/>
      </w:numPr>
      <w:tabs>
        <w:tab w:val="clear" w:pos="170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A96AF3"/>
    <w:pPr>
      <w:widowControl/>
      <w:numPr>
        <w:numId w:val="13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A96AF3"/>
    <w:pPr>
      <w:widowControl/>
      <w:numPr>
        <w:numId w:val="14"/>
      </w:numPr>
      <w:tabs>
        <w:tab w:val="clear" w:pos="283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A96AF3"/>
    <w:pPr>
      <w:numPr>
        <w:numId w:val="15"/>
      </w:numPr>
      <w:tabs>
        <w:tab w:val="clear" w:pos="567"/>
        <w:tab w:val="num" w:pos="720"/>
        <w:tab w:val="num" w:pos="1701"/>
      </w:tabs>
      <w:ind w:left="720" w:hanging="360"/>
    </w:pPr>
  </w:style>
  <w:style w:type="paragraph" w:customStyle="1" w:styleId="DashEqual1">
    <w:name w:val="Dash Equal 1"/>
    <w:basedOn w:val="Dash1"/>
    <w:rsid w:val="00A96AF3"/>
    <w:pPr>
      <w:numPr>
        <w:numId w:val="16"/>
      </w:numPr>
      <w:tabs>
        <w:tab w:val="clear" w:pos="1134"/>
        <w:tab w:val="num" w:pos="720"/>
        <w:tab w:val="num" w:pos="2268"/>
      </w:tabs>
      <w:ind w:left="720" w:hanging="360"/>
    </w:pPr>
  </w:style>
  <w:style w:type="paragraph" w:customStyle="1" w:styleId="DashEqual2">
    <w:name w:val="Dash Equal 2"/>
    <w:basedOn w:val="Dash2"/>
    <w:rsid w:val="00A96AF3"/>
    <w:pPr>
      <w:numPr>
        <w:numId w:val="17"/>
      </w:numPr>
      <w:tabs>
        <w:tab w:val="clear" w:pos="1701"/>
        <w:tab w:val="num" w:pos="1080"/>
        <w:tab w:val="num" w:pos="2835"/>
      </w:tabs>
      <w:ind w:left="1080" w:hanging="360"/>
    </w:pPr>
  </w:style>
  <w:style w:type="paragraph" w:customStyle="1" w:styleId="DashEqual3">
    <w:name w:val="Dash Equal 3"/>
    <w:basedOn w:val="Dash3"/>
    <w:rsid w:val="00A96AF3"/>
    <w:pPr>
      <w:numPr>
        <w:numId w:val="18"/>
      </w:numPr>
      <w:tabs>
        <w:tab w:val="clear" w:pos="2268"/>
        <w:tab w:val="num" w:pos="567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A96AF3"/>
    <w:pPr>
      <w:numPr>
        <w:numId w:val="19"/>
      </w:numPr>
      <w:tabs>
        <w:tab w:val="clear" w:pos="2835"/>
        <w:tab w:val="num" w:pos="567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A96AF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96AF3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A96AF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A96AF3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A96AF3"/>
    <w:pPr>
      <w:numPr>
        <w:numId w:val="21"/>
      </w:numPr>
      <w:tabs>
        <w:tab w:val="clear" w:pos="567"/>
        <w:tab w:val="num" w:pos="850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A96AF3"/>
    <w:pPr>
      <w:numPr>
        <w:numId w:val="22"/>
      </w:numPr>
      <w:tabs>
        <w:tab w:val="clear" w:pos="567"/>
        <w:tab w:val="num" w:pos="141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A96AF3"/>
    <w:pPr>
      <w:jc w:val="center"/>
    </w:pPr>
  </w:style>
  <w:style w:type="paragraph" w:customStyle="1" w:styleId="Jardin">
    <w:name w:val="Jardin"/>
    <w:basedOn w:val="Normal"/>
    <w:rsid w:val="00A96AF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A96AF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A96AF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A96AF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A96AF3"/>
    <w:rPr>
      <w:b/>
    </w:rPr>
  </w:style>
  <w:style w:type="paragraph" w:customStyle="1" w:styleId="Annex">
    <w:name w:val="Annex"/>
    <w:basedOn w:val="Normal"/>
    <w:next w:val="Normal"/>
    <w:rsid w:val="00A96AF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A96AF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A96AF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A96AF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96AF3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96AF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96AF3"/>
    <w:rPr>
      <w:rFonts w:eastAsia="Calibri"/>
      <w:lang w:val="el-GR" w:eastAsia="en-US"/>
    </w:rPr>
  </w:style>
  <w:style w:type="character" w:styleId="EndnoteReference">
    <w:name w:val="endnote reference"/>
    <w:basedOn w:val="DefaultParagraphFont"/>
    <w:uiPriority w:val="99"/>
    <w:unhideWhenUsed/>
    <w:rsid w:val="00A96AF3"/>
    <w:rPr>
      <w:vertAlign w:val="superscript"/>
    </w:rPr>
  </w:style>
  <w:style w:type="character" w:customStyle="1" w:styleId="ListParagraphChar">
    <w:name w:val="List Paragraph Char"/>
    <w:aliases w:val="1st level - Bullet List Paragraph Char,2 Char,3 Txt tabla Char,Lettre d'introduction Char,List Paragraph1 Char,Lista multicolor - Énfasis 11 Char,Listaszerű bekezdés1 Char,Medium Grid 1 - Accent 21 Char,Paragrafo elenco Char"/>
    <w:link w:val="ListParagraph"/>
    <w:uiPriority w:val="34"/>
    <w:qFormat/>
    <w:locked/>
    <w:rsid w:val="00A96AF3"/>
    <w:rPr>
      <w:rFonts w:eastAsia="Calibri"/>
      <w:sz w:val="24"/>
      <w:szCs w:val="22"/>
      <w:lang w:val="el-GR" w:eastAsia="en-US"/>
    </w:rPr>
  </w:style>
  <w:style w:type="character" w:styleId="PlaceholderText">
    <w:name w:val="Placeholder Text"/>
    <w:basedOn w:val="DefaultParagraphFont"/>
    <w:uiPriority w:val="99"/>
    <w:semiHidden/>
    <w:rsid w:val="00A96AF3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A96AF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96AF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96AF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96AF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96AF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96AF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A96AF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96AF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96AF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96AF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96AF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96AF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96AF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96AF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96AF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96AF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96AF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96AF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96AF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96AF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96AF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96AF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96AF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96AF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96AF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96AF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96AF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96AF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96AF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96AF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96AF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96AF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96AF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96AF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A96AF3"/>
    <w:pPr>
      <w:widowControl/>
      <w:numPr>
        <w:numId w:val="23"/>
      </w:numPr>
      <w:tabs>
        <w:tab w:val="clear" w:pos="850"/>
        <w:tab w:val="num" w:pos="567"/>
        <w:tab w:val="num" w:pos="1984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96AF3"/>
    <w:pPr>
      <w:widowControl/>
      <w:numPr>
        <w:numId w:val="24"/>
      </w:numPr>
      <w:tabs>
        <w:tab w:val="clear" w:pos="1417"/>
        <w:tab w:val="num" w:pos="567"/>
        <w:tab w:val="num" w:pos="2551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A96AF3"/>
    <w:pPr>
      <w:widowControl/>
      <w:numPr>
        <w:numId w:val="25"/>
      </w:numPr>
      <w:tabs>
        <w:tab w:val="clear" w:pos="1984"/>
        <w:tab w:val="num" w:pos="567"/>
        <w:tab w:val="num" w:pos="3118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A96AF3"/>
    <w:pPr>
      <w:widowControl/>
      <w:numPr>
        <w:numId w:val="26"/>
      </w:numPr>
      <w:tabs>
        <w:tab w:val="clear" w:pos="2551"/>
        <w:tab w:val="num" w:pos="1134"/>
        <w:tab w:val="num" w:pos="3685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A96AF3"/>
    <w:pPr>
      <w:widowControl/>
      <w:numPr>
        <w:numId w:val="27"/>
      </w:numPr>
      <w:tabs>
        <w:tab w:val="clear" w:pos="3118"/>
        <w:tab w:val="num" w:pos="1701"/>
        <w:tab w:val="num" w:pos="4252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96AF3"/>
    <w:pPr>
      <w:widowControl/>
      <w:numPr>
        <w:numId w:val="28"/>
      </w:numPr>
      <w:tabs>
        <w:tab w:val="clear" w:pos="3685"/>
        <w:tab w:val="num" w:pos="2268"/>
        <w:tab w:val="num" w:pos="4819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96AF3"/>
    <w:pPr>
      <w:widowControl/>
      <w:numPr>
        <w:numId w:val="29"/>
      </w:numPr>
      <w:tabs>
        <w:tab w:val="clear" w:pos="4252"/>
        <w:tab w:val="num" w:pos="2835"/>
        <w:tab w:val="num" w:pos="5386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96AF3"/>
    <w:pPr>
      <w:widowControl/>
      <w:numPr>
        <w:numId w:val="30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96AF3"/>
    <w:pPr>
      <w:widowControl/>
      <w:numPr>
        <w:numId w:val="31"/>
      </w:numPr>
      <w:tabs>
        <w:tab w:val="clear" w:pos="5386"/>
        <w:tab w:val="num" w:pos="850"/>
        <w:tab w:val="num" w:pos="1134"/>
      </w:tabs>
      <w:spacing w:before="120" w:after="120" w:line="360" w:lineRule="auto"/>
      <w:ind w:left="1134" w:hanging="85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96AF3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96AF3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96AF3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96AF3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96AF3"/>
    <w:pPr>
      <w:widowControl/>
      <w:numPr>
        <w:ilvl w:val="4"/>
        <w:numId w:val="32"/>
      </w:numPr>
      <w:tabs>
        <w:tab w:val="num" w:pos="85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96AF3"/>
    <w:pPr>
      <w:widowControl/>
      <w:numPr>
        <w:ilvl w:val="5"/>
        <w:numId w:val="32"/>
      </w:numPr>
      <w:tabs>
        <w:tab w:val="num" w:pos="85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96AF3"/>
    <w:pPr>
      <w:widowControl/>
      <w:numPr>
        <w:ilvl w:val="6"/>
        <w:numId w:val="32"/>
      </w:numPr>
      <w:tabs>
        <w:tab w:val="num" w:pos="85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96AF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96AF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96AF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96AF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96AF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96AF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96AF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96AF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96AF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96AF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96AF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96AF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96AF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96AF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96AF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96AF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96AF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96AF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96AF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A96AF3"/>
    <w:pPr>
      <w:widowControl/>
      <w:numPr>
        <w:numId w:val="33"/>
      </w:numPr>
      <w:tabs>
        <w:tab w:val="clear" w:pos="850"/>
        <w:tab w:val="num" w:pos="2268"/>
        <w:tab w:val="num" w:pos="3685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96AF3"/>
    <w:pPr>
      <w:widowControl/>
      <w:numPr>
        <w:ilvl w:val="2"/>
        <w:numId w:val="33"/>
      </w:numPr>
      <w:tabs>
        <w:tab w:val="clear" w:pos="1417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96AF3"/>
    <w:pPr>
      <w:widowControl/>
      <w:numPr>
        <w:ilvl w:val="4"/>
        <w:numId w:val="33"/>
      </w:numPr>
      <w:tabs>
        <w:tab w:val="clear" w:pos="1984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96AF3"/>
    <w:pPr>
      <w:widowControl/>
      <w:numPr>
        <w:ilvl w:val="6"/>
        <w:numId w:val="33"/>
      </w:numPr>
      <w:tabs>
        <w:tab w:val="clear" w:pos="2551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96AF3"/>
    <w:pPr>
      <w:widowControl/>
      <w:numPr>
        <w:ilvl w:val="1"/>
        <w:numId w:val="33"/>
      </w:numPr>
      <w:tabs>
        <w:tab w:val="clear" w:pos="850"/>
        <w:tab w:val="num" w:pos="2268"/>
        <w:tab w:val="num" w:pos="3685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96AF3"/>
    <w:pPr>
      <w:widowControl/>
      <w:numPr>
        <w:ilvl w:val="3"/>
        <w:numId w:val="33"/>
      </w:numPr>
      <w:tabs>
        <w:tab w:val="clear" w:pos="1417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96AF3"/>
    <w:pPr>
      <w:widowControl/>
      <w:numPr>
        <w:ilvl w:val="5"/>
        <w:numId w:val="33"/>
      </w:numPr>
      <w:tabs>
        <w:tab w:val="clear" w:pos="1984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96AF3"/>
    <w:pPr>
      <w:widowControl/>
      <w:numPr>
        <w:ilvl w:val="7"/>
        <w:numId w:val="33"/>
      </w:numPr>
      <w:tabs>
        <w:tab w:val="clear" w:pos="2551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96AF3"/>
    <w:pPr>
      <w:widowControl/>
      <w:numPr>
        <w:ilvl w:val="8"/>
        <w:numId w:val="33"/>
      </w:numPr>
      <w:tabs>
        <w:tab w:val="clear" w:pos="3118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96AF3"/>
    <w:pPr>
      <w:widowControl/>
      <w:numPr>
        <w:numId w:val="34"/>
      </w:numPr>
      <w:tabs>
        <w:tab w:val="clear" w:pos="850"/>
        <w:tab w:val="num" w:pos="2835"/>
        <w:tab w:val="num" w:pos="4252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96AF3"/>
    <w:pPr>
      <w:widowControl/>
      <w:numPr>
        <w:numId w:val="35"/>
      </w:numPr>
      <w:tabs>
        <w:tab w:val="clear" w:pos="3685"/>
        <w:tab w:val="num" w:pos="567"/>
        <w:tab w:val="num" w:pos="4819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96AF3"/>
    <w:pPr>
      <w:widowControl/>
      <w:numPr>
        <w:numId w:val="36"/>
      </w:numPr>
      <w:tabs>
        <w:tab w:val="clear" w:pos="4252"/>
        <w:tab w:val="num" w:pos="1134"/>
        <w:tab w:val="num" w:pos="5386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96AF3"/>
    <w:pPr>
      <w:widowControl/>
      <w:numPr>
        <w:numId w:val="37"/>
      </w:numPr>
      <w:tabs>
        <w:tab w:val="clear" w:pos="4819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96AF3"/>
    <w:pPr>
      <w:widowControl/>
      <w:numPr>
        <w:numId w:val="38"/>
      </w:numPr>
      <w:tabs>
        <w:tab w:val="clear" w:pos="5386"/>
        <w:tab w:val="num" w:pos="360"/>
        <w:tab w:val="num" w:pos="2268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96AF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96AF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96AF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A96AF3"/>
    <w:pPr>
      <w:widowControl/>
      <w:numPr>
        <w:numId w:val="39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96AF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96AF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96AF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96AF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96AF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96AF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96AF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A96AF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A96AF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96AF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A96AF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A96AF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96AF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96AF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96AF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96AF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96AF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96AF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96AF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A96AF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96AF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96AF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96AF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96AF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96AF3"/>
    <w:pPr>
      <w:spacing w:before="240"/>
    </w:pPr>
  </w:style>
  <w:style w:type="paragraph" w:customStyle="1" w:styleId="Accordtitre">
    <w:name w:val="Accord titre"/>
    <w:basedOn w:val="Normal"/>
    <w:rsid w:val="00A96AF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96AF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96AF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96AF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96AF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96AF3"/>
    <w:pPr>
      <w:spacing w:after="240"/>
    </w:pPr>
  </w:style>
  <w:style w:type="paragraph" w:customStyle="1" w:styleId="Annexetitre">
    <w:name w:val="Annexe titre"/>
    <w:basedOn w:val="Normal"/>
    <w:next w:val="Normal"/>
    <w:rsid w:val="00A96AF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A96AF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A96AF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96AF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96AF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96AF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96AF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96AF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96AF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96AF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96AF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96AF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96AF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96AF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96AF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96AF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96AF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96AF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96AF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96AF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96AF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96AF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96AF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96AF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96AF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96AF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96AF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96AF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96AF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l-GR" w:eastAsia="en-US"/>
    </w:rPr>
  </w:style>
  <w:style w:type="paragraph" w:customStyle="1" w:styleId="CommentFwdQuotedText">
    <w:name w:val="CommentFwdQuotedText"/>
    <w:basedOn w:val="Normal"/>
    <w:rsid w:val="00A96AF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96AF3"/>
    <w:pPr>
      <w:pBdr>
        <w:top w:val="none" w:sz="0" w:space="0" w:color="auto"/>
        <w:left w:val="single" w:sz="4" w:space="20" w:color="auto"/>
      </w:pBdr>
    </w:pPr>
  </w:style>
  <w:style w:type="paragraph" w:styleId="Title">
    <w:name w:val="Title"/>
    <w:basedOn w:val="Normal"/>
    <w:next w:val="Normal"/>
    <w:link w:val="TitleChar"/>
    <w:uiPriority w:val="10"/>
    <w:qFormat/>
    <w:rsid w:val="00A96AF3"/>
    <w:pPr>
      <w:contextualSpacing/>
    </w:pPr>
    <w:rPr>
      <w:rFonts w:ascii="Cambria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A96AF3"/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AF3"/>
    <w:pPr>
      <w:numPr>
        <w:ilvl w:val="1"/>
      </w:numPr>
      <w:spacing w:after="160"/>
    </w:pPr>
    <w:rPr>
      <w:color w:val="595959"/>
      <w:spacing w:val="15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A96AF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l-GR"/>
    </w:rPr>
  </w:style>
  <w:style w:type="paragraph" w:styleId="Quote">
    <w:name w:val="Quote"/>
    <w:basedOn w:val="Normal"/>
    <w:next w:val="Normal"/>
    <w:link w:val="QuoteChar"/>
    <w:uiPriority w:val="29"/>
    <w:qFormat/>
    <w:rsid w:val="00A96AF3"/>
    <w:pPr>
      <w:spacing w:before="200" w:after="160"/>
      <w:ind w:left="864" w:right="864"/>
      <w:jc w:val="center"/>
    </w:pPr>
    <w:rPr>
      <w:i/>
      <w:iCs/>
      <w:color w:val="404040"/>
      <w:lang w:val="en-GB"/>
    </w:rPr>
  </w:style>
  <w:style w:type="character" w:customStyle="1" w:styleId="QuoteChar1">
    <w:name w:val="Quote Char1"/>
    <w:basedOn w:val="DefaultParagraphFont"/>
    <w:uiPriority w:val="29"/>
    <w:rsid w:val="00A96AF3"/>
    <w:rPr>
      <w:i/>
      <w:iCs/>
      <w:color w:val="404040" w:themeColor="text1" w:themeTint="BF"/>
      <w:sz w:val="24"/>
      <w:lang w:val="el-GR"/>
    </w:rPr>
  </w:style>
  <w:style w:type="character" w:styleId="IntenseEmphasis">
    <w:name w:val="Intense Emphasis"/>
    <w:basedOn w:val="DefaultParagraphFont"/>
    <w:uiPriority w:val="21"/>
    <w:qFormat/>
    <w:rsid w:val="00A96AF3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AF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en-GB"/>
    </w:rPr>
  </w:style>
  <w:style w:type="character" w:customStyle="1" w:styleId="IntenseQuoteChar1">
    <w:name w:val="Intense Quote Char1"/>
    <w:basedOn w:val="DefaultParagraphFont"/>
    <w:uiPriority w:val="30"/>
    <w:rsid w:val="00A96AF3"/>
    <w:rPr>
      <w:i/>
      <w:iCs/>
      <w:color w:val="5B9BD5" w:themeColor="accent1"/>
      <w:sz w:val="24"/>
      <w:lang w:val="el-GR"/>
    </w:rPr>
  </w:style>
  <w:style w:type="character" w:styleId="IntenseReference">
    <w:name w:val="Intense Reference"/>
    <w:basedOn w:val="DefaultParagraphFont"/>
    <w:uiPriority w:val="32"/>
    <w:qFormat/>
    <w:rsid w:val="00A96AF3"/>
    <w:rPr>
      <w:b/>
      <w:bCs/>
      <w:smallCaps/>
      <w:color w:val="5B9BD5" w:themeColor="accent1"/>
      <w:spacing w:val="5"/>
    </w:rPr>
  </w:style>
  <w:style w:type="paragraph" w:customStyle="1" w:styleId="HeadingDocType24a">
    <w:name w:val="HeadingDocType24a"/>
    <w:basedOn w:val="Normal"/>
    <w:rsid w:val="00194310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94310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94310"/>
    <w:pPr>
      <w:jc w:val="center"/>
    </w:pPr>
  </w:style>
  <w:style w:type="paragraph" w:customStyle="1" w:styleId="LineSingle">
    <w:name w:val="LineSingle"/>
    <w:basedOn w:val="Normal"/>
    <w:next w:val="Normal"/>
    <w:rsid w:val="00194310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94310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2639</Characters>
  <Application>Microsoft Office Word</Application>
  <DocSecurity>0</DocSecurity>
  <Lines>114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2026-03-04T11:38:00Z</dcterms:created>
  <dcterms:modified xsi:type="dcterms:W3CDTF">2026-03-04T11:38:00Z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