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7218" w14:paraId="4EE54F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B05EFB" w14:textId="77777777" w:rsidR="00751A4A" w:rsidRPr="00DF7218" w:rsidRDefault="0082172B" w:rsidP="0010095E">
            <w:pPr>
              <w:pStyle w:val="EPName"/>
            </w:pPr>
            <w:r w:rsidRPr="00DF7218">
              <w:t>Euroopa Parlament</w:t>
            </w:r>
          </w:p>
          <w:p w14:paraId="61388977" w14:textId="77777777" w:rsidR="00751A4A" w:rsidRPr="00DF72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7218">
              <w:t>2024</w:t>
            </w:r>
            <w:r w:rsidR="00817416" w:rsidRPr="00DF7218">
              <w:t>-202</w:t>
            </w:r>
            <w:r w:rsidRPr="00DF7218">
              <w:t>9</w:t>
            </w:r>
          </w:p>
        </w:tc>
        <w:tc>
          <w:tcPr>
            <w:tcW w:w="2268" w:type="dxa"/>
            <w:shd w:val="clear" w:color="auto" w:fill="auto"/>
          </w:tcPr>
          <w:p w14:paraId="50FE829B" w14:textId="77777777" w:rsidR="00751A4A" w:rsidRPr="00DF7218" w:rsidRDefault="00187494" w:rsidP="0010095E">
            <w:pPr>
              <w:pStyle w:val="EPLogo"/>
            </w:pPr>
            <w:r w:rsidRPr="00DF7218">
              <w:rPr>
                <w:noProof/>
                <w:lang w:eastAsia="ja-JP"/>
              </w:rPr>
              <w:drawing>
                <wp:inline distT="0" distB="0" distL="0" distR="0" wp14:anchorId="7CF10640" wp14:editId="4589C7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1937CB" w14:textId="77777777" w:rsidR="00D058B8" w:rsidRPr="00DF7218" w:rsidRDefault="00D058B8" w:rsidP="004C5D52">
      <w:pPr>
        <w:pStyle w:val="LineTop"/>
      </w:pPr>
    </w:p>
    <w:p w14:paraId="387E574A" w14:textId="77777777" w:rsidR="00680577" w:rsidRPr="00DF7218" w:rsidRDefault="0082172B" w:rsidP="00680577">
      <w:pPr>
        <w:pStyle w:val="EPBodyTA1"/>
      </w:pPr>
      <w:r w:rsidRPr="00DF7218">
        <w:t>VASTUVÕETUD TEKSTID</w:t>
      </w:r>
    </w:p>
    <w:p w14:paraId="61E784FA" w14:textId="77777777" w:rsidR="00D058B8" w:rsidRPr="00DF7218" w:rsidRDefault="00D058B8" w:rsidP="00D058B8">
      <w:pPr>
        <w:pStyle w:val="LineBottom"/>
      </w:pPr>
    </w:p>
    <w:p w14:paraId="09E55586" w14:textId="1ED4E0DC" w:rsidR="0082172B" w:rsidRPr="00184B72" w:rsidRDefault="0082172B" w:rsidP="0082172B">
      <w:pPr>
        <w:pStyle w:val="ATHeading1"/>
      </w:pPr>
      <w:bookmarkStart w:id="0" w:name="TANumber"/>
      <w:r w:rsidRPr="00184B72">
        <w:t>P10_TA(2025)0</w:t>
      </w:r>
      <w:r w:rsidR="00D04BC9" w:rsidRPr="00184B72">
        <w:t>324</w:t>
      </w:r>
      <w:bookmarkEnd w:id="0"/>
    </w:p>
    <w:p w14:paraId="3E0E9BF8" w14:textId="77777777" w:rsidR="0082172B" w:rsidRPr="00184B72" w:rsidRDefault="0082172B" w:rsidP="0082172B">
      <w:pPr>
        <w:pStyle w:val="ATHeading2"/>
      </w:pPr>
      <w:bookmarkStart w:id="1" w:name="title"/>
      <w:r w:rsidRPr="00184B72">
        <w:t xml:space="preserve">Äriühingute </w:t>
      </w:r>
      <w:proofErr w:type="spellStart"/>
      <w:r w:rsidRPr="00184B72">
        <w:t>kestlikkusaruandluse</w:t>
      </w:r>
      <w:proofErr w:type="spellEnd"/>
      <w:r w:rsidRPr="00184B72">
        <w:t xml:space="preserve"> ja hoolsuskohustuse nõuded</w:t>
      </w:r>
    </w:p>
    <w:p w14:paraId="51824BF7" w14:textId="77777777" w:rsidR="0082172B" w:rsidRPr="00DF7218" w:rsidRDefault="0082172B" w:rsidP="0082172B">
      <w:pPr>
        <w:rPr>
          <w:i/>
          <w:vanish/>
        </w:rPr>
      </w:pPr>
      <w:r w:rsidRPr="00DF7218">
        <w:rPr>
          <w:i/>
        </w:rPr>
        <w:fldChar w:fldCharType="begin"/>
      </w:r>
      <w:r w:rsidRPr="00DF7218">
        <w:rPr>
          <w:i/>
        </w:rPr>
        <w:instrText xml:space="preserve"> TC"(</w:instrText>
      </w:r>
      <w:bookmarkStart w:id="2" w:name="DocNumber"/>
      <w:r w:rsidRPr="00DF7218">
        <w:rPr>
          <w:i/>
        </w:rPr>
        <w:instrText>A10-0197/2025</w:instrText>
      </w:r>
      <w:bookmarkEnd w:id="2"/>
      <w:r w:rsidRPr="00DF7218">
        <w:rPr>
          <w:i/>
        </w:rPr>
        <w:instrText xml:space="preserve"> - Raportöör: Jörgen Warborn)"\l3 \n&gt; \* MERGEFORMAT </w:instrText>
      </w:r>
      <w:r w:rsidRPr="00DF7218">
        <w:rPr>
          <w:i/>
        </w:rPr>
        <w:fldChar w:fldCharType="end"/>
      </w:r>
    </w:p>
    <w:p w14:paraId="0EA91887" w14:textId="77777777" w:rsidR="0082172B" w:rsidRPr="00DF7218" w:rsidRDefault="0082172B" w:rsidP="0082172B">
      <w:pPr>
        <w:rPr>
          <w:vanish/>
        </w:rPr>
      </w:pPr>
      <w:bookmarkStart w:id="3" w:name="Commission"/>
      <w:r w:rsidRPr="00DF7218">
        <w:rPr>
          <w:vanish/>
        </w:rPr>
        <w:t>Õiguskomisjon</w:t>
      </w:r>
      <w:bookmarkEnd w:id="3"/>
    </w:p>
    <w:p w14:paraId="081EA5B3" w14:textId="77777777" w:rsidR="0082172B" w:rsidRPr="00DF7218" w:rsidRDefault="0082172B" w:rsidP="0082172B">
      <w:pPr>
        <w:rPr>
          <w:vanish/>
        </w:rPr>
      </w:pPr>
      <w:bookmarkStart w:id="4" w:name="PE"/>
      <w:r w:rsidRPr="00DF7218">
        <w:rPr>
          <w:vanish/>
        </w:rPr>
        <w:t>PE774.282</w:t>
      </w:r>
      <w:bookmarkEnd w:id="4"/>
    </w:p>
    <w:p w14:paraId="7009EF80" w14:textId="655D199C" w:rsidR="0082172B" w:rsidRPr="00DF7218" w:rsidRDefault="0082172B" w:rsidP="00E92011">
      <w:pPr>
        <w:pStyle w:val="ATHeading3"/>
      </w:pPr>
      <w:bookmarkStart w:id="5" w:name="Sujet"/>
      <w:r w:rsidRPr="00184B72">
        <w:t xml:space="preserve">Euroopa Parlamendi </w:t>
      </w:r>
      <w:r w:rsidR="008D444B" w:rsidRPr="00184B72">
        <w:t xml:space="preserve">16. detsembri </w:t>
      </w:r>
      <w:r w:rsidRPr="00184B72">
        <w:t>2025. aasta seadusandlik resolutsioon</w:t>
      </w:r>
      <w:r w:rsidR="00515140" w:rsidRPr="00184B72">
        <w:t>,</w:t>
      </w:r>
      <w:r w:rsidRPr="00184B72">
        <w:t xml:space="preserve"> mis käsitleb ettepanekut võtta vastu Euroopa Parlamendi ja nõukogu direktiiv, millega muudetakse direktiive 2006/43/EÜ, 2013/34/EL, (EL) 2022/2464 ja (EL) 2024/1760 seoses teatavate äriühingute </w:t>
      </w:r>
      <w:proofErr w:type="spellStart"/>
      <w:r w:rsidRPr="00184B72">
        <w:t>kestlikkusaruandluse</w:t>
      </w:r>
      <w:proofErr w:type="spellEnd"/>
      <w:r w:rsidRPr="00184B72">
        <w:t xml:space="preserve"> ja hoolsuskohustuse nõuetega</w:t>
      </w:r>
      <w:bookmarkEnd w:id="5"/>
      <w:r w:rsidRPr="00184B72">
        <w:t xml:space="preserve"> </w:t>
      </w:r>
      <w:bookmarkStart w:id="6" w:name="References"/>
      <w:r w:rsidRPr="00184B72">
        <w:t>(COM(2025)0081 – C10-0037/2025 – 2025/0045(COD))</w:t>
      </w:r>
      <w:bookmarkEnd w:id="6"/>
    </w:p>
    <w:p w14:paraId="4835F1F8" w14:textId="12DAAE1A" w:rsidR="0082172B" w:rsidRPr="00184B72" w:rsidRDefault="007B2D6F" w:rsidP="0082172B">
      <w:pPr>
        <w:rPr>
          <w:b/>
          <w:bCs/>
        </w:rPr>
      </w:pPr>
      <w:r w:rsidRPr="00184B72">
        <w:rPr>
          <w:b/>
          <w:bCs/>
        </w:rPr>
        <w:t>(Seadusandlik tavamenetlus: esimene lugemine)</w:t>
      </w:r>
    </w:p>
    <w:p w14:paraId="374FAF92" w14:textId="77777777" w:rsidR="00DC4A29" w:rsidRPr="00DF7218" w:rsidRDefault="00DC4A29" w:rsidP="00DC4A29">
      <w:pPr>
        <w:pStyle w:val="EPComma"/>
      </w:pPr>
      <w:bookmarkStart w:id="7" w:name="TextBodyBegin"/>
      <w:bookmarkEnd w:id="1"/>
      <w:bookmarkEnd w:id="7"/>
      <w:r w:rsidRPr="00DF7218">
        <w:rPr>
          <w:i/>
        </w:rPr>
        <w:t>Euroopa Parlament</w:t>
      </w:r>
      <w:r w:rsidRPr="00DF7218">
        <w:t>,</w:t>
      </w:r>
    </w:p>
    <w:p w14:paraId="070F4D6F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komisjoni ettepanekut Euroopa Parlamendile ja nõukogule (COM(2025)0081),</w:t>
      </w:r>
    </w:p>
    <w:p w14:paraId="711A432F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Euroopa Liidu toimimise lepingu artikli 294 lõiget 2, artiklit 50 ja artiklit 114, mille alusel komisjon esitas ettepaneku Euroopa Parlamendile (C10</w:t>
      </w:r>
      <w:r w:rsidRPr="00DF7218">
        <w:noBreakHyphen/>
        <w:t>0037/2025),</w:t>
      </w:r>
    </w:p>
    <w:p w14:paraId="17905431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Euroopa Liidu toimimise lepingu artikli 294 lõiget 3,</w:t>
      </w:r>
    </w:p>
    <w:p w14:paraId="16FAA7DB" w14:textId="1B1C2AE4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Euroopa Majandus- ja Sotsiaalkomitee</w:t>
      </w:r>
      <w:r w:rsidR="005451BA" w:rsidRPr="00DF7218">
        <w:t xml:space="preserve"> 20. augusti 2025. aasta</w:t>
      </w:r>
      <w:r w:rsidRPr="00DF7218">
        <w:t xml:space="preserve"> arvamust</w:t>
      </w:r>
      <w:r w:rsidRPr="00DF7218">
        <w:rPr>
          <w:rStyle w:val="FootnoteReference"/>
        </w:rPr>
        <w:footnoteReference w:id="1"/>
      </w:r>
      <w:r w:rsidRPr="00DF7218">
        <w:t>,</w:t>
      </w:r>
    </w:p>
    <w:p w14:paraId="666D11F5" w14:textId="78305C4B" w:rsidR="00AB0790" w:rsidRPr="00DF7218" w:rsidRDefault="00AB0790" w:rsidP="00AB0790">
      <w:pPr>
        <w:spacing w:after="240"/>
        <w:ind w:left="567" w:hanging="567"/>
      </w:pPr>
      <w:r w:rsidRPr="00DF7218">
        <w:t>–</w:t>
      </w:r>
      <w:r w:rsidRPr="00DF7218">
        <w:tab/>
        <w:t>võttes arvesse vastutava komisjoni poolt kodukorra artikli 75 lõike 4 alusel heaks kiidetud esialgset kokkulepet ja nõukogu esindaja poolt 11. detsembri 2025. aasta kirjas võetud kohustust kiita Euroopa Parlamendi seisukoht heaks vastavalt Euroopa Liidu toimimise lepingu artikli 294 lõikele 4,</w:t>
      </w:r>
    </w:p>
    <w:p w14:paraId="29063E0C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kodukorra artiklit 60,</w:t>
      </w:r>
    </w:p>
    <w:p w14:paraId="6F8722C1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väliskomisjoni, rahvusvahelise kaubanduse komisjoni, majandus- ja rahanduskomisjoni, tööhõive- ja sotsiaalkomisjoni ning keskkonna-, kliima- ja toiduohutuse komisjoni arvamusi,</w:t>
      </w:r>
    </w:p>
    <w:p w14:paraId="2E4D427F" w14:textId="77777777" w:rsidR="00DC4A29" w:rsidRPr="00DF7218" w:rsidRDefault="00DC4A29" w:rsidP="00DC4A29">
      <w:pPr>
        <w:pStyle w:val="NormalHanging12a"/>
      </w:pPr>
      <w:r w:rsidRPr="00DF7218">
        <w:t>–</w:t>
      </w:r>
      <w:r w:rsidRPr="00DF7218">
        <w:tab/>
        <w:t>võttes arvesse õiguskomisjoni raportit (A10-0197/2025),</w:t>
      </w:r>
    </w:p>
    <w:p w14:paraId="64FCC9B1" w14:textId="77777777" w:rsidR="00DC4A29" w:rsidRPr="00DF7218" w:rsidRDefault="00DC4A29" w:rsidP="00DC4A29">
      <w:pPr>
        <w:pStyle w:val="NormalHanging12a"/>
      </w:pPr>
      <w:r w:rsidRPr="00DF7218">
        <w:lastRenderedPageBreak/>
        <w:t>1.</w:t>
      </w:r>
      <w:r w:rsidRPr="00DF7218">
        <w:tab/>
        <w:t>võtab vastu allpool toodud esimese lugemise seisukoha;</w:t>
      </w:r>
    </w:p>
    <w:p w14:paraId="50D2770C" w14:textId="77777777" w:rsidR="00DC4A29" w:rsidRPr="00DF7218" w:rsidRDefault="00DC4A29" w:rsidP="00DC4A29">
      <w:pPr>
        <w:pStyle w:val="NormalHanging12a"/>
      </w:pPr>
      <w:r w:rsidRPr="00DF7218">
        <w:t>2.</w:t>
      </w:r>
      <w:r w:rsidRPr="00DF7218">
        <w:tab/>
        <w:t>palub komisjonil ettepaneku uuesti Euroopa Parlamendile saata, kui komisjon asendab selle uue ettepanekuga, muudab seda oluliselt või kavatseb seda oluliselt muuta;</w:t>
      </w:r>
    </w:p>
    <w:p w14:paraId="352DE8D8" w14:textId="77777777" w:rsidR="00DC4A29" w:rsidRPr="00DF7218" w:rsidRDefault="00DC4A29" w:rsidP="00DC4A29">
      <w:pPr>
        <w:pStyle w:val="NormalHanging12a"/>
      </w:pPr>
      <w:r w:rsidRPr="00DF7218">
        <w:t>3.</w:t>
      </w:r>
      <w:r w:rsidRPr="00DF7218">
        <w:tab/>
        <w:t>teeb presidendile ülesandeks edastada Euroopa Parlamendi seisukoht nõukogule ja komisjonile ning liikmesriikide parlamentidele.</w:t>
      </w:r>
    </w:p>
    <w:p w14:paraId="66D4CAE2" w14:textId="77777777" w:rsidR="00986354" w:rsidRPr="00DF7218" w:rsidRDefault="00986354" w:rsidP="008D444B">
      <w:pPr>
        <w:keepNext/>
        <w:widowControl/>
        <w:spacing w:before="600" w:after="120" w:line="360" w:lineRule="auto"/>
        <w:sectPr w:rsidR="00986354" w:rsidRPr="00DF7218" w:rsidSect="008D444B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6F1B8AFE" w14:textId="7BB24284" w:rsidR="0067215F" w:rsidRPr="00DF7218" w:rsidRDefault="0067215F" w:rsidP="0067215F">
      <w:pPr>
        <w:pStyle w:val="Statut"/>
        <w:spacing w:before="0" w:after="240"/>
        <w:jc w:val="left"/>
        <w:rPr>
          <w:b/>
        </w:rPr>
      </w:pPr>
      <w:r w:rsidRPr="00DF7218">
        <w:rPr>
          <w:b/>
        </w:rPr>
        <w:lastRenderedPageBreak/>
        <w:t>P10_</w:t>
      </w:r>
      <w:r w:rsidRPr="00DF7218">
        <w:rPr>
          <w:b/>
          <w:noProof/>
        </w:rPr>
        <w:t>TC1-COD</w:t>
      </w:r>
      <w:r w:rsidRPr="00DF7218">
        <w:rPr>
          <w:b/>
        </w:rPr>
        <w:t>(2025)0045</w:t>
      </w:r>
    </w:p>
    <w:p w14:paraId="0EB02418" w14:textId="22A94575" w:rsidR="0067215F" w:rsidRPr="00DF7218" w:rsidRDefault="0067215F" w:rsidP="0067215F">
      <w:pPr>
        <w:spacing w:after="240"/>
        <w:rPr>
          <w:b/>
        </w:rPr>
      </w:pPr>
      <w:r w:rsidRPr="00DF7218">
        <w:rPr>
          <w:b/>
          <w:noProof/>
        </w:rPr>
        <w:t xml:space="preserve">Euroopa Parlamendi seisukoht, vastu võetud esimesel lugemisel 16. detsembril 2025. aastal eesmärgiga võtta vastu Euroopa Parlamendi ja nõukogu </w:t>
      </w:r>
      <w:r w:rsidRPr="00DF7218">
        <w:rPr>
          <w:b/>
        </w:rPr>
        <w:t>direktiiv (EL) 202</w:t>
      </w:r>
      <w:r w:rsidR="00E92011">
        <w:rPr>
          <w:b/>
        </w:rPr>
        <w:t>6</w:t>
      </w:r>
      <w:r w:rsidRPr="00DF7218">
        <w:rPr>
          <w:b/>
        </w:rPr>
        <w:t>/…</w:t>
      </w:r>
      <w:r w:rsidR="0065341E" w:rsidRPr="00DF7218">
        <w:rPr>
          <w:b/>
        </w:rPr>
        <w:t xml:space="preserve">, millega muudetakse direktiive </w:t>
      </w:r>
      <w:r w:rsidR="0041372E" w:rsidRPr="00DF7218">
        <w:rPr>
          <w:b/>
        </w:rPr>
        <w:t xml:space="preserve">2006/43/EÜ, 2013/34/EL, (EL) 2022/2464 ja (EL) 2024/1760 seoses teatavate äriühingute </w:t>
      </w:r>
      <w:proofErr w:type="spellStart"/>
      <w:r w:rsidR="0041372E" w:rsidRPr="00DF7218">
        <w:rPr>
          <w:b/>
        </w:rPr>
        <w:t>kestlikkusaruandluse</w:t>
      </w:r>
      <w:proofErr w:type="spellEnd"/>
      <w:r w:rsidR="0041372E" w:rsidRPr="00DF7218">
        <w:rPr>
          <w:b/>
        </w:rPr>
        <w:t xml:space="preserve"> ja hoolsuskohustuse nõuetega</w:t>
      </w:r>
    </w:p>
    <w:p w14:paraId="269F8DAE" w14:textId="16A06757" w:rsidR="00DC4A29" w:rsidRPr="00DF7218" w:rsidRDefault="00E92011" w:rsidP="00E92011">
      <w:r w:rsidRPr="006D4016">
        <w:rPr>
          <w:i/>
        </w:rPr>
        <w:t>(Kuna Euroopa Parlament ja nõukogu jõudsid kokkuleppele, vastab Euroopa Parlamendi seisukoht õigusakti (</w:t>
      </w:r>
      <w:r w:rsidRPr="00E92011">
        <w:rPr>
          <w:i/>
        </w:rPr>
        <w:t>direktiiv (EL) </w:t>
      </w:r>
      <w:r w:rsidRPr="00E92011">
        <w:rPr>
          <w:i/>
        </w:rPr>
        <w:t>2026</w:t>
      </w:r>
      <w:r w:rsidRPr="00E92011">
        <w:rPr>
          <w:i/>
        </w:rPr>
        <w:t>/</w:t>
      </w:r>
      <w:r>
        <w:rPr>
          <w:i/>
        </w:rPr>
        <w:t>470</w:t>
      </w:r>
      <w:r w:rsidRPr="006D4016">
        <w:rPr>
          <w:i/>
        </w:rPr>
        <w:t>) lõplikule kujule).</w:t>
      </w:r>
    </w:p>
    <w:sectPr w:rsidR="00DC4A29" w:rsidRPr="00DF7218" w:rsidSect="008D44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1C164" w14:textId="77777777" w:rsidR="0082172B" w:rsidRPr="00DA65C0" w:rsidRDefault="0082172B">
      <w:r w:rsidRPr="00DA65C0">
        <w:separator/>
      </w:r>
    </w:p>
  </w:endnote>
  <w:endnote w:type="continuationSeparator" w:id="0">
    <w:p w14:paraId="64C08D48" w14:textId="77777777" w:rsidR="0082172B" w:rsidRPr="00DA65C0" w:rsidRDefault="0082172B">
      <w:r w:rsidRPr="00DA65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A3EC2" w14:textId="77777777" w:rsidR="00A00D48" w:rsidRDefault="00A00D48" w:rsidP="00683D36">
    <w:pPr>
      <w:pStyle w:val="EP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2</w:t>
      </w:r>
    </w:fldSimple>
    <w:r>
      <w:tab/>
    </w:r>
  </w:p>
  <w:p w14:paraId="53C64A14" w14:textId="77777777" w:rsidR="00A00D48" w:rsidRDefault="00A00D48" w:rsidP="00683D36">
    <w:pPr>
      <w:pStyle w:val="EPFooter2"/>
    </w:pPr>
    <w:r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B824D" w14:textId="5FCCAC78" w:rsidR="00A00D48" w:rsidRPr="00A00D48" w:rsidRDefault="00A00D48" w:rsidP="00A00D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CDCD9" w14:textId="1C91A330" w:rsidR="00A00D48" w:rsidRPr="00A00D48" w:rsidRDefault="00A00D48" w:rsidP="00A00D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D9FA" w14:textId="77777777" w:rsidR="0082172B" w:rsidRPr="00DA65C0" w:rsidRDefault="0082172B">
      <w:r w:rsidRPr="00DA65C0">
        <w:separator/>
      </w:r>
    </w:p>
  </w:footnote>
  <w:footnote w:type="continuationSeparator" w:id="0">
    <w:p w14:paraId="4C625E46" w14:textId="77777777" w:rsidR="0082172B" w:rsidRPr="00DA65C0" w:rsidRDefault="0082172B">
      <w:r w:rsidRPr="00DA65C0">
        <w:continuationSeparator/>
      </w:r>
    </w:p>
  </w:footnote>
  <w:footnote w:id="1">
    <w:p w14:paraId="4E8F50E0" w14:textId="4BB45D1E" w:rsidR="00DC4A29" w:rsidRPr="00515140" w:rsidRDefault="00DC4A29" w:rsidP="00515140">
      <w:pPr>
        <w:pStyle w:val="FootnoteText"/>
        <w:ind w:left="567" w:hanging="567"/>
        <w:rPr>
          <w:sz w:val="24"/>
          <w:szCs w:val="24"/>
          <w:lang w:val="et-EE"/>
        </w:rPr>
      </w:pPr>
      <w:r w:rsidRPr="00515140">
        <w:rPr>
          <w:rStyle w:val="FootnoteReference"/>
          <w:sz w:val="24"/>
          <w:szCs w:val="24"/>
          <w:lang w:val="et-EE"/>
        </w:rPr>
        <w:footnoteRef/>
      </w:r>
      <w:r w:rsidR="00DA65C0" w:rsidRPr="00515140">
        <w:rPr>
          <w:sz w:val="24"/>
          <w:szCs w:val="24"/>
          <w:lang w:val="et-EE"/>
        </w:rPr>
        <w:t xml:space="preserve"> </w:t>
      </w:r>
      <w:r w:rsidR="00DA65C0" w:rsidRPr="00515140">
        <w:rPr>
          <w:sz w:val="24"/>
          <w:szCs w:val="24"/>
          <w:lang w:val="et-EE"/>
        </w:rPr>
        <w:tab/>
      </w:r>
      <w:r w:rsidRPr="00515140">
        <w:rPr>
          <w:sz w:val="24"/>
          <w:szCs w:val="24"/>
          <w:lang w:val="et-EE"/>
        </w:rPr>
        <w:t>ELT C, C</w:t>
      </w:r>
      <w:r w:rsidR="007B2D6F" w:rsidRPr="00515140">
        <w:rPr>
          <w:sz w:val="24"/>
          <w:szCs w:val="24"/>
          <w:lang w:val="et-EE"/>
        </w:rPr>
        <w:t xml:space="preserve">/2025/4212, 20.8.2025, </w:t>
      </w:r>
      <w:r w:rsidRPr="00515140">
        <w:rPr>
          <w:sz w:val="24"/>
          <w:szCs w:val="24"/>
          <w:lang w:val="et-EE"/>
        </w:rPr>
        <w:t xml:space="preserve">ELI: </w:t>
      </w:r>
      <w:hyperlink r:id="rId1" w:history="1">
        <w:r w:rsidR="00346705" w:rsidRPr="00515140">
          <w:rPr>
            <w:rStyle w:val="Hyperlink"/>
            <w:sz w:val="24"/>
            <w:szCs w:val="24"/>
            <w:lang w:val="et-EE"/>
          </w:rPr>
          <w:t>http://data.europa.eu/eli/C/2025/4212/oj</w:t>
        </w:r>
      </w:hyperlink>
      <w:r w:rsidRPr="00515140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62848" w14:textId="77777777" w:rsidR="00A00D48" w:rsidRDefault="00A00D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7385" w14:textId="77777777" w:rsidR="00A00D48" w:rsidRDefault="00A00D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2ED3D" w14:textId="77777777" w:rsidR="00A00D48" w:rsidRDefault="00A00D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022708418">
    <w:abstractNumId w:val="2"/>
  </w:num>
  <w:num w:numId="2" w16cid:durableId="204752803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ET"/>
    <w:docVar w:name="dvnumam" w:val="287"/>
    <w:docVar w:name="dvpe" w:val="774.282"/>
    <w:docVar w:name="dvrapporteur" w:val="Raportöör: "/>
    <w:docVar w:name="dvstar" w:val="***I"/>
    <w:docVar w:name="dvtitre" w:val="Euroopa Parlamendi .... 2025. aasta seadusandlik resolutsioon mis käsitleb ettepanekut võtta vastu Euroopa Parlamendi ja nõukogu direktiiv, millega muudetakse direktiive 2006/43/EÜ, 2013/34/EL, (EL) 2022/2464 ja (EL) 2024/1760 seoses teatavate äriühingute kestlikkusaruandluse ja hoolsuskohustuse nõuetega(COM(2025)0081 – C10-0037/2025 – 2025/0045(COD))"/>
  </w:docVars>
  <w:rsids>
    <w:rsidRoot w:val="0082172B"/>
    <w:rsid w:val="00002272"/>
    <w:rsid w:val="00061E95"/>
    <w:rsid w:val="00064002"/>
    <w:rsid w:val="000677B9"/>
    <w:rsid w:val="000831BA"/>
    <w:rsid w:val="000A13D9"/>
    <w:rsid w:val="000A42CC"/>
    <w:rsid w:val="000E7DD9"/>
    <w:rsid w:val="0010095E"/>
    <w:rsid w:val="00125B37"/>
    <w:rsid w:val="00184B72"/>
    <w:rsid w:val="00187494"/>
    <w:rsid w:val="001F32AE"/>
    <w:rsid w:val="0023216E"/>
    <w:rsid w:val="00235E99"/>
    <w:rsid w:val="002767FF"/>
    <w:rsid w:val="002B18FE"/>
    <w:rsid w:val="002B5493"/>
    <w:rsid w:val="002C4687"/>
    <w:rsid w:val="00316712"/>
    <w:rsid w:val="00343214"/>
    <w:rsid w:val="00346705"/>
    <w:rsid w:val="00361C00"/>
    <w:rsid w:val="00395FA1"/>
    <w:rsid w:val="003E15D4"/>
    <w:rsid w:val="00411CCE"/>
    <w:rsid w:val="0041372E"/>
    <w:rsid w:val="0041666E"/>
    <w:rsid w:val="00421060"/>
    <w:rsid w:val="00444B46"/>
    <w:rsid w:val="00471C19"/>
    <w:rsid w:val="004867E3"/>
    <w:rsid w:val="00494A28"/>
    <w:rsid w:val="004C0004"/>
    <w:rsid w:val="004C437B"/>
    <w:rsid w:val="004C5D52"/>
    <w:rsid w:val="0050519A"/>
    <w:rsid w:val="005072A1"/>
    <w:rsid w:val="00514517"/>
    <w:rsid w:val="00515140"/>
    <w:rsid w:val="005451BA"/>
    <w:rsid w:val="00545827"/>
    <w:rsid w:val="00557B1B"/>
    <w:rsid w:val="00560270"/>
    <w:rsid w:val="005C2568"/>
    <w:rsid w:val="005F1B17"/>
    <w:rsid w:val="006037C0"/>
    <w:rsid w:val="00625543"/>
    <w:rsid w:val="0065341E"/>
    <w:rsid w:val="006631B6"/>
    <w:rsid w:val="0067215F"/>
    <w:rsid w:val="00680577"/>
    <w:rsid w:val="006E4B82"/>
    <w:rsid w:val="006F0425"/>
    <w:rsid w:val="006F74FA"/>
    <w:rsid w:val="00717CF9"/>
    <w:rsid w:val="00731ADD"/>
    <w:rsid w:val="00734777"/>
    <w:rsid w:val="00747932"/>
    <w:rsid w:val="00751A4A"/>
    <w:rsid w:val="00756632"/>
    <w:rsid w:val="00762C74"/>
    <w:rsid w:val="00786EC0"/>
    <w:rsid w:val="007B2D6F"/>
    <w:rsid w:val="007D1690"/>
    <w:rsid w:val="007E22AD"/>
    <w:rsid w:val="008166FA"/>
    <w:rsid w:val="00817416"/>
    <w:rsid w:val="0082172B"/>
    <w:rsid w:val="00842779"/>
    <w:rsid w:val="00865F67"/>
    <w:rsid w:val="00881A7B"/>
    <w:rsid w:val="008840E5"/>
    <w:rsid w:val="00887B3E"/>
    <w:rsid w:val="008C2AC6"/>
    <w:rsid w:val="008D444B"/>
    <w:rsid w:val="00930C23"/>
    <w:rsid w:val="0093193B"/>
    <w:rsid w:val="009509D8"/>
    <w:rsid w:val="00950B64"/>
    <w:rsid w:val="00981893"/>
    <w:rsid w:val="00986354"/>
    <w:rsid w:val="00A00D48"/>
    <w:rsid w:val="00A1687D"/>
    <w:rsid w:val="00A43E52"/>
    <w:rsid w:val="00A4678D"/>
    <w:rsid w:val="00A778C7"/>
    <w:rsid w:val="00AB079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CD2"/>
    <w:rsid w:val="00C941CB"/>
    <w:rsid w:val="00CA44DB"/>
    <w:rsid w:val="00CC2357"/>
    <w:rsid w:val="00CD56F7"/>
    <w:rsid w:val="00CF0363"/>
    <w:rsid w:val="00CF071A"/>
    <w:rsid w:val="00D04BC9"/>
    <w:rsid w:val="00D058B8"/>
    <w:rsid w:val="00D56C11"/>
    <w:rsid w:val="00D834A0"/>
    <w:rsid w:val="00D872DF"/>
    <w:rsid w:val="00D91E21"/>
    <w:rsid w:val="00DA65C0"/>
    <w:rsid w:val="00DA7FCD"/>
    <w:rsid w:val="00DC4A29"/>
    <w:rsid w:val="00DF7218"/>
    <w:rsid w:val="00E2306F"/>
    <w:rsid w:val="00E365E1"/>
    <w:rsid w:val="00E820A4"/>
    <w:rsid w:val="00E92011"/>
    <w:rsid w:val="00EB006A"/>
    <w:rsid w:val="00EB4772"/>
    <w:rsid w:val="00ED169E"/>
    <w:rsid w:val="00ED4235"/>
    <w:rsid w:val="00EE764B"/>
    <w:rsid w:val="00EF0383"/>
    <w:rsid w:val="00F04346"/>
    <w:rsid w:val="00F075DC"/>
    <w:rsid w:val="00F149E9"/>
    <w:rsid w:val="00F4693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FE690"/>
  <w15:chartTrackingRefBased/>
  <w15:docId w15:val="{276FB151-0E0D-4694-A9DA-ED6DC84B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567"/>
      </w:tabs>
      <w:spacing w:before="240" w:after="60"/>
      <w:ind w:left="567" w:hanging="567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1134"/>
      </w:tabs>
      <w:spacing w:before="240" w:after="60"/>
      <w:ind w:left="1134" w:hanging="567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1134"/>
      </w:tabs>
      <w:spacing w:before="240" w:after="60"/>
      <w:ind w:left="1134" w:hanging="567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2835"/>
      </w:tabs>
      <w:spacing w:before="240" w:after="60"/>
      <w:ind w:left="2835" w:hanging="567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C4A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A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A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A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A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A29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A29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A29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A29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DC4A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C4A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C4A2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C4A29"/>
    <w:pPr>
      <w:spacing w:after="120"/>
    </w:pPr>
  </w:style>
  <w:style w:type="paragraph" w:customStyle="1" w:styleId="PageHeading">
    <w:name w:val="PageHeading"/>
    <w:basedOn w:val="Normal"/>
    <w:rsid w:val="00DC4A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C4A29"/>
    <w:rPr>
      <w:b/>
    </w:rPr>
  </w:style>
  <w:style w:type="character" w:customStyle="1" w:styleId="NormalBoldChar">
    <w:name w:val="NormalBold Char"/>
    <w:basedOn w:val="DefaultParagraphFont"/>
    <w:link w:val="NormalBold"/>
    <w:rsid w:val="00DC4A29"/>
    <w:rPr>
      <w:b/>
      <w:sz w:val="24"/>
      <w:lang w:val="et-EE"/>
    </w:rPr>
  </w:style>
  <w:style w:type="paragraph" w:customStyle="1" w:styleId="NormalBold12a">
    <w:name w:val="NormalBold12a"/>
    <w:basedOn w:val="Normal"/>
    <w:rsid w:val="00DC4A29"/>
    <w:pPr>
      <w:spacing w:after="240"/>
    </w:pPr>
    <w:rPr>
      <w:b/>
    </w:rPr>
  </w:style>
  <w:style w:type="paragraph" w:customStyle="1" w:styleId="AmJustText">
    <w:name w:val="AmJustText"/>
    <w:basedOn w:val="Normal"/>
    <w:rsid w:val="00DC4A2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C4A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C4A29"/>
    <w:pPr>
      <w:spacing w:after="480"/>
      <w:ind w:left="1417"/>
    </w:pPr>
  </w:style>
  <w:style w:type="paragraph" w:customStyle="1" w:styleId="CoverNormal">
    <w:name w:val="CoverNormal"/>
    <w:basedOn w:val="Normal"/>
    <w:rsid w:val="00DC4A29"/>
    <w:pPr>
      <w:ind w:left="1418"/>
    </w:pPr>
  </w:style>
  <w:style w:type="paragraph" w:customStyle="1" w:styleId="AmCrossRef">
    <w:name w:val="AmCrossRef"/>
    <w:basedOn w:val="Normal"/>
    <w:rsid w:val="00DC4A2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C4A2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DC4A29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DC4A29"/>
    <w:rPr>
      <w:rFonts w:ascii="Arial" w:hAnsi="Arial" w:cs="Arial"/>
      <w:b/>
      <w:sz w:val="24"/>
      <w:lang w:val="et-EE"/>
    </w:rPr>
  </w:style>
  <w:style w:type="paragraph" w:customStyle="1" w:styleId="CoverDocType">
    <w:name w:val="CoverDocType"/>
    <w:basedOn w:val="Normal"/>
    <w:rsid w:val="00DC4A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C4A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C4A2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C4A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A29"/>
    <w:rPr>
      <w:sz w:val="24"/>
      <w:lang w:val="et-EE"/>
    </w:rPr>
  </w:style>
  <w:style w:type="paragraph" w:customStyle="1" w:styleId="AmOrLang">
    <w:name w:val="AmOrLang"/>
    <w:basedOn w:val="Normal"/>
    <w:rsid w:val="00DC4A2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C4A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C4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C4A29"/>
    <w:pPr>
      <w:spacing w:before="240"/>
    </w:pPr>
    <w:rPr>
      <w:b/>
    </w:rPr>
  </w:style>
  <w:style w:type="paragraph" w:customStyle="1" w:styleId="EPBody">
    <w:name w:val="EPBody"/>
    <w:basedOn w:val="Normal"/>
    <w:rsid w:val="00DC4A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C4A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C4A29"/>
    <w:pPr>
      <w:spacing w:before="480" w:after="240"/>
    </w:pPr>
  </w:style>
  <w:style w:type="paragraph" w:customStyle="1" w:styleId="Lgendesigne">
    <w:name w:val="Légende signe"/>
    <w:basedOn w:val="Normal"/>
    <w:rsid w:val="00DC4A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C4A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C4A29"/>
    <w:rPr>
      <w:sz w:val="18"/>
    </w:rPr>
  </w:style>
  <w:style w:type="paragraph" w:customStyle="1" w:styleId="EntPE">
    <w:name w:val="EntPE"/>
    <w:basedOn w:val="Normal12"/>
    <w:rsid w:val="00DC4A2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C4A29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C4A29"/>
    <w:rPr>
      <w:noProof/>
      <w:sz w:val="24"/>
      <w:lang w:val="et-EE"/>
    </w:rPr>
  </w:style>
  <w:style w:type="paragraph" w:customStyle="1" w:styleId="CommitteeAM">
    <w:name w:val="CommitteeAM"/>
    <w:basedOn w:val="Normal"/>
    <w:rsid w:val="00DC4A2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C4A2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C4A2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C4A29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C4A29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DC4A29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DC4A29"/>
    <w:rPr>
      <w:sz w:val="24"/>
      <w:lang w:val="fr-FR"/>
    </w:rPr>
  </w:style>
  <w:style w:type="paragraph" w:customStyle="1" w:styleId="Normal12Italic">
    <w:name w:val="Normal12Italic"/>
    <w:basedOn w:val="Normal12"/>
    <w:rsid w:val="00DC4A29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DC4A29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DC4A29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DC4A29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DC4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DC4A29"/>
    <w:pPr>
      <w:spacing w:before="240"/>
      <w:jc w:val="center"/>
    </w:pPr>
    <w:rPr>
      <w:i/>
      <w:lang w:val="fr-FR"/>
    </w:rPr>
  </w:style>
  <w:style w:type="paragraph" w:customStyle="1" w:styleId="NormalBoldCenter">
    <w:name w:val="NormalBoldCenter"/>
    <w:basedOn w:val="Normal"/>
    <w:rsid w:val="00DC4A29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DC4A2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C4A29"/>
    <w:rPr>
      <w:szCs w:val="24"/>
    </w:rPr>
  </w:style>
  <w:style w:type="character" w:customStyle="1" w:styleId="Footer2Middle">
    <w:name w:val="Footer2Middle"/>
    <w:rsid w:val="00DC4A29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DC4A29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A29"/>
    <w:rPr>
      <w:lang w:val="fr-FR"/>
    </w:rPr>
  </w:style>
  <w:style w:type="character" w:styleId="CommentReference">
    <w:name w:val="annotation reference"/>
    <w:uiPriority w:val="99"/>
    <w:unhideWhenUsed/>
    <w:rsid w:val="00DC4A29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DC4A29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DC4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4A29"/>
    <w:rPr>
      <w:rFonts w:ascii="Segoe UI" w:hAnsi="Segoe UI" w:cs="Segoe UI"/>
      <w:sz w:val="18"/>
      <w:szCs w:val="18"/>
      <w:lang w:val="et-EE"/>
    </w:rPr>
  </w:style>
  <w:style w:type="character" w:customStyle="1" w:styleId="highlight-diff">
    <w:name w:val="highlight-diff"/>
    <w:basedOn w:val="DefaultParagraphFont"/>
    <w:rsid w:val="00DC4A29"/>
  </w:style>
  <w:style w:type="character" w:styleId="FollowedHyperlink">
    <w:name w:val="FollowedHyperlink"/>
    <w:basedOn w:val="DefaultParagraphFont"/>
    <w:uiPriority w:val="99"/>
    <w:unhideWhenUsed/>
    <w:rsid w:val="00DC4A2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C4A29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C4A29"/>
    <w:pPr>
      <w:widowControl w:val="0"/>
      <w:spacing w:before="0" w:after="0"/>
      <w:jc w:val="left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C4A29"/>
    <w:rPr>
      <w:b/>
      <w:bCs/>
      <w:lang w:val="fr-FR"/>
    </w:rPr>
  </w:style>
  <w:style w:type="paragraph" w:styleId="Revision">
    <w:name w:val="Revision"/>
    <w:uiPriority w:val="99"/>
    <w:semiHidden/>
    <w:rsid w:val="00DC4A29"/>
    <w:rPr>
      <w:sz w:val="24"/>
    </w:rPr>
  </w:style>
  <w:style w:type="character" w:styleId="Emphasis">
    <w:name w:val="Emphasis"/>
    <w:basedOn w:val="DefaultParagraphFont"/>
    <w:uiPriority w:val="20"/>
    <w:qFormat/>
    <w:rsid w:val="00DC4A29"/>
    <w:rPr>
      <w:i/>
      <w:iCs/>
    </w:rPr>
  </w:style>
  <w:style w:type="paragraph" w:customStyle="1" w:styleId="Normal12a">
    <w:name w:val="Normal12a"/>
    <w:basedOn w:val="Normal"/>
    <w:rsid w:val="00DC4A29"/>
    <w:pPr>
      <w:spacing w:after="240"/>
    </w:pPr>
  </w:style>
  <w:style w:type="paragraph" w:customStyle="1" w:styleId="PageHeadingNotTOC">
    <w:name w:val="PageHeadingNotTOC"/>
    <w:basedOn w:val="Normal"/>
    <w:rsid w:val="00DC4A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C4A2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C4A2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C4A2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C4A2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C4A2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DC4A29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DC4A29"/>
    <w:rPr>
      <w:rFonts w:ascii="Arial" w:hAnsi="Arial" w:cs="Arial"/>
      <w:b w:val="0"/>
      <w:sz w:val="24"/>
      <w:lang w:val="et-EE"/>
    </w:rPr>
  </w:style>
  <w:style w:type="paragraph" w:customStyle="1" w:styleId="Text1">
    <w:name w:val="Text 1"/>
    <w:basedOn w:val="Normal"/>
    <w:rsid w:val="00DC4A2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DC4A29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DC4A29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DC4A29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DC4A29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DC4A29"/>
    <w:pPr>
      <w:spacing w:after="240"/>
      <w:jc w:val="center"/>
    </w:pPr>
  </w:style>
  <w:style w:type="paragraph" w:customStyle="1" w:styleId="EPFooterLandscape">
    <w:name w:val="EPFooterLandscape"/>
    <w:rsid w:val="00DC4A29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EPFooter2Landscape">
    <w:name w:val="EPFooter2Landscape"/>
    <w:rsid w:val="00DC4A29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otto">
    <w:name w:val="EPFooter2Motto"/>
    <w:rsid w:val="00DC4A29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C4A29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C4A29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DC4A2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DC4A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A29"/>
    <w:rPr>
      <w:sz w:val="24"/>
      <w:lang w:val="et-EE"/>
    </w:rPr>
  </w:style>
  <w:style w:type="paragraph" w:customStyle="1" w:styleId="AmDocTypeTab">
    <w:name w:val="AmDocTypeTab"/>
    <w:basedOn w:val="Normal"/>
    <w:rsid w:val="008D444B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D444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D444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D444B"/>
  </w:style>
  <w:style w:type="paragraph" w:customStyle="1" w:styleId="Title1">
    <w:name w:val="Title1"/>
    <w:basedOn w:val="Normal"/>
    <w:next w:val="Normal"/>
    <w:uiPriority w:val="10"/>
    <w:qFormat/>
    <w:rsid w:val="008D444B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D444B"/>
    <w:rPr>
      <w:rFonts w:ascii="Cambria" w:hAnsi="Cambria"/>
      <w:spacing w:val="-10"/>
      <w:kern w:val="28"/>
      <w:sz w:val="56"/>
      <w:szCs w:val="56"/>
      <w:lang w:val="et-EE"/>
    </w:rPr>
  </w:style>
  <w:style w:type="paragraph" w:customStyle="1" w:styleId="Subtitle1">
    <w:name w:val="Subtitle1"/>
    <w:basedOn w:val="Normal"/>
    <w:next w:val="Normal"/>
    <w:uiPriority w:val="11"/>
    <w:qFormat/>
    <w:rsid w:val="008D444B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D444B"/>
    <w:rPr>
      <w:color w:val="595959"/>
      <w:spacing w:val="15"/>
      <w:sz w:val="28"/>
      <w:szCs w:val="28"/>
      <w:lang w:val="et-EE"/>
    </w:rPr>
  </w:style>
  <w:style w:type="paragraph" w:customStyle="1" w:styleId="Quote1">
    <w:name w:val="Quote1"/>
    <w:basedOn w:val="Normal"/>
    <w:next w:val="Normal"/>
    <w:uiPriority w:val="29"/>
    <w:qFormat/>
    <w:rsid w:val="008D444B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D444B"/>
    <w:rPr>
      <w:i/>
      <w:iCs/>
      <w:color w:val="404040"/>
      <w:sz w:val="24"/>
      <w:lang w:val="et-EE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8D444B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8D444B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8D444B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44B"/>
    <w:rPr>
      <w:i/>
      <w:iCs/>
      <w:color w:val="365F91"/>
      <w:sz w:val="24"/>
      <w:lang w:val="et-EE"/>
    </w:rPr>
  </w:style>
  <w:style w:type="character" w:customStyle="1" w:styleId="IntenseReference1">
    <w:name w:val="Intense Reference1"/>
    <w:basedOn w:val="DefaultParagraphFont"/>
    <w:uiPriority w:val="32"/>
    <w:qFormat/>
    <w:rsid w:val="008D444B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8D444B"/>
    <w:rPr>
      <w:rFonts w:eastAsia="Calibri" w:cs="Arial"/>
      <w:sz w:val="24"/>
      <w:szCs w:val="22"/>
      <w:lang w:val="et-EE" w:eastAsia="en-US"/>
    </w:rPr>
  </w:style>
  <w:style w:type="paragraph" w:customStyle="1" w:styleId="TechnicalBlockBase">
    <w:name w:val="TechnicalBlockBase"/>
    <w:link w:val="TechnicalBlockBaseChar"/>
    <w:rsid w:val="008D444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D444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paragraph" w:customStyle="1" w:styleId="TBEntRefer">
    <w:name w:val="TBEntRefer"/>
    <w:basedOn w:val="TechnicalBlockBase"/>
    <w:link w:val="EntReferChar"/>
    <w:rsid w:val="008D444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8D444B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DistrbMarkers">
    <w:name w:val="TBDistrbMarkers"/>
    <w:basedOn w:val="TBEntRefer"/>
    <w:qFormat/>
    <w:rsid w:val="008D444B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8D444B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8D444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D444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8D444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D444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D444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D444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8D444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8D444B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SubjectTable">
    <w:name w:val="TBSubjectTable"/>
    <w:basedOn w:val="TechnicalBlockBase"/>
    <w:rsid w:val="008D444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8D444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8D444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8D444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D444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8D444B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8D444B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D444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D444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D444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D444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D444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D444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D444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D444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D444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D444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8D444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D444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D444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D444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D444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D444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D444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D444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D444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D444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D444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D444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D444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D444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D444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D444B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D444B"/>
    <w:pPr>
      <w:widowControl/>
      <w:numPr>
        <w:ilvl w:val="3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D444B"/>
    <w:pPr>
      <w:widowControl/>
      <w:numPr>
        <w:ilvl w:val="5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D444B"/>
    <w:pPr>
      <w:widowControl/>
      <w:numPr>
        <w:ilvl w:val="7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D444B"/>
    <w:pPr>
      <w:widowControl/>
      <w:numPr>
        <w:ilvl w:val="8"/>
        <w:numId w:val="3"/>
      </w:numPr>
      <w:tabs>
        <w:tab w:val="clear" w:pos="2835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8D444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D444B"/>
    <w:pPr>
      <w:widowControl/>
      <w:numPr>
        <w:ilvl w:val="2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D444B"/>
    <w:pPr>
      <w:widowControl/>
      <w:numPr>
        <w:ilvl w:val="4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D444B"/>
    <w:pPr>
      <w:widowControl/>
      <w:numPr>
        <w:ilvl w:val="6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D444B"/>
    <w:pPr>
      <w:widowControl/>
      <w:numPr>
        <w:numId w:val="4"/>
      </w:numPr>
      <w:tabs>
        <w:tab w:val="clear" w:pos="567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D444B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D444B"/>
    <w:pPr>
      <w:widowControl/>
      <w:numPr>
        <w:ilvl w:val="2"/>
        <w:numId w:val="4"/>
      </w:numPr>
      <w:tabs>
        <w:tab w:val="clear" w:pos="1701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D444B"/>
    <w:pPr>
      <w:widowControl/>
      <w:numPr>
        <w:ilvl w:val="3"/>
        <w:numId w:val="4"/>
      </w:numPr>
      <w:tabs>
        <w:tab w:val="clear" w:pos="2268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D444B"/>
    <w:pPr>
      <w:widowControl/>
      <w:numPr>
        <w:ilvl w:val="4"/>
        <w:numId w:val="4"/>
      </w:numPr>
      <w:tabs>
        <w:tab w:val="clear" w:pos="2835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D444B"/>
    <w:pPr>
      <w:widowControl/>
      <w:numPr>
        <w:numId w:val="5"/>
      </w:numPr>
      <w:tabs>
        <w:tab w:val="clear" w:pos="567"/>
        <w:tab w:val="num" w:pos="720"/>
        <w:tab w:val="num" w:pos="1701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D444B"/>
    <w:pPr>
      <w:widowControl/>
      <w:numPr>
        <w:numId w:val="6"/>
      </w:numPr>
      <w:tabs>
        <w:tab w:val="clear" w:pos="1134"/>
        <w:tab w:val="num" w:pos="720"/>
        <w:tab w:val="num" w:pos="2268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D444B"/>
    <w:pPr>
      <w:widowControl/>
      <w:numPr>
        <w:numId w:val="7"/>
      </w:numPr>
      <w:tabs>
        <w:tab w:val="clear" w:pos="1701"/>
        <w:tab w:val="num" w:pos="1080"/>
        <w:tab w:val="num" w:pos="283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D444B"/>
    <w:pPr>
      <w:widowControl/>
      <w:numPr>
        <w:numId w:val="8"/>
      </w:numPr>
      <w:tabs>
        <w:tab w:val="clear" w:pos="2268"/>
        <w:tab w:val="num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D444B"/>
    <w:pPr>
      <w:widowControl/>
      <w:numPr>
        <w:numId w:val="9"/>
      </w:numPr>
      <w:tabs>
        <w:tab w:val="clear" w:pos="2835"/>
        <w:tab w:val="num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D444B"/>
    <w:pPr>
      <w:widowControl/>
      <w:numPr>
        <w:numId w:val="10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D444B"/>
    <w:pPr>
      <w:widowControl/>
      <w:numPr>
        <w:numId w:val="11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D444B"/>
    <w:pPr>
      <w:widowControl/>
      <w:numPr>
        <w:numId w:val="12"/>
      </w:numPr>
      <w:tabs>
        <w:tab w:val="clear" w:pos="170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D444B"/>
    <w:pPr>
      <w:widowControl/>
      <w:numPr>
        <w:numId w:val="13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D444B"/>
    <w:pPr>
      <w:widowControl/>
      <w:numPr>
        <w:numId w:val="14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D444B"/>
    <w:pPr>
      <w:numPr>
        <w:numId w:val="15"/>
      </w:numPr>
      <w:tabs>
        <w:tab w:val="clear" w:pos="567"/>
        <w:tab w:val="num" w:pos="720"/>
        <w:tab w:val="num" w:pos="1701"/>
      </w:tabs>
      <w:ind w:left="720" w:hanging="360"/>
    </w:pPr>
  </w:style>
  <w:style w:type="paragraph" w:customStyle="1" w:styleId="DashEqual1">
    <w:name w:val="Dash Equal 1"/>
    <w:basedOn w:val="Dash1"/>
    <w:rsid w:val="008D444B"/>
    <w:pPr>
      <w:numPr>
        <w:numId w:val="16"/>
      </w:numPr>
      <w:tabs>
        <w:tab w:val="clear" w:pos="1134"/>
        <w:tab w:val="num" w:pos="720"/>
        <w:tab w:val="num" w:pos="2268"/>
      </w:tabs>
      <w:ind w:left="720" w:hanging="360"/>
    </w:pPr>
  </w:style>
  <w:style w:type="paragraph" w:customStyle="1" w:styleId="DashEqual2">
    <w:name w:val="Dash Equal 2"/>
    <w:basedOn w:val="Dash2"/>
    <w:rsid w:val="008D444B"/>
    <w:pPr>
      <w:numPr>
        <w:numId w:val="17"/>
      </w:numPr>
      <w:tabs>
        <w:tab w:val="clear" w:pos="1701"/>
        <w:tab w:val="num" w:pos="1080"/>
        <w:tab w:val="num" w:pos="2835"/>
      </w:tabs>
      <w:ind w:left="1080" w:hanging="360"/>
    </w:pPr>
  </w:style>
  <w:style w:type="paragraph" w:customStyle="1" w:styleId="DashEqual3">
    <w:name w:val="Dash Equal 3"/>
    <w:basedOn w:val="Dash3"/>
    <w:rsid w:val="008D444B"/>
    <w:pPr>
      <w:numPr>
        <w:numId w:val="18"/>
      </w:numPr>
      <w:tabs>
        <w:tab w:val="clear" w:pos="2268"/>
        <w:tab w:val="num" w:pos="567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8D444B"/>
    <w:pPr>
      <w:numPr>
        <w:numId w:val="19"/>
      </w:numPr>
      <w:tabs>
        <w:tab w:val="clear" w:pos="2835"/>
        <w:tab w:val="num" w:pos="567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8D444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D444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D444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D444B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8D444B"/>
    <w:pPr>
      <w:numPr>
        <w:numId w:val="21"/>
      </w:numPr>
      <w:tabs>
        <w:tab w:val="clear" w:pos="567"/>
        <w:tab w:val="num" w:pos="850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D444B"/>
    <w:pPr>
      <w:numPr>
        <w:numId w:val="22"/>
      </w:numPr>
      <w:tabs>
        <w:tab w:val="clear" w:pos="567"/>
        <w:tab w:val="num" w:pos="141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8D444B"/>
    <w:pPr>
      <w:jc w:val="center"/>
    </w:pPr>
  </w:style>
  <w:style w:type="paragraph" w:customStyle="1" w:styleId="Jardin">
    <w:name w:val="Jardin"/>
    <w:basedOn w:val="Normal"/>
    <w:rsid w:val="008D444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D444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D444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D444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D444B"/>
    <w:rPr>
      <w:b/>
    </w:rPr>
  </w:style>
  <w:style w:type="paragraph" w:customStyle="1" w:styleId="Annex">
    <w:name w:val="Annex"/>
    <w:basedOn w:val="Normal"/>
    <w:next w:val="Normal"/>
    <w:rsid w:val="008D444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D444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D444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D444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D444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D444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D444B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8D444B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8D444B"/>
    <w:rPr>
      <w:rFonts w:eastAsia="Calibri"/>
      <w:sz w:val="24"/>
      <w:szCs w:val="22"/>
      <w:lang w:val="et-EE" w:eastAsia="en-US"/>
    </w:rPr>
  </w:style>
  <w:style w:type="character" w:styleId="PlaceholderText">
    <w:name w:val="Placeholder Text"/>
    <w:basedOn w:val="DefaultParagraphFont"/>
    <w:uiPriority w:val="99"/>
    <w:semiHidden/>
    <w:rsid w:val="008D444B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D444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D444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D444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D444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D444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D444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D444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D444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D444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D444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D444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D444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D444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D444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D444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D444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D444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D444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D444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D444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D444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D444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D444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D444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D444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D444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D444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D444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D444B"/>
    <w:pPr>
      <w:widowControl/>
      <w:numPr>
        <w:numId w:val="23"/>
      </w:numPr>
      <w:tabs>
        <w:tab w:val="clear" w:pos="850"/>
        <w:tab w:val="num" w:pos="567"/>
        <w:tab w:val="num" w:pos="1984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D444B"/>
    <w:pPr>
      <w:widowControl/>
      <w:numPr>
        <w:numId w:val="24"/>
      </w:numPr>
      <w:tabs>
        <w:tab w:val="clear" w:pos="1417"/>
        <w:tab w:val="num" w:pos="567"/>
        <w:tab w:val="num" w:pos="2551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D444B"/>
    <w:pPr>
      <w:widowControl/>
      <w:numPr>
        <w:numId w:val="25"/>
      </w:numPr>
      <w:tabs>
        <w:tab w:val="clear" w:pos="1984"/>
        <w:tab w:val="num" w:pos="567"/>
        <w:tab w:val="num" w:pos="3118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D444B"/>
    <w:pPr>
      <w:widowControl/>
      <w:numPr>
        <w:numId w:val="26"/>
      </w:numPr>
      <w:tabs>
        <w:tab w:val="clear" w:pos="2551"/>
        <w:tab w:val="num" w:pos="1134"/>
        <w:tab w:val="num" w:pos="3685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D444B"/>
    <w:pPr>
      <w:widowControl/>
      <w:numPr>
        <w:numId w:val="27"/>
      </w:numPr>
      <w:tabs>
        <w:tab w:val="clear" w:pos="3118"/>
        <w:tab w:val="num" w:pos="1701"/>
        <w:tab w:val="num" w:pos="4252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D444B"/>
    <w:pPr>
      <w:widowControl/>
      <w:numPr>
        <w:numId w:val="28"/>
      </w:numPr>
      <w:tabs>
        <w:tab w:val="clear" w:pos="3685"/>
        <w:tab w:val="num" w:pos="2268"/>
        <w:tab w:val="num" w:pos="4819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D444B"/>
    <w:pPr>
      <w:widowControl/>
      <w:numPr>
        <w:numId w:val="29"/>
      </w:numPr>
      <w:tabs>
        <w:tab w:val="clear" w:pos="4252"/>
        <w:tab w:val="num" w:pos="2835"/>
        <w:tab w:val="num" w:pos="5386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D444B"/>
    <w:pPr>
      <w:widowControl/>
      <w:numPr>
        <w:numId w:val="3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D444B"/>
    <w:pPr>
      <w:widowControl/>
      <w:numPr>
        <w:numId w:val="31"/>
      </w:numPr>
      <w:tabs>
        <w:tab w:val="clear" w:pos="5386"/>
        <w:tab w:val="num" w:pos="850"/>
        <w:tab w:val="num" w:pos="1134"/>
      </w:tabs>
      <w:spacing w:before="120" w:after="120" w:line="360" w:lineRule="auto"/>
      <w:ind w:left="1134" w:hanging="85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D444B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D444B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D444B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D444B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D444B"/>
    <w:pPr>
      <w:widowControl/>
      <w:numPr>
        <w:ilvl w:val="4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D444B"/>
    <w:pPr>
      <w:widowControl/>
      <w:numPr>
        <w:ilvl w:val="5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D444B"/>
    <w:pPr>
      <w:widowControl/>
      <w:numPr>
        <w:ilvl w:val="6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D444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D444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D444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D444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D444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D444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D444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D444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D444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D444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8D444B"/>
    <w:pPr>
      <w:widowControl/>
      <w:numPr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D444B"/>
    <w:pPr>
      <w:widowControl/>
      <w:numPr>
        <w:ilvl w:val="2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D444B"/>
    <w:pPr>
      <w:widowControl/>
      <w:numPr>
        <w:ilvl w:val="4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D444B"/>
    <w:pPr>
      <w:widowControl/>
      <w:numPr>
        <w:ilvl w:val="6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D444B"/>
    <w:pPr>
      <w:widowControl/>
      <w:numPr>
        <w:ilvl w:val="1"/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D444B"/>
    <w:pPr>
      <w:widowControl/>
      <w:numPr>
        <w:ilvl w:val="3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D444B"/>
    <w:pPr>
      <w:widowControl/>
      <w:numPr>
        <w:ilvl w:val="5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D444B"/>
    <w:pPr>
      <w:widowControl/>
      <w:numPr>
        <w:ilvl w:val="7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D444B"/>
    <w:pPr>
      <w:widowControl/>
      <w:numPr>
        <w:ilvl w:val="8"/>
        <w:numId w:val="33"/>
      </w:numPr>
      <w:tabs>
        <w:tab w:val="clear" w:pos="3118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D444B"/>
    <w:pPr>
      <w:widowControl/>
      <w:numPr>
        <w:numId w:val="34"/>
      </w:numPr>
      <w:tabs>
        <w:tab w:val="clear" w:pos="850"/>
        <w:tab w:val="num" w:pos="2835"/>
        <w:tab w:val="num" w:pos="4252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D444B"/>
    <w:pPr>
      <w:widowControl/>
      <w:numPr>
        <w:numId w:val="35"/>
      </w:numPr>
      <w:tabs>
        <w:tab w:val="clear" w:pos="3685"/>
        <w:tab w:val="num" w:pos="567"/>
        <w:tab w:val="num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D444B"/>
    <w:pPr>
      <w:widowControl/>
      <w:numPr>
        <w:numId w:val="36"/>
      </w:numPr>
      <w:tabs>
        <w:tab w:val="clear" w:pos="4252"/>
        <w:tab w:val="num" w:pos="1134"/>
        <w:tab w:val="num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D444B"/>
    <w:pPr>
      <w:widowControl/>
      <w:numPr>
        <w:numId w:val="37"/>
      </w:numPr>
      <w:tabs>
        <w:tab w:val="clear" w:pos="4819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D444B"/>
    <w:pPr>
      <w:widowControl/>
      <w:numPr>
        <w:numId w:val="38"/>
      </w:numPr>
      <w:tabs>
        <w:tab w:val="clear" w:pos="5386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D444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D444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D444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D444B"/>
    <w:pPr>
      <w:widowControl/>
      <w:numPr>
        <w:numId w:val="39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D444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D444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D444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D444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D444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D444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D444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D444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D444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D444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D444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D444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D444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D444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D444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D444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D444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D444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D444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D444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D444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D444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D444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D444B"/>
    <w:pPr>
      <w:spacing w:before="240"/>
    </w:pPr>
  </w:style>
  <w:style w:type="paragraph" w:customStyle="1" w:styleId="Accordtitre">
    <w:name w:val="Accord titre"/>
    <w:basedOn w:val="Normal"/>
    <w:rsid w:val="008D444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D444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D444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D444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D444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D444B"/>
    <w:pPr>
      <w:spacing w:after="240"/>
    </w:pPr>
  </w:style>
  <w:style w:type="paragraph" w:customStyle="1" w:styleId="Annexetitre">
    <w:name w:val="Annexe titre"/>
    <w:basedOn w:val="Normal"/>
    <w:next w:val="Normal"/>
    <w:rsid w:val="008D444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D444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D444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D444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D444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D444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D444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D444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D444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D444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D444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D444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D444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D444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D444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D444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D444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D444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D444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D444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D444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D444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D444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D444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D444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D444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D444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D444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D444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8D444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D444B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8D444B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8D444B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44B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8D444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8D444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8D444B"/>
    <w:rPr>
      <w:i/>
      <w:iCs/>
      <w:color w:val="404040" w:themeColor="text1" w:themeTint="BF"/>
      <w:sz w:val="24"/>
      <w:lang w:val="et-EE"/>
    </w:rPr>
  </w:style>
  <w:style w:type="character" w:styleId="IntenseEmphasis">
    <w:name w:val="Intense Emphasis"/>
    <w:basedOn w:val="DefaultParagraphFont"/>
    <w:uiPriority w:val="21"/>
    <w:qFormat/>
    <w:rsid w:val="008D444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44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8D444B"/>
    <w:rPr>
      <w:i/>
      <w:iCs/>
      <w:color w:val="5B9BD5" w:themeColor="accent1"/>
      <w:sz w:val="24"/>
      <w:lang w:val="et-EE"/>
    </w:rPr>
  </w:style>
  <w:style w:type="character" w:styleId="IntenseReference">
    <w:name w:val="Intense Reference"/>
    <w:basedOn w:val="DefaultParagraphFont"/>
    <w:uiPriority w:val="32"/>
    <w:qFormat/>
    <w:rsid w:val="008D444B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A00D4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00D4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00D48"/>
    <w:pPr>
      <w:jc w:val="center"/>
    </w:pPr>
  </w:style>
  <w:style w:type="paragraph" w:customStyle="1" w:styleId="LineSingle">
    <w:name w:val="LineSingle"/>
    <w:basedOn w:val="Normal"/>
    <w:next w:val="Normal"/>
    <w:rsid w:val="00A00D4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00D48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2257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2026-03-12T14:14:00Z</dcterms:created>
  <dcterms:modified xsi:type="dcterms:W3CDTF">2026-03-12T14:14:00Z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