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7954" w14:paraId="0190F8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846698" w14:textId="77777777" w:rsidR="00751A4A" w:rsidRPr="00B17954" w:rsidRDefault="002B3435" w:rsidP="0010095E">
            <w:pPr>
              <w:pStyle w:val="EPName"/>
            </w:pPr>
            <w:r w:rsidRPr="00B17954">
              <w:t>Parlamento europeo</w:t>
            </w:r>
          </w:p>
          <w:p w14:paraId="59607E21" w14:textId="77777777" w:rsidR="00751A4A" w:rsidRPr="00B179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7954">
              <w:t>2024</w:t>
            </w:r>
            <w:r w:rsidR="00817416" w:rsidRPr="00B17954">
              <w:t>-202</w:t>
            </w:r>
            <w:r w:rsidRPr="00B17954">
              <w:t>9</w:t>
            </w:r>
          </w:p>
        </w:tc>
        <w:tc>
          <w:tcPr>
            <w:tcW w:w="2268" w:type="dxa"/>
            <w:shd w:val="clear" w:color="auto" w:fill="auto"/>
          </w:tcPr>
          <w:p w14:paraId="65D39892" w14:textId="77777777" w:rsidR="00751A4A" w:rsidRPr="00B17954" w:rsidRDefault="00187494" w:rsidP="0010095E">
            <w:pPr>
              <w:pStyle w:val="EPLogo"/>
            </w:pPr>
            <w:r w:rsidRPr="00B17954">
              <w:rPr>
                <w:noProof/>
                <w:lang w:eastAsia="ja-JP"/>
              </w:rPr>
              <w:drawing>
                <wp:inline distT="0" distB="0" distL="0" distR="0" wp14:anchorId="2D5277D7" wp14:editId="4FCC33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88CA7D" w14:textId="77777777" w:rsidR="00D058B8" w:rsidRPr="00B17954" w:rsidRDefault="00D058B8" w:rsidP="004C5D52">
      <w:pPr>
        <w:pStyle w:val="LineTop"/>
      </w:pPr>
    </w:p>
    <w:p w14:paraId="67CCE6FD" w14:textId="77777777" w:rsidR="00680577" w:rsidRPr="00B17954" w:rsidRDefault="002B3435" w:rsidP="00680577">
      <w:pPr>
        <w:pStyle w:val="EPBodyTA1"/>
      </w:pPr>
      <w:r w:rsidRPr="00B17954">
        <w:t>TESTI APPROVATI</w:t>
      </w:r>
    </w:p>
    <w:p w14:paraId="3AC66B7D" w14:textId="77777777" w:rsidR="00D058B8" w:rsidRPr="00B17954" w:rsidRDefault="00D058B8" w:rsidP="00D058B8">
      <w:pPr>
        <w:pStyle w:val="LineBottom"/>
      </w:pPr>
    </w:p>
    <w:p w14:paraId="1FEEC0A4" w14:textId="77777777" w:rsidR="00FE15D9" w:rsidRPr="00B17954" w:rsidRDefault="00FE15D9" w:rsidP="00FE15D9">
      <w:pPr>
        <w:pStyle w:val="ATHeading1"/>
      </w:pPr>
      <w:bookmarkStart w:id="0" w:name="TANumber"/>
      <w:r w:rsidRPr="00B17954">
        <w:t>P10_</w:t>
      </w:r>
      <w:proofErr w:type="gramStart"/>
      <w:r w:rsidRPr="00B17954">
        <w:t>TA(</w:t>
      </w:r>
      <w:proofErr w:type="gramEnd"/>
      <w:r w:rsidRPr="00B17954">
        <w:t>2025)0324</w:t>
      </w:r>
      <w:bookmarkEnd w:id="0"/>
    </w:p>
    <w:p w14:paraId="25611F68" w14:textId="77777777" w:rsidR="00FE15D9" w:rsidRPr="00B17954" w:rsidRDefault="00FE15D9" w:rsidP="00FE15D9">
      <w:pPr>
        <w:pStyle w:val="ATHeading2"/>
      </w:pPr>
      <w:bookmarkStart w:id="1" w:name="title"/>
      <w:r w:rsidRPr="00B17954">
        <w:t>Obblighi relativi alla rendicontazione societaria di sostenibilità e dovere di diligenza delle imprese ai fini della sostenibilità</w:t>
      </w:r>
      <w:bookmarkEnd w:id="1"/>
    </w:p>
    <w:p w14:paraId="19FEABBB" w14:textId="77777777" w:rsidR="00FE15D9" w:rsidRPr="00B17954" w:rsidRDefault="00FE15D9" w:rsidP="00FE15D9">
      <w:pPr>
        <w:rPr>
          <w:i/>
          <w:vanish/>
        </w:rPr>
      </w:pPr>
      <w:r w:rsidRPr="00B17954">
        <w:rPr>
          <w:i/>
        </w:rPr>
        <w:fldChar w:fldCharType="begin"/>
      </w:r>
      <w:r w:rsidRPr="00B17954">
        <w:rPr>
          <w:i/>
        </w:rPr>
        <w:instrText xml:space="preserve"> TC"(</w:instrText>
      </w:r>
      <w:bookmarkStart w:id="2" w:name="DocNumber"/>
      <w:r w:rsidRPr="00B17954">
        <w:rPr>
          <w:i/>
        </w:rPr>
        <w:instrText>A10-0197/2025</w:instrText>
      </w:r>
      <w:bookmarkEnd w:id="2"/>
      <w:r w:rsidRPr="00B17954">
        <w:rPr>
          <w:i/>
        </w:rPr>
        <w:instrText xml:space="preserve"> - Relatore: Jörgen Warborn)"\l3 \n&gt; \* MERGEFORMAT </w:instrText>
      </w:r>
      <w:r w:rsidRPr="00B17954">
        <w:rPr>
          <w:i/>
        </w:rPr>
        <w:fldChar w:fldCharType="end"/>
      </w:r>
    </w:p>
    <w:p w14:paraId="5A0EDB55" w14:textId="77777777" w:rsidR="00FE15D9" w:rsidRPr="00B17954" w:rsidRDefault="00FE15D9" w:rsidP="00FE15D9">
      <w:pPr>
        <w:rPr>
          <w:vanish/>
        </w:rPr>
      </w:pPr>
      <w:bookmarkStart w:id="3" w:name="Commission"/>
      <w:r w:rsidRPr="00B17954">
        <w:rPr>
          <w:vanish/>
        </w:rPr>
        <w:t>Commissione giuridica</w:t>
      </w:r>
      <w:bookmarkEnd w:id="3"/>
    </w:p>
    <w:p w14:paraId="070120C7" w14:textId="77777777" w:rsidR="00FE15D9" w:rsidRPr="00B17954" w:rsidRDefault="00FE15D9" w:rsidP="00FE15D9">
      <w:pPr>
        <w:rPr>
          <w:vanish/>
        </w:rPr>
      </w:pPr>
      <w:bookmarkStart w:id="4" w:name="PE"/>
      <w:r w:rsidRPr="00B17954">
        <w:rPr>
          <w:vanish/>
        </w:rPr>
        <w:t>PE774.282</w:t>
      </w:r>
      <w:bookmarkEnd w:id="4"/>
    </w:p>
    <w:p w14:paraId="51531E0D" w14:textId="77777777" w:rsidR="00FE15D9" w:rsidRPr="00B17954" w:rsidRDefault="00FE15D9" w:rsidP="00FE15D9">
      <w:pPr>
        <w:pStyle w:val="ATHeading3"/>
      </w:pPr>
      <w:bookmarkStart w:id="5" w:name="Sujet"/>
      <w:r w:rsidRPr="00B17954">
        <w:t>Risoluzione legislativa del Parlamento europeo del 16 dicembre 2025 sulla proposta di direttiva del Parlamento europeo e del Consiglio che modifica le direttive 2006/43/CE, 2013/34/UE, (UE) 2022/2464 e (UE) 2024/1760 per quanto riguarda taluni obblighi relativi alla rendicontazione societaria di sostenibilità e al dovere di diligenza delle imprese ai fini della sostenibilità</w:t>
      </w:r>
      <w:bookmarkEnd w:id="5"/>
      <w:r w:rsidRPr="00B17954">
        <w:t xml:space="preserve"> </w:t>
      </w:r>
      <w:bookmarkStart w:id="6" w:name="References"/>
      <w:r w:rsidRPr="00B17954">
        <w:t>(</w:t>
      </w:r>
      <w:proofErr w:type="gramStart"/>
      <w:r w:rsidRPr="00B17954">
        <w:t>COM(</w:t>
      </w:r>
      <w:proofErr w:type="gramEnd"/>
      <w:r w:rsidRPr="00B17954">
        <w:t>2025)0081 – C10-0037/2025 – 2025/0045(COD))</w:t>
      </w:r>
      <w:bookmarkEnd w:id="6"/>
    </w:p>
    <w:p w14:paraId="7CB4B58E" w14:textId="77777777" w:rsidR="00FE15D9" w:rsidRPr="00B17954" w:rsidRDefault="00FE15D9" w:rsidP="00FE15D9">
      <w:pPr>
        <w:pStyle w:val="NormalBold"/>
      </w:pPr>
      <w:r w:rsidRPr="00B17954">
        <w:t>(Procedura legislativa ordinaria: prima lettura)</w:t>
      </w:r>
    </w:p>
    <w:p w14:paraId="3BA60AD0" w14:textId="77777777" w:rsidR="00FE15D9" w:rsidRPr="00B17954" w:rsidRDefault="00FE15D9" w:rsidP="00FE15D9">
      <w:pPr>
        <w:pStyle w:val="EPComma"/>
      </w:pPr>
      <w:r w:rsidRPr="00B17954">
        <w:rPr>
          <w:i/>
        </w:rPr>
        <w:t>Il Parlamento europeo</w:t>
      </w:r>
      <w:r w:rsidRPr="00B17954">
        <w:t>,</w:t>
      </w:r>
    </w:p>
    <w:p w14:paraId="6BF99BB6" w14:textId="77777777" w:rsidR="00FE15D9" w:rsidRPr="00B17954" w:rsidRDefault="00FE15D9" w:rsidP="00FE15D9">
      <w:pPr>
        <w:pStyle w:val="NormalHanging12a"/>
      </w:pPr>
      <w:r w:rsidRPr="00B17954">
        <w:t>–</w:t>
      </w:r>
      <w:r w:rsidRPr="00B17954">
        <w:tab/>
        <w:t>vista la proposta della Commissione al Parlamento europeo e al Consiglio (</w:t>
      </w:r>
      <w:proofErr w:type="gramStart"/>
      <w:r w:rsidRPr="00B17954">
        <w:t>COM(</w:t>
      </w:r>
      <w:proofErr w:type="gramEnd"/>
      <w:r w:rsidRPr="00B17954">
        <w:t>2025)0081),</w:t>
      </w:r>
    </w:p>
    <w:p w14:paraId="61D78043" w14:textId="77777777" w:rsidR="00FE15D9" w:rsidRPr="00B17954" w:rsidRDefault="00FE15D9" w:rsidP="00FE15D9">
      <w:pPr>
        <w:pStyle w:val="NormalHanging12a"/>
      </w:pPr>
      <w:r w:rsidRPr="00B17954">
        <w:t>–</w:t>
      </w:r>
      <w:r w:rsidRPr="00B17954">
        <w:tab/>
        <w:t>visti l'articolo 294, paragrafo 2, e gli articoli 50 e 114 del trattato sul funzionamento dell'Unione europea, a norma dei quali la proposta gli è stata presentata dalla Commissione (C10</w:t>
      </w:r>
      <w:r w:rsidRPr="00B17954">
        <w:noBreakHyphen/>
        <w:t>0037/2025),</w:t>
      </w:r>
    </w:p>
    <w:p w14:paraId="236080F4" w14:textId="77777777" w:rsidR="00FE15D9" w:rsidRPr="00B17954" w:rsidRDefault="00FE15D9" w:rsidP="00FE15D9">
      <w:pPr>
        <w:pStyle w:val="NormalHanging12a"/>
      </w:pPr>
      <w:r w:rsidRPr="00B17954">
        <w:t>–</w:t>
      </w:r>
      <w:r w:rsidRPr="00B17954">
        <w:tab/>
        <w:t>visto l'articolo 294, paragrafo 3, del trattato sul funzionamento dell'Unione europea,</w:t>
      </w:r>
    </w:p>
    <w:p w14:paraId="483FD8B9" w14:textId="77777777" w:rsidR="00FE15D9" w:rsidRPr="00B17954" w:rsidRDefault="00FE15D9" w:rsidP="00FE15D9">
      <w:pPr>
        <w:pStyle w:val="NormalHanging12a"/>
      </w:pPr>
      <w:r w:rsidRPr="00B17954">
        <w:t>–</w:t>
      </w:r>
      <w:r w:rsidRPr="00B17954">
        <w:tab/>
        <w:t>visto il parere del Comitato economico e sociale europeo del 20 agosto 2025</w:t>
      </w:r>
      <w:r w:rsidRPr="00B17954">
        <w:rPr>
          <w:rStyle w:val="FootnoteReference"/>
        </w:rPr>
        <w:footnoteReference w:id="1"/>
      </w:r>
      <w:r w:rsidRPr="00B17954">
        <w:t>,</w:t>
      </w:r>
    </w:p>
    <w:p w14:paraId="546A0101" w14:textId="77777777" w:rsidR="00FE15D9" w:rsidRPr="00B17954" w:rsidRDefault="00FE15D9" w:rsidP="00FE15D9">
      <w:pPr>
        <w:pStyle w:val="NormalHanging12a"/>
      </w:pPr>
      <w:r w:rsidRPr="00B17954">
        <w:t>–</w:t>
      </w:r>
      <w:r w:rsidRPr="00B17954">
        <w:tab/>
      </w:r>
      <w:r w:rsidRPr="00B17954">
        <w:rPr>
          <w:szCs w:val="24"/>
        </w:rPr>
        <w:t xml:space="preserve">visti </w:t>
      </w:r>
      <w:r w:rsidRPr="00B17954">
        <w:t>l'accordo provvisorio approvato dalla commissione competente</w:t>
      </w:r>
      <w:r w:rsidRPr="00B17954">
        <w:rPr>
          <w:b/>
        </w:rPr>
        <w:t xml:space="preserve"> </w:t>
      </w:r>
      <w:r w:rsidRPr="00B17954">
        <w:t>a norma dell'articolo 75, paragrafo 4, del regolamento e l'impegno assunto dal rappresentante del Consiglio, con lettera dell’11 dicembre 2025, di approvare la posizione del Parlamento europeo, in conformità dell'articolo 294, paragrafo 4, del trattato sul funzionamento dell'Unione europea,</w:t>
      </w:r>
    </w:p>
    <w:p w14:paraId="01B56E5D" w14:textId="77777777" w:rsidR="00FE15D9" w:rsidRPr="00B17954" w:rsidRDefault="00FE15D9" w:rsidP="00FE15D9">
      <w:pPr>
        <w:pStyle w:val="NormalHanging12a"/>
      </w:pPr>
      <w:r w:rsidRPr="00B17954">
        <w:t>–</w:t>
      </w:r>
      <w:r w:rsidRPr="00B17954">
        <w:tab/>
        <w:t>visto l'articolo 60 del suo regolamento,</w:t>
      </w:r>
    </w:p>
    <w:p w14:paraId="2857A7F3" w14:textId="77777777" w:rsidR="00FE15D9" w:rsidRPr="00B17954" w:rsidRDefault="00FE15D9" w:rsidP="00FE15D9">
      <w:pPr>
        <w:pStyle w:val="NormalHanging12a"/>
      </w:pPr>
      <w:r w:rsidRPr="00B17954">
        <w:t>–</w:t>
      </w:r>
      <w:r w:rsidRPr="00B17954">
        <w:tab/>
        <w:t>visti i pareri della commissione per gli affari esteri, della commissione per il commercio internazionale, della commissione per i problemi economici e monetari, della commissione per l'occupazione e gli affari sociali e della commissione per l'ambiente, il clima e la sicurezza alimentare,</w:t>
      </w:r>
    </w:p>
    <w:p w14:paraId="45D2D7AB" w14:textId="77777777" w:rsidR="00FE15D9" w:rsidRPr="00B17954" w:rsidRDefault="00FE15D9" w:rsidP="00FE15D9">
      <w:pPr>
        <w:pStyle w:val="NormalHanging12a"/>
      </w:pPr>
      <w:r w:rsidRPr="00B17954">
        <w:t>–</w:t>
      </w:r>
      <w:r w:rsidRPr="00B17954">
        <w:tab/>
        <w:t>vista la relazione della commissione giuridica (A10-0197/2025),</w:t>
      </w:r>
    </w:p>
    <w:p w14:paraId="44A8830D" w14:textId="77777777" w:rsidR="00FE15D9" w:rsidRPr="00B17954" w:rsidRDefault="00FE15D9" w:rsidP="00FE15D9">
      <w:pPr>
        <w:pStyle w:val="NormalHanging12a"/>
      </w:pPr>
      <w:r w:rsidRPr="00B17954">
        <w:lastRenderedPageBreak/>
        <w:t>1.</w:t>
      </w:r>
      <w:r w:rsidRPr="00B17954">
        <w:tab/>
        <w:t xml:space="preserve">adotta la posizione in prima lettura figurante </w:t>
      </w:r>
      <w:proofErr w:type="gramStart"/>
      <w:r w:rsidRPr="00B17954">
        <w:t>in appresso</w:t>
      </w:r>
      <w:proofErr w:type="gramEnd"/>
      <w:r w:rsidRPr="00B17954">
        <w:t>;</w:t>
      </w:r>
    </w:p>
    <w:p w14:paraId="0FB871F4" w14:textId="77777777" w:rsidR="00FE15D9" w:rsidRPr="00B17954" w:rsidRDefault="00FE15D9" w:rsidP="00FE15D9">
      <w:pPr>
        <w:pStyle w:val="NormalHanging12a"/>
      </w:pPr>
      <w:r w:rsidRPr="00B17954">
        <w:t>2.</w:t>
      </w:r>
      <w:r w:rsidRPr="00B17954">
        <w:tab/>
        <w:t>chiede alla Commissione di presentargli nuovamente la proposta qualora la sostituisca, la modifichi sostanzialmente o intenda modificarla sostanzialmente;</w:t>
      </w:r>
    </w:p>
    <w:p w14:paraId="31F84428" w14:textId="77777777" w:rsidR="00FE15D9" w:rsidRPr="00B17954" w:rsidRDefault="00FE15D9" w:rsidP="00FE15D9">
      <w:pPr>
        <w:pStyle w:val="NormalHanging12a"/>
        <w:sectPr w:rsidR="00FE15D9" w:rsidRPr="00B17954" w:rsidSect="00FE15D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17954">
        <w:t>3.</w:t>
      </w:r>
      <w:r w:rsidRPr="00B17954">
        <w:tab/>
        <w:t>incarica la sua Presidente di trasmettere la posizione del Parlamento al Consiglio e alla Commissione nonché ai parlamenti nazionali.</w:t>
      </w:r>
    </w:p>
    <w:p w14:paraId="770B8DD4" w14:textId="77777777" w:rsidR="004B203E" w:rsidRPr="00B17954" w:rsidRDefault="004B203E" w:rsidP="004B203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B17954">
        <w:rPr>
          <w:b/>
          <w:bCs/>
          <w:color w:val="000000"/>
        </w:rPr>
        <w:lastRenderedPageBreak/>
        <w:t>P10_TC1-</w:t>
      </w:r>
      <w:proofErr w:type="gramStart"/>
      <w:r w:rsidRPr="00B17954">
        <w:rPr>
          <w:b/>
          <w:bCs/>
          <w:color w:val="000000"/>
        </w:rPr>
        <w:t>COD(</w:t>
      </w:r>
      <w:proofErr w:type="gramEnd"/>
      <w:r w:rsidRPr="00B17954">
        <w:rPr>
          <w:b/>
          <w:bCs/>
          <w:color w:val="000000"/>
        </w:rPr>
        <w:t>2025)0045</w:t>
      </w:r>
    </w:p>
    <w:p w14:paraId="3098553D" w14:textId="4A40AD16" w:rsidR="004B203E" w:rsidRPr="00B17954" w:rsidRDefault="004B203E" w:rsidP="004B203E">
      <w:pPr>
        <w:spacing w:before="360" w:after="360"/>
        <w:rPr>
          <w:b/>
        </w:rPr>
      </w:pPr>
      <w:r w:rsidRPr="00B17954">
        <w:rPr>
          <w:b/>
        </w:rPr>
        <w:t>Posizione del Parlamento europeo definita in prima lettura il 16 dicembre 2025 in vista dell'adozione della direttiva (UE) 202</w:t>
      </w:r>
      <w:r w:rsidR="00675C0B" w:rsidRPr="00B17954">
        <w:rPr>
          <w:b/>
        </w:rPr>
        <w:t>6</w:t>
      </w:r>
      <w:r w:rsidRPr="00B17954">
        <w:rPr>
          <w:b/>
        </w:rPr>
        <w:t xml:space="preserve">/... del Parlamento europeo e del Consiglio </w:t>
      </w:r>
      <w:r w:rsidR="00FE15D9" w:rsidRPr="00B17954">
        <w:rPr>
          <w:b/>
        </w:rPr>
        <w:t>che modifica le direttive 2006/43/CE, 2013/34/UE, (UE) 2022/2464 e (UE) 2024/1760 per quanto riguarda taluni obblighi relativi alla rendicontazione societaria di sostenibilità e taluni obblighi relativi al dovere di diligenza delle imprese ai fini della sostenibilità</w:t>
      </w:r>
    </w:p>
    <w:p w14:paraId="737AF5F4" w14:textId="3171884C" w:rsidR="004B203E" w:rsidRPr="00B17954" w:rsidRDefault="00675C0B" w:rsidP="00675C0B">
      <w:pPr>
        <w:rPr>
          <w:i/>
        </w:rPr>
      </w:pPr>
      <w:r w:rsidRPr="00B17954">
        <w:rPr>
          <w:i/>
        </w:rPr>
        <w:t>(Dato l'accordo tra il Parlamento e il Consiglio, la posizione del Parlamento corrisponde all'atto legislativo finale, la direttiva (UE) 202</w:t>
      </w:r>
      <w:r w:rsidRPr="00B17954">
        <w:rPr>
          <w:i/>
        </w:rPr>
        <w:t>6</w:t>
      </w:r>
      <w:r w:rsidRPr="00B17954">
        <w:rPr>
          <w:i/>
        </w:rPr>
        <w:t>/</w:t>
      </w:r>
      <w:r w:rsidRPr="00B17954">
        <w:rPr>
          <w:i/>
        </w:rPr>
        <w:t>470</w:t>
      </w:r>
      <w:r w:rsidRPr="00B17954">
        <w:rPr>
          <w:i/>
        </w:rPr>
        <w:t>.)</w:t>
      </w:r>
    </w:p>
    <w:sectPr w:rsidR="004B203E" w:rsidRPr="00B17954" w:rsidSect="005862C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CBE52" w14:textId="77777777" w:rsidR="002B3435" w:rsidRPr="005862C7" w:rsidRDefault="002B3435">
      <w:r w:rsidRPr="005862C7">
        <w:separator/>
      </w:r>
    </w:p>
  </w:endnote>
  <w:endnote w:type="continuationSeparator" w:id="0">
    <w:p w14:paraId="045120CA" w14:textId="77777777" w:rsidR="002B3435" w:rsidRPr="005862C7" w:rsidRDefault="002B3435">
      <w:r w:rsidRPr="005862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1E359" w14:textId="77777777" w:rsidR="00FE15D9" w:rsidRPr="005862C7" w:rsidRDefault="00FE15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A4A3" w14:textId="77777777" w:rsidR="00FE15D9" w:rsidRPr="005862C7" w:rsidRDefault="00FE15D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F1272" w14:textId="77777777" w:rsidR="00FE15D9" w:rsidRPr="005862C7" w:rsidRDefault="00FE15D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A53A2" w14:textId="77777777" w:rsidR="00064002" w:rsidRPr="005862C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9D02A" w14:textId="77777777" w:rsidR="00064002" w:rsidRPr="005862C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04F94" w14:textId="77777777" w:rsidR="00064002" w:rsidRPr="005862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0FE34" w14:textId="77777777" w:rsidR="002B3435" w:rsidRPr="005862C7" w:rsidRDefault="002B3435">
      <w:r w:rsidRPr="005862C7">
        <w:separator/>
      </w:r>
    </w:p>
  </w:footnote>
  <w:footnote w:type="continuationSeparator" w:id="0">
    <w:p w14:paraId="52E5B65F" w14:textId="77777777" w:rsidR="002B3435" w:rsidRPr="005862C7" w:rsidRDefault="002B3435">
      <w:r w:rsidRPr="005862C7">
        <w:continuationSeparator/>
      </w:r>
    </w:p>
  </w:footnote>
  <w:footnote w:id="1">
    <w:p w14:paraId="1C5B73F2" w14:textId="3B5EAC16" w:rsidR="00FE15D9" w:rsidRPr="00FE15D9" w:rsidRDefault="00FE15D9" w:rsidP="00FE15D9">
      <w:pPr>
        <w:pStyle w:val="FootnoteText"/>
        <w:ind w:left="567" w:hanging="567"/>
        <w:rPr>
          <w:sz w:val="24"/>
          <w:szCs w:val="24"/>
          <w:lang w:val="fi-FI"/>
        </w:rPr>
      </w:pPr>
      <w:r w:rsidRPr="00FE15D9">
        <w:rPr>
          <w:rStyle w:val="FootnoteReference"/>
          <w:sz w:val="24"/>
          <w:szCs w:val="24"/>
          <w:lang w:val="it-IT"/>
        </w:rPr>
        <w:footnoteRef/>
      </w:r>
      <w:r w:rsidRPr="00FE15D9">
        <w:rPr>
          <w:sz w:val="24"/>
          <w:szCs w:val="24"/>
          <w:lang w:val="fi-FI"/>
        </w:rPr>
        <w:t xml:space="preserve"> </w:t>
      </w:r>
      <w:r w:rsidRPr="00FE15D9">
        <w:rPr>
          <w:sz w:val="24"/>
          <w:szCs w:val="24"/>
          <w:lang w:val="fi-FI"/>
        </w:rPr>
        <w:tab/>
        <w:t xml:space="preserve">GU C, C/2025/4212, 20.8.2025 ELI: </w:t>
      </w:r>
      <w:hyperlink r:id="rId1" w:tooltip="Gives access to this document through its ELI URI." w:history="1">
        <w:r w:rsidRPr="00FE15D9">
          <w:rPr>
            <w:rStyle w:val="Hyperlink"/>
            <w:sz w:val="24"/>
            <w:szCs w:val="24"/>
            <w:lang w:val="fi-FI"/>
          </w:rPr>
          <w:t>http://data.europa.eu/eli/C/2025/4212/oj</w:t>
        </w:r>
      </w:hyperlink>
      <w:r w:rsidRPr="00FE15D9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BD457" w14:textId="77777777" w:rsidR="00FE15D9" w:rsidRPr="005862C7" w:rsidRDefault="00FE15D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00F6D" w14:textId="77777777" w:rsidR="00FE15D9" w:rsidRPr="005862C7" w:rsidRDefault="00FE15D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DA43C" w14:textId="77777777" w:rsidR="00FE15D9" w:rsidRPr="005862C7" w:rsidRDefault="00FE15D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6D235" w14:textId="77777777" w:rsidR="00064002" w:rsidRPr="005862C7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39041" w14:textId="77777777" w:rsidR="00064002" w:rsidRPr="005862C7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3118E" w14:textId="77777777" w:rsidR="00064002" w:rsidRPr="005862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D096C25C"/>
    <w:name w:val="Points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F9E5611"/>
    <w:multiLevelType w:val="multilevel"/>
    <w:tmpl w:val="FFFFFFFF"/>
    <w:lvl w:ilvl="0">
      <w:start w:val="1"/>
      <w:numFmt w:val="upperLetter"/>
      <w:pStyle w:val="Heading1new"/>
      <w:lvlText w:val="%1."/>
      <w:lvlJc w:val="left"/>
      <w:pPr>
        <w:ind w:left="710"/>
      </w:pPr>
      <w:rPr>
        <w:rFonts w:cs="Times New Roman" w:hint="default"/>
      </w:rPr>
    </w:lvl>
    <w:lvl w:ilvl="1">
      <w:start w:val="1"/>
      <w:numFmt w:val="decimal"/>
      <w:pStyle w:val="Heading2new"/>
      <w:lvlText w:val="%1.%2."/>
      <w:lvlJc w:val="left"/>
      <w:pPr>
        <w:ind w:left="1844"/>
      </w:pPr>
      <w:rPr>
        <w:rFonts w:cs="Times New Roman" w:hint="default"/>
        <w:b w:val="0"/>
      </w:rPr>
    </w:lvl>
    <w:lvl w:ilvl="2">
      <w:start w:val="1"/>
      <w:numFmt w:val="decimal"/>
      <w:pStyle w:val="Heading3new"/>
      <w:lvlText w:val="%1.%2.%3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pStyle w:val="Heading4new"/>
      <w:lvlText w:val="%1.%2.%3.%4."/>
      <w:lvlJc w:val="left"/>
      <w:pPr>
        <w:ind w:left="425"/>
      </w:pPr>
      <w:rPr>
        <w:rFonts w:cs="Times New Roman" w:hint="default"/>
      </w:rPr>
    </w:lvl>
    <w:lvl w:ilvl="4">
      <w:start w:val="1"/>
      <w:numFmt w:val="decimal"/>
      <w:pStyle w:val="Heading5new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33B73AEE"/>
    <w:multiLevelType w:val="hybridMultilevel"/>
    <w:tmpl w:val="C56EC748"/>
    <w:lvl w:ilvl="0" w:tplc="AFC47E8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3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1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686299506">
    <w:abstractNumId w:val="2"/>
  </w:num>
  <w:num w:numId="2" w16cid:durableId="638345716">
    <w:abstractNumId w:val="15"/>
  </w:num>
  <w:num w:numId="3" w16cid:durableId="1307466308">
    <w:abstractNumId w:val="0"/>
  </w:num>
  <w:num w:numId="4" w16cid:durableId="567542593">
    <w:abstractNumId w:val="11"/>
  </w:num>
  <w:num w:numId="5" w16cid:durableId="468937464">
    <w:abstractNumId w:val="19"/>
  </w:num>
  <w:num w:numId="6" w16cid:durableId="419840491">
    <w:abstractNumId w:val="10"/>
  </w:num>
  <w:num w:numId="7" w16cid:durableId="1468821640">
    <w:abstractNumId w:val="8"/>
  </w:num>
  <w:num w:numId="8" w16cid:durableId="1006633821">
    <w:abstractNumId w:val="29"/>
  </w:num>
  <w:num w:numId="9" w16cid:durableId="128519428">
    <w:abstractNumId w:val="35"/>
  </w:num>
  <w:num w:numId="10" w16cid:durableId="397554397">
    <w:abstractNumId w:val="30"/>
  </w:num>
  <w:num w:numId="11" w16cid:durableId="1046486109">
    <w:abstractNumId w:val="1"/>
  </w:num>
  <w:num w:numId="12" w16cid:durableId="794643710">
    <w:abstractNumId w:val="31"/>
  </w:num>
  <w:num w:numId="13" w16cid:durableId="2146312979">
    <w:abstractNumId w:val="27"/>
  </w:num>
  <w:num w:numId="14" w16cid:durableId="2045208649">
    <w:abstractNumId w:val="3"/>
  </w:num>
  <w:num w:numId="15" w16cid:durableId="288975442">
    <w:abstractNumId w:val="34"/>
  </w:num>
  <w:num w:numId="16" w16cid:durableId="1456873556">
    <w:abstractNumId w:val="39"/>
  </w:num>
  <w:num w:numId="17" w16cid:durableId="2111467445">
    <w:abstractNumId w:val="24"/>
  </w:num>
  <w:num w:numId="18" w16cid:durableId="1665891583">
    <w:abstractNumId w:val="33"/>
  </w:num>
  <w:num w:numId="19" w16cid:durableId="638341248">
    <w:abstractNumId w:val="28"/>
  </w:num>
  <w:num w:numId="20" w16cid:durableId="1515917783">
    <w:abstractNumId w:val="25"/>
  </w:num>
  <w:num w:numId="21" w16cid:durableId="674577510">
    <w:abstractNumId w:val="12"/>
  </w:num>
  <w:num w:numId="22" w16cid:durableId="1179271976">
    <w:abstractNumId w:val="7"/>
  </w:num>
  <w:num w:numId="23" w16cid:durableId="1230767757">
    <w:abstractNumId w:val="5"/>
  </w:num>
  <w:num w:numId="24" w16cid:durableId="2047022713">
    <w:abstractNumId w:val="20"/>
  </w:num>
  <w:num w:numId="25" w16cid:durableId="2004619729">
    <w:abstractNumId w:val="23"/>
  </w:num>
  <w:num w:numId="26" w16cid:durableId="1464152385">
    <w:abstractNumId w:val="22"/>
  </w:num>
  <w:num w:numId="27" w16cid:durableId="405152505">
    <w:abstractNumId w:val="40"/>
  </w:num>
  <w:num w:numId="28" w16cid:durableId="299963359">
    <w:abstractNumId w:val="16"/>
  </w:num>
  <w:num w:numId="29" w16cid:durableId="232548307">
    <w:abstractNumId w:val="17"/>
  </w:num>
  <w:num w:numId="30" w16cid:durableId="1631327944">
    <w:abstractNumId w:val="18"/>
  </w:num>
  <w:num w:numId="31" w16cid:durableId="1948272343">
    <w:abstractNumId w:val="21"/>
  </w:num>
  <w:num w:numId="32" w16cid:durableId="1325275986">
    <w:abstractNumId w:val="9"/>
  </w:num>
  <w:num w:numId="33" w16cid:durableId="72089652">
    <w:abstractNumId w:val="41"/>
  </w:num>
  <w:num w:numId="34" w16cid:durableId="440535980">
    <w:abstractNumId w:val="13"/>
  </w:num>
  <w:num w:numId="35" w16cid:durableId="1528057680">
    <w:abstractNumId w:val="26"/>
  </w:num>
  <w:num w:numId="36" w16cid:durableId="1138108179">
    <w:abstractNumId w:val="37"/>
  </w:num>
  <w:num w:numId="37" w16cid:durableId="229847272">
    <w:abstractNumId w:val="36"/>
  </w:num>
  <w:num w:numId="38" w16cid:durableId="694695438">
    <w:abstractNumId w:val="38"/>
  </w:num>
  <w:num w:numId="39" w16cid:durableId="957762499">
    <w:abstractNumId w:val="4"/>
  </w:num>
  <w:num w:numId="40" w16cid:durableId="11225763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66156653">
    <w:abstractNumId w:val="6"/>
  </w:num>
  <w:num w:numId="42" w16cid:durableId="91709568">
    <w:abstractNumId w:val="1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IT"/>
    <w:docVar w:name="dvnumam" w:val="287"/>
    <w:docVar w:name="dvpe" w:val="774.282"/>
    <w:docVar w:name="dvrapporteur" w:val="Relatore: "/>
    <w:docVar w:name="dvstar" w:val="***I"/>
    <w:docVar w:name="dvtitre" w:val="Risoluzione legislativa del Parlamento europeo del 16 dicembre 2025 sulla proposta di direttiva del Parlamento europeo e del Consiglio che modifica le direttive 2006/43/CE, 2013/34/UE, (UE) 2022/2464 e (UE) 2024/1760 per quanto riguarda taluni obblighi relativi alla rendicontazione societaria di sostenibilità e al dovere di diligenza delle imprese ai fini della sostenibilità(COM(2025)0081 – C10-0037/2025 – 2025/0045(COD))"/>
  </w:docVars>
  <w:rsids>
    <w:rsidRoot w:val="002B3435"/>
    <w:rsid w:val="00002272"/>
    <w:rsid w:val="00064002"/>
    <w:rsid w:val="000677B9"/>
    <w:rsid w:val="000831BA"/>
    <w:rsid w:val="00097737"/>
    <w:rsid w:val="000A42CC"/>
    <w:rsid w:val="000E7DD9"/>
    <w:rsid w:val="0010095E"/>
    <w:rsid w:val="00125B37"/>
    <w:rsid w:val="00187494"/>
    <w:rsid w:val="001F32AE"/>
    <w:rsid w:val="002767FF"/>
    <w:rsid w:val="002B18FE"/>
    <w:rsid w:val="002B3435"/>
    <w:rsid w:val="002B5493"/>
    <w:rsid w:val="00343214"/>
    <w:rsid w:val="00361C00"/>
    <w:rsid w:val="00395FA1"/>
    <w:rsid w:val="003C3138"/>
    <w:rsid w:val="003E15D4"/>
    <w:rsid w:val="00411CCE"/>
    <w:rsid w:val="0041666E"/>
    <w:rsid w:val="00421060"/>
    <w:rsid w:val="00437DF2"/>
    <w:rsid w:val="00443513"/>
    <w:rsid w:val="00471C19"/>
    <w:rsid w:val="004867E3"/>
    <w:rsid w:val="00494A28"/>
    <w:rsid w:val="004B203E"/>
    <w:rsid w:val="004C0004"/>
    <w:rsid w:val="004C5D52"/>
    <w:rsid w:val="0050519A"/>
    <w:rsid w:val="005072A1"/>
    <w:rsid w:val="00514517"/>
    <w:rsid w:val="00545827"/>
    <w:rsid w:val="0055304A"/>
    <w:rsid w:val="00560270"/>
    <w:rsid w:val="005663FC"/>
    <w:rsid w:val="005862C7"/>
    <w:rsid w:val="005C2568"/>
    <w:rsid w:val="005F1B17"/>
    <w:rsid w:val="006037C0"/>
    <w:rsid w:val="006631B6"/>
    <w:rsid w:val="00675C0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543"/>
    <w:rsid w:val="007D1690"/>
    <w:rsid w:val="007E22AD"/>
    <w:rsid w:val="00817416"/>
    <w:rsid w:val="00842779"/>
    <w:rsid w:val="00865F67"/>
    <w:rsid w:val="00881A7B"/>
    <w:rsid w:val="008840E5"/>
    <w:rsid w:val="00887B3E"/>
    <w:rsid w:val="008B2BFD"/>
    <w:rsid w:val="008C0F88"/>
    <w:rsid w:val="008C2AC6"/>
    <w:rsid w:val="00930C23"/>
    <w:rsid w:val="0093193B"/>
    <w:rsid w:val="009509D8"/>
    <w:rsid w:val="00950B64"/>
    <w:rsid w:val="00954DE2"/>
    <w:rsid w:val="00981893"/>
    <w:rsid w:val="00A1687D"/>
    <w:rsid w:val="00A31500"/>
    <w:rsid w:val="00A43E52"/>
    <w:rsid w:val="00A4678D"/>
    <w:rsid w:val="00A778C7"/>
    <w:rsid w:val="00AB441E"/>
    <w:rsid w:val="00AB6293"/>
    <w:rsid w:val="00AE0928"/>
    <w:rsid w:val="00AF3B82"/>
    <w:rsid w:val="00B12E95"/>
    <w:rsid w:val="00B17954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56F2"/>
    <w:rsid w:val="00D834A0"/>
    <w:rsid w:val="00D872DF"/>
    <w:rsid w:val="00D91E21"/>
    <w:rsid w:val="00DA7FCD"/>
    <w:rsid w:val="00DC53A8"/>
    <w:rsid w:val="00E0744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DFD"/>
    <w:rsid w:val="00F74202"/>
    <w:rsid w:val="00F87713"/>
    <w:rsid w:val="00FB4360"/>
    <w:rsid w:val="00FD0C70"/>
    <w:rsid w:val="00FE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1D9E0"/>
  <w15:chartTrackingRefBased/>
  <w15:docId w15:val="{E38C41C7-78D2-4F3E-9280-79528B41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9773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73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73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73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73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737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737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737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737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09773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9773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9773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97737"/>
    <w:pPr>
      <w:spacing w:after="120"/>
    </w:pPr>
  </w:style>
  <w:style w:type="paragraph" w:customStyle="1" w:styleId="PageHeading">
    <w:name w:val="PageHeading"/>
    <w:basedOn w:val="Normal"/>
    <w:rsid w:val="0009773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97737"/>
    <w:rPr>
      <w:b/>
    </w:rPr>
  </w:style>
  <w:style w:type="paragraph" w:customStyle="1" w:styleId="NormalBold12a">
    <w:name w:val="NormalBold12a"/>
    <w:basedOn w:val="Normal"/>
    <w:rsid w:val="00097737"/>
    <w:pPr>
      <w:spacing w:after="240"/>
    </w:pPr>
    <w:rPr>
      <w:b/>
    </w:rPr>
  </w:style>
  <w:style w:type="paragraph" w:customStyle="1" w:styleId="AmJustText">
    <w:name w:val="AmJustText"/>
    <w:basedOn w:val="Normal"/>
    <w:rsid w:val="00097737"/>
    <w:pPr>
      <w:spacing w:after="240"/>
    </w:pPr>
    <w:rPr>
      <w:i/>
    </w:rPr>
  </w:style>
  <w:style w:type="paragraph" w:customStyle="1" w:styleId="NormalHanging12a">
    <w:name w:val="NormalHanging12a"/>
    <w:basedOn w:val="Normal"/>
    <w:uiPriority w:val="99"/>
    <w:rsid w:val="0009773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97737"/>
    <w:pPr>
      <w:spacing w:after="480"/>
      <w:ind w:left="1417"/>
    </w:pPr>
  </w:style>
  <w:style w:type="paragraph" w:customStyle="1" w:styleId="CoverNormal">
    <w:name w:val="CoverNormal"/>
    <w:basedOn w:val="Normal"/>
    <w:rsid w:val="00097737"/>
    <w:pPr>
      <w:ind w:left="1418"/>
    </w:pPr>
  </w:style>
  <w:style w:type="paragraph" w:customStyle="1" w:styleId="AmCrossRef">
    <w:name w:val="AmCrossRef"/>
    <w:basedOn w:val="Normal"/>
    <w:rsid w:val="0009773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9773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09773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9773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9773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9773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977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737"/>
    <w:rPr>
      <w:sz w:val="24"/>
      <w:lang w:val="it-IT"/>
    </w:rPr>
  </w:style>
  <w:style w:type="paragraph" w:customStyle="1" w:styleId="AmOrLang">
    <w:name w:val="AmOrLang"/>
    <w:basedOn w:val="Normal"/>
    <w:rsid w:val="0009773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9773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9773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97737"/>
    <w:pPr>
      <w:spacing w:before="240"/>
    </w:pPr>
    <w:rPr>
      <w:b/>
    </w:rPr>
  </w:style>
  <w:style w:type="paragraph" w:customStyle="1" w:styleId="EPBody">
    <w:name w:val="EPBody"/>
    <w:basedOn w:val="Normal"/>
    <w:rsid w:val="0009773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9773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97737"/>
    <w:pPr>
      <w:spacing w:before="480" w:after="240"/>
    </w:pPr>
  </w:style>
  <w:style w:type="paragraph" w:customStyle="1" w:styleId="Lgendesigne">
    <w:name w:val="Légende signe"/>
    <w:basedOn w:val="Normal"/>
    <w:rsid w:val="0009773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9773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97737"/>
    <w:rPr>
      <w:sz w:val="18"/>
    </w:rPr>
  </w:style>
  <w:style w:type="character" w:styleId="Hyperlink">
    <w:name w:val="Hyperlink"/>
    <w:basedOn w:val="DefaultParagraphFont"/>
    <w:unhideWhenUsed/>
    <w:rsid w:val="00097737"/>
    <w:rPr>
      <w:color w:val="0000FF"/>
      <w:u w:val="single"/>
    </w:rPr>
  </w:style>
  <w:style w:type="character" w:customStyle="1" w:styleId="NormalBoldChar">
    <w:name w:val="NormalBold Char"/>
    <w:basedOn w:val="DefaultParagraphFont"/>
    <w:link w:val="NormalBold"/>
    <w:rsid w:val="00097737"/>
    <w:rPr>
      <w:b/>
      <w:sz w:val="24"/>
      <w:lang w:val="it-IT"/>
    </w:rPr>
  </w:style>
  <w:style w:type="paragraph" w:customStyle="1" w:styleId="EntPE">
    <w:name w:val="EntPE"/>
    <w:basedOn w:val="Normal12"/>
    <w:rsid w:val="00097737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097737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097737"/>
    <w:rPr>
      <w:noProof/>
      <w:sz w:val="24"/>
      <w:lang w:val="it-IT"/>
    </w:rPr>
  </w:style>
  <w:style w:type="paragraph" w:customStyle="1" w:styleId="CommitteeAM">
    <w:name w:val="CommitteeAM"/>
    <w:basedOn w:val="Normal"/>
    <w:rsid w:val="0009773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9773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9773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9773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97737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09773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97737"/>
    <w:rPr>
      <w:sz w:val="24"/>
      <w:lang w:val="it-IT"/>
    </w:rPr>
  </w:style>
  <w:style w:type="paragraph" w:customStyle="1" w:styleId="Normal12Italic">
    <w:name w:val="Normal12Italic"/>
    <w:basedOn w:val="Normal12"/>
    <w:rsid w:val="00097737"/>
    <w:rPr>
      <w:i/>
    </w:rPr>
  </w:style>
  <w:style w:type="paragraph" w:customStyle="1" w:styleId="JustificationTitle">
    <w:name w:val="JustificationTitle"/>
    <w:basedOn w:val="Normal"/>
    <w:next w:val="Normal12"/>
    <w:rsid w:val="0009773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9773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9773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9773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97737"/>
    <w:pPr>
      <w:spacing w:before="240"/>
      <w:jc w:val="center"/>
    </w:pPr>
    <w:rPr>
      <w:i/>
    </w:rPr>
  </w:style>
  <w:style w:type="character" w:customStyle="1" w:styleId="Footer2Middle">
    <w:name w:val="Footer2Middle"/>
    <w:rsid w:val="00097737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97737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97737"/>
    <w:rPr>
      <w:lang w:val="it-IT"/>
    </w:rPr>
  </w:style>
  <w:style w:type="character" w:styleId="CommentReference">
    <w:name w:val="annotation reference"/>
    <w:uiPriority w:val="99"/>
    <w:unhideWhenUsed/>
    <w:qFormat/>
    <w:rsid w:val="00097737"/>
    <w:rPr>
      <w:rFonts w:ascii="Times New Roman" w:hAnsi="Times New Roman" w:cs="Times New Roman" w:hint="default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0977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97737"/>
    <w:rPr>
      <w:rFonts w:ascii="Segoe UI" w:hAnsi="Segoe UI" w:cs="Segoe UI"/>
      <w:sz w:val="18"/>
      <w:szCs w:val="18"/>
      <w:lang w:val="it-IT"/>
    </w:rPr>
  </w:style>
  <w:style w:type="character" w:customStyle="1" w:styleId="highlight-diff">
    <w:name w:val="highlight-diff"/>
    <w:basedOn w:val="DefaultParagraphFont"/>
    <w:rsid w:val="00097737"/>
  </w:style>
  <w:style w:type="character" w:styleId="FollowedHyperlink">
    <w:name w:val="FollowedHyperlink"/>
    <w:basedOn w:val="DefaultParagraphFont"/>
    <w:unhideWhenUsed/>
    <w:rsid w:val="00097737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097737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97737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97737"/>
    <w:rPr>
      <w:b/>
      <w:bCs/>
      <w:lang w:val="it-IT"/>
    </w:rPr>
  </w:style>
  <w:style w:type="paragraph" w:styleId="Revision">
    <w:name w:val="Revision"/>
    <w:uiPriority w:val="99"/>
    <w:semiHidden/>
    <w:rsid w:val="00097737"/>
    <w:rPr>
      <w:sz w:val="24"/>
      <w:lang w:val="it-IT"/>
    </w:rPr>
  </w:style>
  <w:style w:type="character" w:styleId="Emphasis">
    <w:name w:val="Emphasis"/>
    <w:basedOn w:val="DefaultParagraphFont"/>
    <w:uiPriority w:val="20"/>
    <w:qFormat/>
    <w:rsid w:val="00097737"/>
    <w:rPr>
      <w:i/>
      <w:iCs/>
    </w:rPr>
  </w:style>
  <w:style w:type="paragraph" w:customStyle="1" w:styleId="Normal24a">
    <w:name w:val="Normal24a"/>
    <w:basedOn w:val="Normal"/>
    <w:link w:val="Normal24aChar"/>
    <w:rsid w:val="00097737"/>
    <w:pPr>
      <w:spacing w:after="480"/>
    </w:pPr>
    <w:rPr>
      <w:rFonts w:ascii="Arial" w:hAnsi="Arial" w:cs="Arial"/>
    </w:rPr>
  </w:style>
  <w:style w:type="paragraph" w:customStyle="1" w:styleId="NormalBoldCenter">
    <w:name w:val="NormalBoldCenter"/>
    <w:basedOn w:val="Normal"/>
    <w:rsid w:val="00097737"/>
    <w:pPr>
      <w:jc w:val="center"/>
    </w:pPr>
    <w:rPr>
      <w:b/>
    </w:rPr>
  </w:style>
  <w:style w:type="paragraph" w:customStyle="1" w:styleId="Footprint12b">
    <w:name w:val="Footprint12b"/>
    <w:basedOn w:val="Normal"/>
    <w:rsid w:val="0009773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97737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97737"/>
    <w:rPr>
      <w:color w:val="605E5C"/>
      <w:shd w:val="clear" w:color="auto" w:fill="E1DFDD"/>
    </w:rPr>
  </w:style>
  <w:style w:type="character" w:customStyle="1" w:styleId="CoverReferenceChar">
    <w:name w:val="CoverReference Char"/>
    <w:basedOn w:val="DefaultParagraphFont"/>
    <w:link w:val="CoverReference"/>
    <w:rsid w:val="00097737"/>
    <w:rPr>
      <w:rFonts w:ascii="Arial" w:hAnsi="Arial" w:cs="Arial"/>
      <w:b/>
      <w:sz w:val="24"/>
      <w:lang w:val="it-IT"/>
    </w:rPr>
  </w:style>
  <w:style w:type="paragraph" w:customStyle="1" w:styleId="Normal12a">
    <w:name w:val="Normal12a"/>
    <w:basedOn w:val="Normal"/>
    <w:rsid w:val="00097737"/>
    <w:pPr>
      <w:spacing w:after="240"/>
    </w:pPr>
  </w:style>
  <w:style w:type="paragraph" w:customStyle="1" w:styleId="PageHeadingNotTOC">
    <w:name w:val="PageHeadingNotTOC"/>
    <w:basedOn w:val="Normal"/>
    <w:rsid w:val="0009773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9773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09773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9773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9773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97737"/>
    <w:pPr>
      <w:spacing w:before="120" w:after="120"/>
    </w:pPr>
    <w:rPr>
      <w:snapToGrid w:val="0"/>
      <w:sz w:val="16"/>
      <w:lang w:eastAsia="en-US"/>
    </w:rPr>
  </w:style>
  <w:style w:type="character" w:customStyle="1" w:styleId="Normal24aChar">
    <w:name w:val="Normal24a Char"/>
    <w:basedOn w:val="CoverReferenceChar"/>
    <w:link w:val="Normal24a"/>
    <w:rsid w:val="00097737"/>
    <w:rPr>
      <w:rFonts w:ascii="Arial" w:hAnsi="Arial" w:cs="Arial"/>
      <w:b w:val="0"/>
      <w:sz w:val="24"/>
      <w:lang w:val="it-IT"/>
    </w:rPr>
  </w:style>
  <w:style w:type="paragraph" w:customStyle="1" w:styleId="Text1">
    <w:name w:val="Text 1"/>
    <w:basedOn w:val="Normal"/>
    <w:rsid w:val="0009773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097737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097737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097737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097737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097737"/>
    <w:pPr>
      <w:spacing w:after="240"/>
      <w:jc w:val="center"/>
    </w:pPr>
  </w:style>
  <w:style w:type="paragraph" w:customStyle="1" w:styleId="EPFooterLandscape">
    <w:name w:val="EPFooterLandscape"/>
    <w:rsid w:val="00097737"/>
    <w:pPr>
      <w:widowControl w:val="0"/>
      <w:tabs>
        <w:tab w:val="center" w:pos="6800"/>
        <w:tab w:val="right" w:pos="15020"/>
      </w:tabs>
    </w:pPr>
    <w:rPr>
      <w:sz w:val="22"/>
      <w:lang w:val="it-IT" w:eastAsia="en-US"/>
    </w:rPr>
  </w:style>
  <w:style w:type="paragraph" w:customStyle="1" w:styleId="EPFooter2Landscape">
    <w:name w:val="EPFooter2Landscape"/>
    <w:rsid w:val="00097737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it-IT" w:eastAsia="en-US"/>
    </w:rPr>
  </w:style>
  <w:style w:type="character" w:customStyle="1" w:styleId="EPFooter2Motto">
    <w:name w:val="EPFooter2Motto"/>
    <w:rsid w:val="00097737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097737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097737"/>
    <w:rPr>
      <w:color w:val="FFFFFF"/>
      <w:sz w:val="22"/>
      <w:shd w:val="clear" w:color="auto" w:fill="000000"/>
    </w:rPr>
  </w:style>
  <w:style w:type="paragraph" w:styleId="Footer">
    <w:name w:val="footer"/>
    <w:basedOn w:val="Normal"/>
    <w:link w:val="FooterChar"/>
    <w:uiPriority w:val="99"/>
    <w:rsid w:val="000977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737"/>
    <w:rPr>
      <w:sz w:val="24"/>
      <w:lang w:val="it-IT"/>
    </w:rPr>
  </w:style>
  <w:style w:type="paragraph" w:customStyle="1" w:styleId="AmDocTypeTab">
    <w:name w:val="AmDocTypeTab"/>
    <w:basedOn w:val="Normal"/>
    <w:rsid w:val="004B203E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4B203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B203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B203E"/>
  </w:style>
  <w:style w:type="paragraph" w:customStyle="1" w:styleId="Title1">
    <w:name w:val="Title1"/>
    <w:basedOn w:val="Normal"/>
    <w:next w:val="Normal"/>
    <w:uiPriority w:val="10"/>
    <w:qFormat/>
    <w:rsid w:val="004B203E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B203E"/>
    <w:rPr>
      <w:rFonts w:ascii="Cambria" w:hAnsi="Cambria"/>
      <w:spacing w:val="-10"/>
      <w:kern w:val="28"/>
      <w:sz w:val="56"/>
      <w:szCs w:val="56"/>
      <w:lang w:val="it-IT"/>
    </w:rPr>
  </w:style>
  <w:style w:type="paragraph" w:customStyle="1" w:styleId="Subtitle1">
    <w:name w:val="Subtitle1"/>
    <w:basedOn w:val="Normal"/>
    <w:next w:val="Normal"/>
    <w:uiPriority w:val="11"/>
    <w:qFormat/>
    <w:rsid w:val="004B203E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B203E"/>
    <w:rPr>
      <w:color w:val="595959"/>
      <w:spacing w:val="15"/>
      <w:sz w:val="28"/>
      <w:szCs w:val="28"/>
      <w:lang w:val="it-IT"/>
    </w:rPr>
  </w:style>
  <w:style w:type="paragraph" w:customStyle="1" w:styleId="Quote1">
    <w:name w:val="Quote1"/>
    <w:basedOn w:val="Normal"/>
    <w:next w:val="Normal"/>
    <w:uiPriority w:val="29"/>
    <w:qFormat/>
    <w:rsid w:val="004B203E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B203E"/>
    <w:rPr>
      <w:i/>
      <w:iCs/>
      <w:color w:val="404040"/>
      <w:sz w:val="24"/>
      <w:lang w:val="it-IT"/>
    </w:rPr>
  </w:style>
  <w:style w:type="paragraph" w:styleId="ListParagraph">
    <w:name w:val="List Paragraph"/>
    <w:aliases w:val="2,1st level - Bullet List Paragraph,List Paragraph1,Lettre d'introduction,Paragrafo elenco,Medium Grid 1 - Accent 21,Task Body,Viñetas (Inicio Parrafo),3 Txt tabla,Zerrenda-paragrafoa,Lista multicolor - Énfasis 11,Listaszerű bekezdés1"/>
    <w:basedOn w:val="Normal"/>
    <w:link w:val="ListParagraphChar"/>
    <w:uiPriority w:val="34"/>
    <w:qFormat/>
    <w:rsid w:val="004B203E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4B203E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4B203E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03E"/>
    <w:rPr>
      <w:i/>
      <w:iCs/>
      <w:color w:val="365F91"/>
      <w:sz w:val="24"/>
      <w:lang w:val="it-IT"/>
    </w:rPr>
  </w:style>
  <w:style w:type="character" w:customStyle="1" w:styleId="IntenseReference1">
    <w:name w:val="Intense Reference1"/>
    <w:basedOn w:val="DefaultParagraphFont"/>
    <w:uiPriority w:val="32"/>
    <w:qFormat/>
    <w:rsid w:val="004B203E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4B203E"/>
    <w:rPr>
      <w:rFonts w:eastAsia="Calibri" w:cs="Arial"/>
      <w:sz w:val="24"/>
      <w:szCs w:val="22"/>
      <w:lang w:val="it-IT" w:eastAsia="en-US"/>
    </w:rPr>
  </w:style>
  <w:style w:type="paragraph" w:customStyle="1" w:styleId="TechnicalBlockBase">
    <w:name w:val="TechnicalBlockBase"/>
    <w:link w:val="TechnicalBlockBaseChar"/>
    <w:rsid w:val="004B203E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it-IT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4B203E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it-IT" w:eastAsia="fr-BE"/>
    </w:rPr>
  </w:style>
  <w:style w:type="paragraph" w:customStyle="1" w:styleId="TBEntRefer">
    <w:name w:val="TBEntRefer"/>
    <w:basedOn w:val="TechnicalBlockBase"/>
    <w:link w:val="EntReferChar"/>
    <w:rsid w:val="004B203E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4B203E"/>
    <w:rPr>
      <w:rFonts w:ascii="Arial" w:hAnsi="Arial" w:cs="Arial"/>
      <w:b/>
      <w:sz w:val="23"/>
      <w:u w:color="606060"/>
      <w:lang w:val="it-IT" w:eastAsia="fr-BE"/>
    </w:rPr>
  </w:style>
  <w:style w:type="paragraph" w:customStyle="1" w:styleId="TBDistrbMarkers">
    <w:name w:val="TBDistrbMarkers"/>
    <w:basedOn w:val="TBEntRefer"/>
    <w:qFormat/>
    <w:rsid w:val="004B203E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4B203E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4B203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B203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4B203E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B203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B203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B203E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4B203E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4B203E"/>
    <w:rPr>
      <w:rFonts w:ascii="Arial" w:hAnsi="Arial" w:cs="Arial"/>
      <w:b/>
      <w:sz w:val="23"/>
      <w:u w:color="606060"/>
      <w:lang w:val="it-IT" w:eastAsia="fr-BE"/>
    </w:rPr>
  </w:style>
  <w:style w:type="paragraph" w:customStyle="1" w:styleId="TBSubjectTable">
    <w:name w:val="TBSubjectTable"/>
    <w:basedOn w:val="TechnicalBlockBase"/>
    <w:rsid w:val="004B203E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4B203E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4B203E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4B203E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4B203E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link w:val="HeaderCouncilLargeChar"/>
    <w:unhideWhenUsed/>
    <w:rsid w:val="004B203E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4B203E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B203E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B203E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4B203E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B203E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B203E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4B203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4B203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4B203E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B203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B203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4B203E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B203E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B203E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4B203E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4B203E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4B203E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B203E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B203E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B203E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B203E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B203E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B203E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B203E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B203E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B203E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4B203E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4B203E"/>
    <w:pPr>
      <w:widowControl/>
      <w:numPr>
        <w:ilvl w:val="3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4B203E"/>
    <w:pPr>
      <w:widowControl/>
      <w:numPr>
        <w:ilvl w:val="5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4B203E"/>
    <w:pPr>
      <w:widowControl/>
      <w:numPr>
        <w:ilvl w:val="7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4B203E"/>
    <w:pPr>
      <w:widowControl/>
      <w:numPr>
        <w:ilvl w:val="8"/>
        <w:numId w:val="3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4B203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4B203E"/>
    <w:pPr>
      <w:widowControl/>
      <w:numPr>
        <w:ilvl w:val="2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4B203E"/>
    <w:pPr>
      <w:widowControl/>
      <w:numPr>
        <w:ilvl w:val="4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4B203E"/>
    <w:pPr>
      <w:widowControl/>
      <w:numPr>
        <w:ilvl w:val="6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B203E"/>
    <w:pPr>
      <w:widowControl/>
      <w:numPr>
        <w:numId w:val="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B203E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B203E"/>
    <w:pPr>
      <w:widowControl/>
      <w:numPr>
        <w:ilvl w:val="2"/>
        <w:numId w:val="4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B203E"/>
    <w:pPr>
      <w:widowControl/>
      <w:numPr>
        <w:ilvl w:val="3"/>
        <w:numId w:val="4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B203E"/>
    <w:pPr>
      <w:widowControl/>
      <w:numPr>
        <w:ilvl w:val="4"/>
        <w:numId w:val="4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B203E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B203E"/>
    <w:pPr>
      <w:widowControl/>
      <w:numPr>
        <w:numId w:val="6"/>
      </w:numPr>
      <w:tabs>
        <w:tab w:val="clear" w:pos="113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B203E"/>
    <w:pPr>
      <w:widowControl/>
      <w:numPr>
        <w:numId w:val="7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B203E"/>
    <w:pPr>
      <w:widowControl/>
      <w:numPr>
        <w:numId w:val="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B203E"/>
    <w:pPr>
      <w:widowControl/>
      <w:numPr>
        <w:numId w:val="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4B203E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B203E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B203E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B203E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B203E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B203E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4B203E"/>
    <w:pPr>
      <w:numPr>
        <w:numId w:val="16"/>
      </w:numPr>
      <w:tabs>
        <w:tab w:val="clear" w:pos="1134"/>
        <w:tab w:val="num" w:pos="720"/>
      </w:tabs>
      <w:ind w:left="720" w:hanging="360"/>
    </w:pPr>
  </w:style>
  <w:style w:type="paragraph" w:customStyle="1" w:styleId="DashEqual2">
    <w:name w:val="Dash Equal 2"/>
    <w:basedOn w:val="Dash2"/>
    <w:rsid w:val="004B203E"/>
    <w:pPr>
      <w:numPr>
        <w:numId w:val="17"/>
      </w:numPr>
      <w:tabs>
        <w:tab w:val="clear" w:pos="1701"/>
        <w:tab w:val="num" w:pos="1080"/>
      </w:tabs>
      <w:ind w:left="1080" w:hanging="360"/>
    </w:pPr>
  </w:style>
  <w:style w:type="paragraph" w:customStyle="1" w:styleId="DashEqual3">
    <w:name w:val="Dash Equal 3"/>
    <w:basedOn w:val="Dash3"/>
    <w:rsid w:val="004B203E"/>
    <w:pPr>
      <w:numPr>
        <w:numId w:val="18"/>
      </w:numPr>
      <w:tabs>
        <w:tab w:val="clear" w:pos="2268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4B203E"/>
    <w:pPr>
      <w:numPr>
        <w:numId w:val="19"/>
      </w:numPr>
      <w:tabs>
        <w:tab w:val="clear" w:pos="2835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4B203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B203E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4B203E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B203E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4B203E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4B203E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4B203E"/>
    <w:pPr>
      <w:jc w:val="center"/>
    </w:pPr>
  </w:style>
  <w:style w:type="paragraph" w:customStyle="1" w:styleId="Jardin">
    <w:name w:val="Jardin"/>
    <w:basedOn w:val="Normal"/>
    <w:rsid w:val="004B203E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B203E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B203E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B203E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B203E"/>
    <w:rPr>
      <w:b/>
    </w:rPr>
  </w:style>
  <w:style w:type="paragraph" w:customStyle="1" w:styleId="Annex">
    <w:name w:val="Annex"/>
    <w:basedOn w:val="Normal"/>
    <w:next w:val="Normal"/>
    <w:rsid w:val="004B203E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B203E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B203E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4B203E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B203E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B203E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B203E"/>
    <w:rPr>
      <w:rFonts w:eastAsia="Calibri"/>
      <w:lang w:val="it-IT" w:eastAsia="en-US"/>
    </w:rPr>
  </w:style>
  <w:style w:type="character" w:styleId="EndnoteReference">
    <w:name w:val="endnote reference"/>
    <w:basedOn w:val="DefaultParagraphFont"/>
    <w:uiPriority w:val="99"/>
    <w:unhideWhenUsed/>
    <w:rsid w:val="004B203E"/>
    <w:rPr>
      <w:vertAlign w:val="superscript"/>
    </w:rPr>
  </w:style>
  <w:style w:type="character" w:customStyle="1" w:styleId="ListParagraphChar">
    <w:name w:val="List Paragraph Char"/>
    <w:aliases w:val="2 Char,1st level - Bullet List Paragraph Char,List Paragraph1 Char,Lettre d'introduction Char,Paragrafo elenco Char,Medium Grid 1 - Accent 21 Char,Task Body Char,Viñetas (Inicio Parrafo) Char,3 Txt tabla Char,Zerrenda-paragrafoa Char"/>
    <w:link w:val="ListParagraph"/>
    <w:uiPriority w:val="34"/>
    <w:qFormat/>
    <w:locked/>
    <w:rsid w:val="004B203E"/>
    <w:rPr>
      <w:rFonts w:eastAsia="Calibri"/>
      <w:sz w:val="24"/>
      <w:szCs w:val="22"/>
      <w:lang w:val="it-IT" w:eastAsia="en-US"/>
    </w:rPr>
  </w:style>
  <w:style w:type="character" w:styleId="PlaceholderText">
    <w:name w:val="Placeholder Text"/>
    <w:basedOn w:val="DefaultParagraphFont"/>
    <w:uiPriority w:val="99"/>
    <w:semiHidden/>
    <w:rsid w:val="004B203E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4B203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B203E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B203E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B203E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B203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B203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B203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B203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B203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B203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B203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B203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B20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B203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B203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B203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B203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4B203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qFormat/>
    <w:rsid w:val="004B203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B203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B203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B203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B203E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B203E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B203E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B203E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B203E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B203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B203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B203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B203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B203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B203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B203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B203E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B203E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B203E"/>
    <w:pPr>
      <w:widowControl/>
      <w:numPr>
        <w:numId w:val="25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B203E"/>
    <w:pPr>
      <w:widowControl/>
      <w:numPr>
        <w:numId w:val="26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B203E"/>
    <w:pPr>
      <w:widowControl/>
      <w:numPr>
        <w:numId w:val="27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B203E"/>
    <w:pPr>
      <w:widowControl/>
      <w:numPr>
        <w:numId w:val="28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B203E"/>
    <w:pPr>
      <w:widowControl/>
      <w:numPr>
        <w:numId w:val="29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B203E"/>
    <w:pPr>
      <w:widowControl/>
      <w:numPr>
        <w:numId w:val="30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B203E"/>
    <w:pPr>
      <w:widowControl/>
      <w:numPr>
        <w:numId w:val="31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4B203E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B203E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B203E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B203E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B203E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B203E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B203E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B20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B20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B20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B20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B203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B203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B203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B203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B203E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B20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B20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B20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B20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B20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B20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B203E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B203E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B203E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B203E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4B203E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B203E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4B203E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B203E"/>
    <w:pPr>
      <w:widowControl/>
      <w:numPr>
        <w:ilvl w:val="6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B203E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4B203E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B203E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B203E"/>
    <w:pPr>
      <w:widowControl/>
      <w:numPr>
        <w:ilvl w:val="7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B203E"/>
    <w:pPr>
      <w:widowControl/>
      <w:numPr>
        <w:ilvl w:val="8"/>
        <w:numId w:val="33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B203E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B203E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B203E"/>
    <w:pPr>
      <w:widowControl/>
      <w:numPr>
        <w:numId w:val="36"/>
      </w:numPr>
      <w:tabs>
        <w:tab w:val="clear" w:pos="4252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B203E"/>
    <w:pPr>
      <w:widowControl/>
      <w:numPr>
        <w:numId w:val="37"/>
      </w:numPr>
      <w:tabs>
        <w:tab w:val="clear" w:pos="4819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B203E"/>
    <w:pPr>
      <w:widowControl/>
      <w:numPr>
        <w:numId w:val="38"/>
      </w:numPr>
      <w:tabs>
        <w:tab w:val="clear" w:pos="5386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B203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B203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B203E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B203E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B203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link w:val="FaitChar"/>
    <w:rsid w:val="004B203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B203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B203E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B203E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B20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B203E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B203E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B203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B203E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B203E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B203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B203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B203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B203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B203E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B203E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B203E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B203E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B203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B203E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B203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B203E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B203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B203E"/>
    <w:pPr>
      <w:spacing w:before="240"/>
    </w:pPr>
  </w:style>
  <w:style w:type="paragraph" w:customStyle="1" w:styleId="Accordtitre">
    <w:name w:val="Accord titre"/>
    <w:basedOn w:val="Normal"/>
    <w:rsid w:val="004B203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B203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B203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B203E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B203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B203E"/>
    <w:pPr>
      <w:spacing w:after="240"/>
    </w:pPr>
  </w:style>
  <w:style w:type="paragraph" w:customStyle="1" w:styleId="Annexetitre">
    <w:name w:val="Annexe titre"/>
    <w:basedOn w:val="Normal"/>
    <w:next w:val="Normal"/>
    <w:rsid w:val="004B203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B203E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4B203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B203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B203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B203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B203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B203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B203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B203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B203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B203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B203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B203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B203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B203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B203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B203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B203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B203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B203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B203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B203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B203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B203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B203E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B203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B20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4B203E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it-IT" w:eastAsia="en-US"/>
    </w:rPr>
  </w:style>
  <w:style w:type="paragraph" w:customStyle="1" w:styleId="CommentFwdQuotedText">
    <w:name w:val="CommentFwdQuotedText"/>
    <w:basedOn w:val="Normal"/>
    <w:rsid w:val="004B203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B203E"/>
    <w:pPr>
      <w:pBdr>
        <w:top w:val="none" w:sz="0" w:space="0" w:color="auto"/>
        <w:left w:val="single" w:sz="4" w:space="20" w:color="auto"/>
      </w:pBdr>
    </w:pPr>
  </w:style>
  <w:style w:type="paragraph" w:styleId="Title">
    <w:name w:val="Title"/>
    <w:basedOn w:val="Normal"/>
    <w:next w:val="Normal"/>
    <w:link w:val="TitleChar"/>
    <w:uiPriority w:val="10"/>
    <w:qFormat/>
    <w:rsid w:val="004B203E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4B203E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03E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rsid w:val="004B203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it-IT"/>
    </w:rPr>
  </w:style>
  <w:style w:type="paragraph" w:styleId="Quote">
    <w:name w:val="Quote"/>
    <w:basedOn w:val="Normal"/>
    <w:next w:val="Normal"/>
    <w:link w:val="QuoteChar"/>
    <w:uiPriority w:val="29"/>
    <w:qFormat/>
    <w:rsid w:val="004B203E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4B203E"/>
    <w:rPr>
      <w:i/>
      <w:iCs/>
      <w:color w:val="404040" w:themeColor="text1" w:themeTint="BF"/>
      <w:sz w:val="24"/>
      <w:lang w:val="it-IT"/>
    </w:rPr>
  </w:style>
  <w:style w:type="character" w:styleId="IntenseEmphasis">
    <w:name w:val="Intense Emphasis"/>
    <w:basedOn w:val="DefaultParagraphFont"/>
    <w:uiPriority w:val="21"/>
    <w:qFormat/>
    <w:rsid w:val="004B203E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03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1">
    <w:name w:val="Intense Quote Char1"/>
    <w:basedOn w:val="DefaultParagraphFont"/>
    <w:uiPriority w:val="30"/>
    <w:rsid w:val="004B203E"/>
    <w:rPr>
      <w:i/>
      <w:iCs/>
      <w:color w:val="5B9BD5" w:themeColor="accent1"/>
      <w:sz w:val="24"/>
      <w:lang w:val="it-IT"/>
    </w:rPr>
  </w:style>
  <w:style w:type="character" w:styleId="IntenseReference">
    <w:name w:val="Intense Reference"/>
    <w:basedOn w:val="DefaultParagraphFont"/>
    <w:uiPriority w:val="32"/>
    <w:qFormat/>
    <w:rsid w:val="004B203E"/>
    <w:rPr>
      <w:b/>
      <w:bCs/>
      <w:smallCaps/>
      <w:color w:val="5B9BD5" w:themeColor="accent1"/>
      <w:spacing w:val="5"/>
    </w:rPr>
  </w:style>
  <w:style w:type="paragraph" w:customStyle="1" w:styleId="HeadingDocType24a">
    <w:name w:val="HeadingDocType24a"/>
    <w:basedOn w:val="Normal"/>
    <w:rsid w:val="00FE15D9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FE15D9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FE15D9"/>
    <w:pPr>
      <w:jc w:val="center"/>
    </w:pPr>
  </w:style>
  <w:style w:type="paragraph" w:customStyle="1" w:styleId="LineSingle">
    <w:name w:val="LineSingle"/>
    <w:basedOn w:val="Normal"/>
    <w:next w:val="Normal"/>
    <w:rsid w:val="00FE15D9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FE15D9"/>
    <w:pPr>
      <w:spacing w:before="240" w:after="240"/>
    </w:pPr>
  </w:style>
  <w:style w:type="paragraph" w:customStyle="1" w:styleId="Langue">
    <w:name w:val="Langue"/>
    <w:basedOn w:val="Normal"/>
    <w:next w:val="Rfrenceinterne"/>
    <w:rsid w:val="00FE15D9"/>
    <w:pPr>
      <w:widowControl/>
      <w:spacing w:after="600"/>
      <w:jc w:val="center"/>
    </w:pPr>
    <w:rPr>
      <w:b/>
      <w:caps/>
      <w:szCs w:val="24"/>
      <w:lang w:eastAsia="de-DE"/>
    </w:rPr>
  </w:style>
  <w:style w:type="paragraph" w:customStyle="1" w:styleId="Rfrenceinterne">
    <w:name w:val="Référence interne"/>
    <w:basedOn w:val="Normal"/>
    <w:next w:val="Normal"/>
    <w:rsid w:val="00FE15D9"/>
    <w:pPr>
      <w:widowControl/>
      <w:spacing w:after="600"/>
      <w:jc w:val="center"/>
    </w:pPr>
    <w:rPr>
      <w:b/>
      <w:szCs w:val="24"/>
      <w:lang w:eastAsia="de-DE"/>
    </w:rPr>
  </w:style>
  <w:style w:type="character" w:customStyle="1" w:styleId="TechnicalBlockChar">
    <w:name w:val="Technical Block Char"/>
    <w:basedOn w:val="DefaultParagraphFont"/>
    <w:rsid w:val="00FE15D9"/>
    <w:rPr>
      <w:rFonts w:ascii="Times New Roman" w:hAnsi="Times New Roman" w:cs="Times New Roman"/>
      <w:sz w:val="24"/>
      <w:lang w:val="it-IT"/>
    </w:rPr>
  </w:style>
  <w:style w:type="character" w:customStyle="1" w:styleId="HeaderCouncilLargeChar">
    <w:name w:val="Header Council Large Char"/>
    <w:basedOn w:val="TechnicalBlockChar"/>
    <w:link w:val="HeaderCouncilLarge"/>
    <w:rsid w:val="00FE15D9"/>
    <w:rPr>
      <w:rFonts w:ascii="Times New Roman" w:eastAsia="Calibri" w:hAnsi="Times New Roman" w:cs="Times New Roman"/>
      <w:sz w:val="2"/>
      <w:szCs w:val="22"/>
      <w:lang w:val="it-IT" w:eastAsia="en-US"/>
    </w:rPr>
  </w:style>
  <w:style w:type="paragraph" w:styleId="ListBullet">
    <w:name w:val="List Bullet"/>
    <w:basedOn w:val="Normal"/>
    <w:uiPriority w:val="99"/>
    <w:unhideWhenUsed/>
    <w:rsid w:val="00FE15D9"/>
    <w:pPr>
      <w:widowControl/>
      <w:tabs>
        <w:tab w:val="num" w:pos="1209"/>
      </w:tabs>
      <w:spacing w:before="120" w:after="120" w:line="360" w:lineRule="auto"/>
      <w:ind w:left="1209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FE15D9"/>
    <w:pPr>
      <w:widowControl/>
      <w:tabs>
        <w:tab w:val="num" w:pos="1209"/>
      </w:tabs>
      <w:spacing w:before="120" w:after="120" w:line="360" w:lineRule="auto"/>
      <w:ind w:left="1209" w:hanging="360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FE15D9"/>
    <w:pPr>
      <w:widowControl/>
      <w:tabs>
        <w:tab w:val="num" w:pos="1492"/>
      </w:tabs>
      <w:spacing w:before="120" w:after="120" w:line="360" w:lineRule="auto"/>
      <w:ind w:left="1492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FE15D9"/>
    <w:pPr>
      <w:widowControl/>
      <w:tabs>
        <w:tab w:val="num" w:pos="1492"/>
      </w:tabs>
      <w:spacing w:before="120" w:after="120" w:line="360" w:lineRule="auto"/>
      <w:ind w:left="1492" w:hanging="360"/>
      <w:contextualSpacing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FE15D9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FE15D9"/>
    <w:pPr>
      <w:widowControl/>
      <w:tabs>
        <w:tab w:val="num" w:pos="643"/>
      </w:tabs>
      <w:spacing w:before="120" w:after="120" w:line="360" w:lineRule="auto"/>
      <w:ind w:left="643" w:hanging="360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FE15D9"/>
    <w:pPr>
      <w:widowControl/>
      <w:tabs>
        <w:tab w:val="num" w:pos="926"/>
      </w:tabs>
      <w:spacing w:before="120" w:after="120" w:line="360" w:lineRule="auto"/>
      <w:ind w:left="926" w:hanging="360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FE15D9"/>
    <w:pPr>
      <w:widowControl/>
      <w:tabs>
        <w:tab w:val="num" w:pos="1209"/>
      </w:tabs>
      <w:spacing w:before="120" w:after="120" w:line="360" w:lineRule="auto"/>
      <w:ind w:left="1209" w:hanging="360"/>
      <w:contextualSpacing/>
    </w:pPr>
    <w:rPr>
      <w:rFonts w:eastAsia="Calibri"/>
      <w:szCs w:val="22"/>
      <w:lang w:eastAsia="en-US"/>
    </w:rPr>
  </w:style>
  <w:style w:type="paragraph" w:customStyle="1" w:styleId="Normale">
    <w:name w:val="Normale"/>
    <w:qFormat/>
    <w:rsid w:val="00FE15D9"/>
    <w:pPr>
      <w:spacing w:before="120" w:after="120" w:line="360" w:lineRule="auto"/>
      <w:jc w:val="both"/>
    </w:pPr>
    <w:rPr>
      <w:sz w:val="24"/>
      <w:szCs w:val="22"/>
      <w:lang w:val="it-IT" w:eastAsia="en-US"/>
    </w:rPr>
  </w:style>
  <w:style w:type="numbering" w:customStyle="1" w:styleId="NoList11">
    <w:name w:val="No List11"/>
    <w:next w:val="NoList"/>
    <w:uiPriority w:val="99"/>
    <w:semiHidden/>
    <w:unhideWhenUsed/>
    <w:rsid w:val="00FE15D9"/>
  </w:style>
  <w:style w:type="paragraph" w:customStyle="1" w:styleId="HeaderSensitivity">
    <w:name w:val="Header Sensitivity"/>
    <w:basedOn w:val="Normal"/>
    <w:rsid w:val="00FE15D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FE15D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FE15D9"/>
    <w:rPr>
      <w:rFonts w:cs="Times New Roman"/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FE15D9"/>
    <w:pPr>
      <w:widowControl/>
      <w:spacing w:line="360" w:lineRule="auto"/>
    </w:pPr>
    <w:rPr>
      <w:rFonts w:ascii="Arial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E15D9"/>
    <w:pPr>
      <w:widowControl/>
      <w:spacing w:line="360" w:lineRule="auto"/>
      <w:ind w:left="5103"/>
    </w:pPr>
    <w:rPr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E15D9"/>
    <w:pPr>
      <w:widowControl/>
      <w:spacing w:after="240" w:line="360" w:lineRule="auto"/>
      <w:ind w:left="5103"/>
    </w:pPr>
    <w:rPr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E15D9"/>
    <w:pPr>
      <w:widowControl/>
      <w:spacing w:line="360" w:lineRule="auto"/>
      <w:jc w:val="both"/>
    </w:pPr>
    <w:rPr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E15D9"/>
    <w:pPr>
      <w:widowControl/>
      <w:spacing w:line="360" w:lineRule="auto"/>
      <w:jc w:val="both"/>
    </w:pPr>
    <w:rPr>
      <w:szCs w:val="22"/>
      <w:lang w:eastAsia="en-US"/>
    </w:rPr>
  </w:style>
  <w:style w:type="paragraph" w:customStyle="1" w:styleId="Disclaimer">
    <w:name w:val="Disclaimer"/>
    <w:basedOn w:val="Normal"/>
    <w:rsid w:val="00FE15D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E15D9"/>
    <w:pPr>
      <w:widowControl/>
      <w:spacing w:before="120" w:after="120" w:line="360" w:lineRule="auto"/>
      <w:jc w:val="center"/>
    </w:pPr>
    <w:rPr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E15D9"/>
    <w:pPr>
      <w:widowControl/>
      <w:spacing w:before="120" w:after="120" w:line="360" w:lineRule="auto"/>
      <w:jc w:val="center"/>
    </w:pPr>
    <w:rPr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FE15D9"/>
    <w:pPr>
      <w:keepNext/>
      <w:widowControl/>
      <w:spacing w:before="480" w:after="120" w:line="360" w:lineRule="auto"/>
      <w:jc w:val="both"/>
    </w:pPr>
    <w:rPr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E15D9"/>
    <w:pPr>
      <w:widowControl/>
      <w:spacing w:before="360" w:after="120" w:line="360" w:lineRule="auto"/>
      <w:jc w:val="center"/>
    </w:pPr>
    <w:rPr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E15D9"/>
    <w:pPr>
      <w:widowControl/>
      <w:spacing w:before="240" w:after="240" w:line="360" w:lineRule="auto"/>
      <w:ind w:left="5103"/>
    </w:pPr>
    <w:rPr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E15D9"/>
    <w:pPr>
      <w:widowControl/>
      <w:spacing w:after="240" w:line="360" w:lineRule="auto"/>
    </w:pPr>
    <w:rPr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E15D9"/>
    <w:pPr>
      <w:widowControl/>
      <w:spacing w:before="120" w:after="120" w:line="360" w:lineRule="auto"/>
      <w:jc w:val="center"/>
    </w:pPr>
    <w:rPr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E15D9"/>
    <w:pPr>
      <w:widowControl/>
      <w:spacing w:line="360" w:lineRule="auto"/>
      <w:ind w:left="5103"/>
    </w:pPr>
    <w:rPr>
      <w:szCs w:val="22"/>
      <w:lang w:eastAsia="en-US"/>
    </w:rPr>
  </w:style>
  <w:style w:type="character" w:customStyle="1" w:styleId="Added">
    <w:name w:val="Added"/>
    <w:basedOn w:val="DefaultParagraphFont"/>
    <w:rsid w:val="00FE15D9"/>
    <w:rPr>
      <w:rFonts w:cs="Times New Roman"/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E15D9"/>
    <w:rPr>
      <w:rFonts w:cs="Times New Roman"/>
      <w:strike/>
      <w:shd w:val="clear" w:color="auto" w:fill="auto"/>
    </w:rPr>
  </w:style>
  <w:style w:type="paragraph" w:customStyle="1" w:styleId="Address">
    <w:name w:val="Address"/>
    <w:basedOn w:val="Normal"/>
    <w:next w:val="Normal"/>
    <w:rsid w:val="00FE15D9"/>
    <w:pPr>
      <w:keepLines/>
      <w:widowControl/>
      <w:spacing w:before="120" w:after="120" w:line="360" w:lineRule="auto"/>
      <w:ind w:left="3402"/>
    </w:pPr>
    <w:rPr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E15D9"/>
    <w:pPr>
      <w:widowControl/>
      <w:spacing w:before="120" w:after="120" w:line="360" w:lineRule="auto"/>
      <w:jc w:val="both"/>
    </w:pPr>
    <w:rPr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E15D9"/>
    <w:pPr>
      <w:widowControl/>
      <w:spacing w:after="600" w:line="360" w:lineRule="auto"/>
      <w:jc w:val="center"/>
    </w:pPr>
    <w:rPr>
      <w:b/>
      <w:szCs w:val="22"/>
      <w:lang w:eastAsia="en-US"/>
    </w:rPr>
  </w:style>
  <w:style w:type="paragraph" w:customStyle="1" w:styleId="Rfrencecroise">
    <w:name w:val="Référence croisée"/>
    <w:basedOn w:val="Normal"/>
    <w:rsid w:val="00FE15D9"/>
    <w:pPr>
      <w:widowControl/>
      <w:spacing w:line="360" w:lineRule="auto"/>
      <w:jc w:val="center"/>
    </w:pPr>
    <w:rPr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E15D9"/>
    <w:pPr>
      <w:widowControl/>
      <w:spacing w:before="120" w:after="120" w:line="360" w:lineRule="auto"/>
      <w:jc w:val="center"/>
    </w:pPr>
    <w:rPr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E15D9"/>
    <w:rPr>
      <w:rFonts w:eastAsia="Times New Roman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E15D9"/>
  </w:style>
  <w:style w:type="paragraph" w:customStyle="1" w:styleId="StatutPagedecouverture">
    <w:name w:val="Statut (Page de couverture)"/>
    <w:basedOn w:val="Statut"/>
    <w:next w:val="TypedudocumentPagedecouverture"/>
    <w:rsid w:val="00FE15D9"/>
    <w:rPr>
      <w:rFonts w:eastAsia="Times New Roman"/>
    </w:rPr>
  </w:style>
  <w:style w:type="paragraph" w:customStyle="1" w:styleId="TitreobjetPagedecouverture">
    <w:name w:val="Titre objet (Page de couverture)"/>
    <w:basedOn w:val="Titreobjet"/>
    <w:next w:val="IntrtEEEPagedecouverture"/>
    <w:rsid w:val="00FE15D9"/>
    <w:rPr>
      <w:rFonts w:eastAsia="Times New Roman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FE15D9"/>
    <w:rPr>
      <w:rFonts w:eastAsia="Times New Roman"/>
    </w:rPr>
  </w:style>
  <w:style w:type="paragraph" w:customStyle="1" w:styleId="Volume">
    <w:name w:val="Volume"/>
    <w:basedOn w:val="Normal"/>
    <w:next w:val="Confidentialit"/>
    <w:rsid w:val="00FE15D9"/>
    <w:pPr>
      <w:widowControl/>
      <w:spacing w:after="240" w:line="360" w:lineRule="auto"/>
      <w:ind w:left="5103"/>
    </w:pPr>
    <w:rPr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FE15D9"/>
    <w:pPr>
      <w:widowControl/>
      <w:spacing w:after="240" w:line="360" w:lineRule="auto"/>
      <w:jc w:val="center"/>
    </w:pPr>
    <w:rPr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E15D9"/>
    <w:pPr>
      <w:widowControl/>
      <w:spacing w:after="240" w:line="360" w:lineRule="auto"/>
      <w:jc w:val="center"/>
    </w:pPr>
    <w:rPr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E15D9"/>
    <w:pPr>
      <w:widowControl/>
      <w:spacing w:after="360" w:line="360" w:lineRule="auto"/>
      <w:jc w:val="center"/>
    </w:pPr>
    <w:rPr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E15D9"/>
    <w:rPr>
      <w:rFonts w:eastAsia="Times New Roman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FE15D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E15D9"/>
  </w:style>
  <w:style w:type="paragraph" w:customStyle="1" w:styleId="ObjetacteprincipalPagedecouverture">
    <w:name w:val="Objet acte principal (Page de couverture)"/>
    <w:basedOn w:val="Objetacteprincipal"/>
    <w:next w:val="Rfrencecroise"/>
    <w:rsid w:val="00FE15D9"/>
  </w:style>
  <w:style w:type="paragraph" w:customStyle="1" w:styleId="LanguesfaisantfoiPagedecouverture">
    <w:name w:val="Langues faisant foi (Page de couverture)"/>
    <w:basedOn w:val="Normal"/>
    <w:next w:val="Normal"/>
    <w:rsid w:val="00FE15D9"/>
    <w:pPr>
      <w:widowControl/>
      <w:spacing w:before="360" w:line="360" w:lineRule="auto"/>
      <w:jc w:val="center"/>
    </w:pPr>
    <w:rPr>
      <w:szCs w:val="22"/>
      <w:lang w:eastAsia="en-US"/>
    </w:rPr>
  </w:style>
  <w:style w:type="paragraph" w:styleId="ListBullet5">
    <w:name w:val="List Bullet 5"/>
    <w:basedOn w:val="Normal"/>
    <w:autoRedefine/>
    <w:uiPriority w:val="99"/>
    <w:rsid w:val="00FE15D9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FE15D9"/>
    <w:pPr>
      <w:widowControl/>
      <w:numPr>
        <w:ilvl w:val="1"/>
        <w:numId w:val="40"/>
      </w:numPr>
      <w:spacing w:before="120" w:after="120" w:line="360" w:lineRule="auto"/>
      <w:jc w:val="both"/>
    </w:pPr>
    <w:rPr>
      <w:szCs w:val="24"/>
      <w:lang w:eastAsia="de-DE"/>
    </w:rPr>
  </w:style>
  <w:style w:type="character" w:customStyle="1" w:styleId="Footer2">
    <w:name w:val="Footer2"/>
    <w:uiPriority w:val="1"/>
    <w:qFormat/>
    <w:rsid w:val="00FE15D9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FE15D9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FE15D9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FE15D9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FE15D9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FE15D9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FE15D9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FE15D9"/>
    <w:rPr>
      <w:rFonts w:ascii="Times New Roman" w:hAnsi="Times New Roman" w:cs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FE15D9"/>
    <w:rPr>
      <w:rFonts w:ascii="Times New Roman" w:hAnsi="Times New Roman" w:cs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FE15D9"/>
    <w:rPr>
      <w:rFonts w:ascii="Times New Roman" w:hAnsi="Times New Roman" w:cs="Times New Roman"/>
      <w:strike/>
      <w:sz w:val="20"/>
    </w:rPr>
  </w:style>
  <w:style w:type="paragraph" w:customStyle="1" w:styleId="HeaderDisclaimer">
    <w:name w:val="HeaderDisclaimer"/>
    <w:basedOn w:val="Normal"/>
    <w:qFormat/>
    <w:rsid w:val="00FE15D9"/>
    <w:pPr>
      <w:widowControl/>
      <w:spacing w:line="360" w:lineRule="auto"/>
      <w:jc w:val="both"/>
    </w:pPr>
    <w:rPr>
      <w:rFonts w:ascii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FE15D9"/>
    <w:pPr>
      <w:widowControl/>
      <w:spacing w:before="120" w:after="120" w:line="360" w:lineRule="auto"/>
      <w:ind w:left="720" w:hanging="720"/>
      <w:jc w:val="both"/>
    </w:pPr>
    <w:rPr>
      <w:szCs w:val="22"/>
      <w:lang w:eastAsia="en-US"/>
    </w:rPr>
  </w:style>
  <w:style w:type="paragraph" w:customStyle="1" w:styleId="Normal12b">
    <w:name w:val="Normal12b"/>
    <w:basedOn w:val="Normal"/>
    <w:qFormat/>
    <w:rsid w:val="00FE15D9"/>
    <w:pPr>
      <w:widowControl/>
      <w:spacing w:before="120" w:after="120" w:line="360" w:lineRule="auto"/>
    </w:pPr>
    <w:rPr>
      <w:b/>
      <w:szCs w:val="22"/>
      <w:lang w:eastAsia="en-US"/>
    </w:rPr>
  </w:style>
  <w:style w:type="paragraph" w:customStyle="1" w:styleId="TitlePar1">
    <w:name w:val="TitlePar 1"/>
    <w:basedOn w:val="Normal"/>
    <w:qFormat/>
    <w:rsid w:val="00FE15D9"/>
    <w:pPr>
      <w:widowControl/>
      <w:spacing w:before="480" w:after="120" w:line="360" w:lineRule="auto"/>
    </w:pPr>
    <w:rPr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FE15D9"/>
    <w:pPr>
      <w:spacing w:before="120"/>
    </w:pPr>
  </w:style>
  <w:style w:type="paragraph" w:customStyle="1" w:styleId="TitlePar3">
    <w:name w:val="TitlePar 3"/>
    <w:basedOn w:val="TitlePar2"/>
    <w:qFormat/>
    <w:rsid w:val="00FE15D9"/>
    <w:rPr>
      <w:b w:val="0"/>
      <w:i/>
    </w:rPr>
  </w:style>
  <w:style w:type="paragraph" w:customStyle="1" w:styleId="SubsectionTitle">
    <w:name w:val="SubsectionTitle"/>
    <w:basedOn w:val="SectionTitle"/>
    <w:qFormat/>
    <w:rsid w:val="00FE15D9"/>
    <w:pPr>
      <w:keepNext w:val="0"/>
      <w:spacing w:after="240"/>
    </w:pPr>
    <w:rPr>
      <w:rFonts w:eastAsia="Times New Roman"/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FE15D9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FE15D9"/>
    <w:pPr>
      <w:widowControl/>
      <w:spacing w:before="120" w:after="120" w:line="360" w:lineRule="auto"/>
      <w:jc w:val="both"/>
    </w:pPr>
    <w:rPr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FE15D9"/>
    <w:pPr>
      <w:spacing w:before="120"/>
    </w:pPr>
    <w:rPr>
      <w:rFonts w:eastAsia="Times New Roman"/>
      <w:b/>
    </w:rPr>
  </w:style>
  <w:style w:type="paragraph" w:customStyle="1" w:styleId="NumTitle">
    <w:name w:val="NumTitle"/>
    <w:basedOn w:val="Normal"/>
    <w:qFormat/>
    <w:rsid w:val="00FE15D9"/>
    <w:pPr>
      <w:widowControl/>
      <w:spacing w:before="360" w:after="120" w:line="360" w:lineRule="auto"/>
      <w:jc w:val="center"/>
    </w:pPr>
    <w:rPr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FE15D9"/>
    <w:rPr>
      <w:rFonts w:eastAsia="Times New Roman"/>
      <w:i w:val="0"/>
    </w:rPr>
  </w:style>
  <w:style w:type="paragraph" w:customStyle="1" w:styleId="Text0">
    <w:name w:val="Text 0"/>
    <w:basedOn w:val="Normal"/>
    <w:qFormat/>
    <w:rsid w:val="00FE15D9"/>
    <w:pPr>
      <w:widowControl/>
      <w:spacing w:before="120" w:after="120" w:line="360" w:lineRule="auto"/>
      <w:jc w:val="both"/>
    </w:pPr>
    <w:rPr>
      <w:szCs w:val="22"/>
      <w:lang w:eastAsia="en-US"/>
    </w:rPr>
  </w:style>
  <w:style w:type="paragraph" w:customStyle="1" w:styleId="ChapterNum">
    <w:name w:val="ChapterNum"/>
    <w:basedOn w:val="ChapterTitle"/>
    <w:qFormat/>
    <w:rsid w:val="00FE15D9"/>
    <w:pPr>
      <w:keepNext w:val="0"/>
      <w:spacing w:before="360" w:after="120"/>
    </w:pPr>
    <w:rPr>
      <w:rFonts w:eastAsia="Times New Roman"/>
      <w:b w:val="0"/>
      <w:sz w:val="28"/>
    </w:rPr>
  </w:style>
  <w:style w:type="paragraph" w:customStyle="1" w:styleId="PartNum">
    <w:name w:val="PartNum"/>
    <w:basedOn w:val="PartTitle"/>
    <w:qFormat/>
    <w:rsid w:val="00FE15D9"/>
    <w:pPr>
      <w:keepNext w:val="0"/>
      <w:pageBreakBefore w:val="0"/>
      <w:spacing w:before="360" w:after="120"/>
    </w:pPr>
    <w:rPr>
      <w:rFonts w:eastAsia="Times New Roman"/>
      <w:b w:val="0"/>
      <w:sz w:val="28"/>
    </w:rPr>
  </w:style>
  <w:style w:type="paragraph" w:customStyle="1" w:styleId="SectionNum">
    <w:name w:val="SectionNum"/>
    <w:basedOn w:val="SectionTitle"/>
    <w:qFormat/>
    <w:rsid w:val="00FE15D9"/>
    <w:pPr>
      <w:keepNext w:val="0"/>
      <w:spacing w:before="360" w:after="120"/>
    </w:pPr>
    <w:rPr>
      <w:rFonts w:eastAsia="Times New Roman"/>
      <w:b w:val="0"/>
      <w:smallCaps w:val="0"/>
    </w:rPr>
  </w:style>
  <w:style w:type="paragraph" w:customStyle="1" w:styleId="TitleHeading">
    <w:name w:val="TitleHeading"/>
    <w:basedOn w:val="NumTitle"/>
    <w:qFormat/>
    <w:rsid w:val="00FE15D9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FE15D9"/>
    <w:rPr>
      <w:rFonts w:ascii="Times New Roman" w:hAnsi="Times New Roman" w:cs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FE15D9"/>
    <w:rPr>
      <w:rFonts w:ascii="Times New Roman" w:hAnsi="Times New Roman" w:cs="Times New Roman"/>
      <w:i/>
      <w:vertAlign w:val="superscript"/>
    </w:rPr>
  </w:style>
  <w:style w:type="character" w:customStyle="1" w:styleId="Hyperlink1">
    <w:name w:val="Hyperlink1"/>
    <w:basedOn w:val="DefaultParagraphFont"/>
    <w:uiPriority w:val="99"/>
    <w:unhideWhenUsed/>
    <w:rsid w:val="00FE15D9"/>
    <w:rPr>
      <w:rFonts w:cs="Times New Roman"/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15D9"/>
    <w:rPr>
      <w:rFonts w:cs="Times New Roman"/>
      <w:color w:val="605E5C"/>
      <w:shd w:val="clear" w:color="auto" w:fill="E1DFDD"/>
    </w:rPr>
  </w:style>
  <w:style w:type="paragraph" w:customStyle="1" w:styleId="ti-art">
    <w:name w:val="ti-art"/>
    <w:basedOn w:val="Normal"/>
    <w:rsid w:val="00FE15D9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sti-art">
    <w:name w:val="sti-art"/>
    <w:basedOn w:val="Normal"/>
    <w:rsid w:val="00FE15D9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1">
    <w:name w:val="Normal1"/>
    <w:basedOn w:val="Normal"/>
    <w:rsid w:val="00FE15D9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-parag">
    <w:name w:val="no-parag"/>
    <w:basedOn w:val="DefaultParagraphFont"/>
    <w:rsid w:val="00FE15D9"/>
    <w:rPr>
      <w:rFonts w:cs="Times New Roman"/>
    </w:rPr>
  </w:style>
  <w:style w:type="paragraph" w:customStyle="1" w:styleId="norm">
    <w:name w:val="norm"/>
    <w:basedOn w:val="Normal"/>
    <w:rsid w:val="00FE15D9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superscript">
    <w:name w:val="superscript"/>
    <w:basedOn w:val="DefaultParagraphFont"/>
    <w:rsid w:val="00FE15D9"/>
    <w:rPr>
      <w:rFonts w:cs="Times New Roman"/>
    </w:rPr>
  </w:style>
  <w:style w:type="character" w:customStyle="1" w:styleId="bold0">
    <w:name w:val="bold"/>
    <w:basedOn w:val="DefaultParagraphFont"/>
    <w:rsid w:val="00FE15D9"/>
    <w:rPr>
      <w:rFonts w:cs="Times New Roman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E15D9"/>
    <w:rPr>
      <w:rFonts w:cs="Times New Roman"/>
      <w:color w:val="954F72"/>
      <w:u w:val="single"/>
    </w:rPr>
  </w:style>
  <w:style w:type="character" w:customStyle="1" w:styleId="italics">
    <w:name w:val="italics"/>
    <w:basedOn w:val="DefaultParagraphFont"/>
    <w:rsid w:val="00FE15D9"/>
    <w:rPr>
      <w:rFonts w:cs="Times New Roman"/>
    </w:rPr>
  </w:style>
  <w:style w:type="paragraph" w:customStyle="1" w:styleId="Heading1new">
    <w:name w:val="Heading 1 new"/>
    <w:basedOn w:val="Normal"/>
    <w:qFormat/>
    <w:rsid w:val="00FE15D9"/>
    <w:pPr>
      <w:numPr>
        <w:numId w:val="41"/>
      </w:numPr>
      <w:jc w:val="center"/>
    </w:pPr>
    <w:rPr>
      <w:rFonts w:ascii="Verdana" w:hAnsi="Verdana" w:cs="Calibri"/>
      <w:bCs/>
      <w:sz w:val="28"/>
      <w:szCs w:val="28"/>
      <w:lang w:eastAsia="fr-BE"/>
    </w:rPr>
  </w:style>
  <w:style w:type="paragraph" w:customStyle="1" w:styleId="Heading2new">
    <w:name w:val="Heading 2 new"/>
    <w:basedOn w:val="Normal"/>
    <w:qFormat/>
    <w:rsid w:val="00FE15D9"/>
    <w:pPr>
      <w:numPr>
        <w:ilvl w:val="1"/>
        <w:numId w:val="41"/>
      </w:numPr>
      <w:tabs>
        <w:tab w:val="left" w:pos="-1392"/>
        <w:tab w:val="left" w:pos="-720"/>
        <w:tab w:val="left" w:pos="709"/>
        <w:tab w:val="left" w:pos="993"/>
        <w:tab w:val="left" w:pos="1418"/>
        <w:tab w:val="right" w:pos="9638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after="120"/>
      <w:outlineLvl w:val="0"/>
    </w:pPr>
    <w:rPr>
      <w:rFonts w:ascii="Verdana" w:hAnsi="Verdana" w:cs="Calibri"/>
      <w:caps/>
      <w:szCs w:val="24"/>
      <w:lang w:eastAsia="fr-BE"/>
    </w:rPr>
  </w:style>
  <w:style w:type="paragraph" w:customStyle="1" w:styleId="Heading3new">
    <w:name w:val="Heading 3 new"/>
    <w:basedOn w:val="Normal"/>
    <w:link w:val="Heading3newChar"/>
    <w:qFormat/>
    <w:rsid w:val="00FE15D9"/>
    <w:pPr>
      <w:numPr>
        <w:ilvl w:val="2"/>
        <w:numId w:val="41"/>
      </w:numPr>
      <w:suppressAutoHyphens/>
      <w:spacing w:after="120"/>
      <w:outlineLvl w:val="0"/>
    </w:pPr>
    <w:rPr>
      <w:rFonts w:ascii="Verdana" w:hAnsi="Verdana" w:cs="Calibri"/>
      <w:szCs w:val="24"/>
      <w:lang w:eastAsia="fr-BE"/>
    </w:rPr>
  </w:style>
  <w:style w:type="paragraph" w:customStyle="1" w:styleId="Heading4new">
    <w:name w:val="Heading 4 new"/>
    <w:basedOn w:val="Normal"/>
    <w:qFormat/>
    <w:rsid w:val="00FE15D9"/>
    <w:pPr>
      <w:numPr>
        <w:ilvl w:val="3"/>
        <w:numId w:val="41"/>
      </w:numPr>
      <w:suppressAutoHyphens/>
      <w:spacing w:after="120"/>
      <w:outlineLvl w:val="0"/>
    </w:pPr>
    <w:rPr>
      <w:rFonts w:ascii="Verdana" w:hAnsi="Verdana"/>
      <w:szCs w:val="24"/>
      <w:lang w:eastAsia="fr-BE"/>
    </w:rPr>
  </w:style>
  <w:style w:type="character" w:customStyle="1" w:styleId="Heading3newChar">
    <w:name w:val="Heading 3 new Char"/>
    <w:link w:val="Heading3new"/>
    <w:locked/>
    <w:rsid w:val="00FE15D9"/>
    <w:rPr>
      <w:rFonts w:ascii="Verdana" w:hAnsi="Verdana" w:cs="Calibri"/>
      <w:sz w:val="24"/>
      <w:szCs w:val="24"/>
      <w:lang w:val="it-IT" w:eastAsia="fr-BE"/>
    </w:rPr>
  </w:style>
  <w:style w:type="paragraph" w:customStyle="1" w:styleId="Heading5new">
    <w:name w:val="Heading 5 new"/>
    <w:basedOn w:val="Normal"/>
    <w:qFormat/>
    <w:rsid w:val="00FE15D9"/>
    <w:pPr>
      <w:numPr>
        <w:ilvl w:val="4"/>
        <w:numId w:val="41"/>
      </w:numPr>
      <w:suppressAutoHyphens/>
      <w:spacing w:after="120"/>
      <w:ind w:left="2269" w:hanging="1418"/>
      <w:outlineLvl w:val="0"/>
    </w:pPr>
    <w:rPr>
      <w:rFonts w:ascii="Verdana" w:hAnsi="Verdana"/>
      <w:bCs/>
      <w:iCs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E15D9"/>
    <w:rPr>
      <w:rFonts w:cs="Times New Roman"/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E15D9"/>
    <w:rPr>
      <w:rFonts w:cs="Times New Roman"/>
      <w:b/>
      <w:bCs/>
    </w:rPr>
  </w:style>
  <w:style w:type="character" w:customStyle="1" w:styleId="FaitChar">
    <w:name w:val="Fait à Char"/>
    <w:basedOn w:val="DefaultParagraphFont"/>
    <w:link w:val="Fait"/>
    <w:rsid w:val="00FE15D9"/>
    <w:rPr>
      <w:rFonts w:eastAsia="Calibri"/>
      <w:sz w:val="24"/>
      <w:szCs w:val="22"/>
      <w:lang w:val="it-IT" w:eastAsia="en-US"/>
    </w:rPr>
  </w:style>
  <w:style w:type="paragraph" w:customStyle="1" w:styleId="pj">
    <w:name w:val="p.j."/>
    <w:basedOn w:val="Normal"/>
    <w:link w:val="pjChar"/>
    <w:rsid w:val="00FE15D9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FaitChar"/>
    <w:link w:val="pj"/>
    <w:rsid w:val="00FE15D9"/>
    <w:rPr>
      <w:rFonts w:eastAsia="Calibri"/>
      <w:sz w:val="24"/>
      <w:szCs w:val="22"/>
      <w:lang w:val="it-IT" w:eastAsia="en-US"/>
    </w:rPr>
  </w:style>
  <w:style w:type="paragraph" w:customStyle="1" w:styleId="nbbordered">
    <w:name w:val="nb bordered"/>
    <w:basedOn w:val="Normal"/>
    <w:link w:val="nbborderedChar"/>
    <w:rsid w:val="00FE15D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FaitChar"/>
    <w:link w:val="nbbordered"/>
    <w:rsid w:val="00FE15D9"/>
    <w:rPr>
      <w:rFonts w:eastAsia="Calibri"/>
      <w:b/>
      <w:sz w:val="24"/>
      <w:szCs w:val="22"/>
      <w:lang w:val="it-IT" w:eastAsia="en-US"/>
    </w:rPr>
  </w:style>
  <w:style w:type="character" w:customStyle="1" w:styleId="HeaderCouncilChar">
    <w:name w:val="Header Council Char"/>
    <w:basedOn w:val="DefaultParagraphFont"/>
    <w:link w:val="HeaderCouncil"/>
    <w:rsid w:val="00FE15D9"/>
    <w:rPr>
      <w:rFonts w:eastAsia="Calibri"/>
      <w:sz w:val="2"/>
      <w:szCs w:val="22"/>
      <w:lang w:val="it-IT" w:eastAsia="en-US"/>
    </w:rPr>
  </w:style>
  <w:style w:type="character" w:customStyle="1" w:styleId="FooterCouncilChar">
    <w:name w:val="Footer Council Char"/>
    <w:basedOn w:val="DefaultParagraphFont"/>
    <w:link w:val="FooterCouncil"/>
    <w:rsid w:val="00FE15D9"/>
    <w:rPr>
      <w:rFonts w:eastAsia="Calibri"/>
      <w:sz w:val="2"/>
      <w:szCs w:val="22"/>
      <w:lang w:val="it-IT" w:eastAsia="en-US"/>
    </w:rPr>
  </w:style>
  <w:style w:type="character" w:customStyle="1" w:styleId="Hyperlink2">
    <w:name w:val="Hyperlink2"/>
    <w:basedOn w:val="DefaultParagraphFont"/>
    <w:uiPriority w:val="99"/>
    <w:unhideWhenUsed/>
    <w:rsid w:val="00FE15D9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FE15D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2026-03-11T11:20:00Z</dcterms:created>
  <dcterms:modified xsi:type="dcterms:W3CDTF">2026-03-11T11:20:00Z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