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0CE4" w14:paraId="4F8E57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17F828" w14:textId="77777777" w:rsidR="00751A4A" w:rsidRPr="00460CE4" w:rsidRDefault="00CF036F" w:rsidP="0010095E">
            <w:pPr>
              <w:pStyle w:val="EPName"/>
            </w:pPr>
            <w:r w:rsidRPr="00460CE4">
              <w:t>Parlament Ewropew</w:t>
            </w:r>
          </w:p>
          <w:p w14:paraId="0297E1B0" w14:textId="77777777" w:rsidR="00751A4A" w:rsidRPr="00460C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0CE4">
              <w:t>2024</w:t>
            </w:r>
            <w:r w:rsidR="00817416" w:rsidRPr="00460CE4">
              <w:t>-202</w:t>
            </w:r>
            <w:r w:rsidRPr="00460CE4">
              <w:t>9</w:t>
            </w:r>
          </w:p>
        </w:tc>
        <w:tc>
          <w:tcPr>
            <w:tcW w:w="2268" w:type="dxa"/>
            <w:shd w:val="clear" w:color="auto" w:fill="auto"/>
          </w:tcPr>
          <w:p w14:paraId="17B9D789" w14:textId="77777777" w:rsidR="00751A4A" w:rsidRPr="00460CE4" w:rsidRDefault="00187494" w:rsidP="0010095E">
            <w:pPr>
              <w:pStyle w:val="EPLogo"/>
            </w:pPr>
            <w:r w:rsidRPr="00460CE4">
              <w:rPr>
                <w:noProof/>
                <w:lang w:eastAsia="ja-JP"/>
              </w:rPr>
              <w:drawing>
                <wp:inline distT="0" distB="0" distL="0" distR="0" wp14:anchorId="4D499642" wp14:editId="1B1636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CED4B8" w14:textId="77777777" w:rsidR="00D058B8" w:rsidRPr="00460CE4" w:rsidRDefault="00D058B8" w:rsidP="004C5D52">
      <w:pPr>
        <w:pStyle w:val="LineTop"/>
      </w:pPr>
    </w:p>
    <w:p w14:paraId="73C3593A" w14:textId="77777777" w:rsidR="00680577" w:rsidRPr="00460CE4" w:rsidRDefault="00CF036F" w:rsidP="00680577">
      <w:pPr>
        <w:pStyle w:val="EPBodyTA1"/>
      </w:pPr>
      <w:r w:rsidRPr="00460CE4">
        <w:t>TESTI ADOTTATI</w:t>
      </w:r>
    </w:p>
    <w:p w14:paraId="284303BA" w14:textId="77777777" w:rsidR="00D058B8" w:rsidRPr="00460CE4" w:rsidRDefault="00D058B8" w:rsidP="00D058B8">
      <w:pPr>
        <w:pStyle w:val="LineBottom"/>
      </w:pPr>
    </w:p>
    <w:p w14:paraId="2DF2C193" w14:textId="30683A9A" w:rsidR="00CF036F" w:rsidRPr="00455480" w:rsidRDefault="00CF036F" w:rsidP="00CF036F">
      <w:pPr>
        <w:pStyle w:val="ATHeading1"/>
        <w:rPr>
          <w:strike/>
        </w:rPr>
      </w:pPr>
      <w:bookmarkStart w:id="0" w:name="TANumber"/>
      <w:r w:rsidRPr="00460CE4">
        <w:t>P10_TA(2025)0</w:t>
      </w:r>
      <w:r w:rsidR="006A0217">
        <w:t>324</w:t>
      </w:r>
      <w:bookmarkEnd w:id="0"/>
    </w:p>
    <w:p w14:paraId="54F8F76C" w14:textId="77777777" w:rsidR="00CF036F" w:rsidRPr="00460CE4" w:rsidRDefault="00CF036F" w:rsidP="00CF036F">
      <w:pPr>
        <w:pStyle w:val="ATHeading2"/>
      </w:pPr>
      <w:bookmarkStart w:id="1" w:name="title"/>
      <w:r w:rsidRPr="00460CE4">
        <w:t xml:space="preserve">Rekwiżiti ta' </w:t>
      </w:r>
      <w:proofErr w:type="spellStart"/>
      <w:r w:rsidRPr="00460CE4">
        <w:t>rappurtar</w:t>
      </w:r>
      <w:proofErr w:type="spellEnd"/>
      <w:r w:rsidRPr="00460CE4">
        <w:t xml:space="preserve"> </w:t>
      </w:r>
      <w:proofErr w:type="spellStart"/>
      <w:r w:rsidRPr="00460CE4">
        <w:t>korporattiv</w:t>
      </w:r>
      <w:proofErr w:type="spellEnd"/>
      <w:r w:rsidRPr="00460CE4">
        <w:t xml:space="preserve"> dwar is-sostenibbiltà u ta' diliġenza dovuta</w:t>
      </w:r>
      <w:bookmarkEnd w:id="1"/>
    </w:p>
    <w:p w14:paraId="6E38CDF6" w14:textId="77777777" w:rsidR="00CF036F" w:rsidRPr="00460CE4" w:rsidRDefault="00CF036F" w:rsidP="00CF036F">
      <w:pPr>
        <w:rPr>
          <w:i/>
          <w:vanish/>
        </w:rPr>
      </w:pPr>
      <w:r w:rsidRPr="00460CE4">
        <w:rPr>
          <w:i/>
        </w:rPr>
        <w:fldChar w:fldCharType="begin"/>
      </w:r>
      <w:r w:rsidRPr="00460CE4">
        <w:rPr>
          <w:i/>
        </w:rPr>
        <w:instrText xml:space="preserve"> TC"(</w:instrText>
      </w:r>
      <w:bookmarkStart w:id="2" w:name="DocNumber"/>
      <w:r w:rsidRPr="00460CE4">
        <w:rPr>
          <w:i/>
        </w:rPr>
        <w:instrText>A10-0197/2025</w:instrText>
      </w:r>
      <w:bookmarkEnd w:id="2"/>
      <w:r w:rsidRPr="00460CE4">
        <w:rPr>
          <w:i/>
        </w:rPr>
        <w:instrText xml:space="preserve"> - Rapporteur:  Jörgen Warborn )"\l3 \n&gt; \* MERGEFORMAT </w:instrText>
      </w:r>
      <w:r w:rsidRPr="00460CE4">
        <w:rPr>
          <w:i/>
        </w:rPr>
        <w:fldChar w:fldCharType="end"/>
      </w:r>
    </w:p>
    <w:p w14:paraId="14424D82" w14:textId="77777777" w:rsidR="00CF036F" w:rsidRPr="00460CE4" w:rsidRDefault="00CF036F" w:rsidP="00CF036F">
      <w:pPr>
        <w:rPr>
          <w:vanish/>
        </w:rPr>
      </w:pPr>
      <w:bookmarkStart w:id="3" w:name="Commission"/>
      <w:r w:rsidRPr="00460CE4">
        <w:rPr>
          <w:vanish/>
        </w:rPr>
        <w:t>Kumitat għall-Affarijiet Legali</w:t>
      </w:r>
      <w:bookmarkEnd w:id="3"/>
    </w:p>
    <w:p w14:paraId="4EA42082" w14:textId="77777777" w:rsidR="00CF036F" w:rsidRPr="00460CE4" w:rsidRDefault="00CF036F" w:rsidP="00CF036F">
      <w:pPr>
        <w:rPr>
          <w:vanish/>
        </w:rPr>
      </w:pPr>
      <w:bookmarkStart w:id="4" w:name="PE"/>
      <w:r w:rsidRPr="00460CE4">
        <w:rPr>
          <w:vanish/>
        </w:rPr>
        <w:t>PE774.282</w:t>
      </w:r>
      <w:bookmarkEnd w:id="4"/>
    </w:p>
    <w:p w14:paraId="0980027B" w14:textId="7C1E5B0E" w:rsidR="00CF036F" w:rsidRPr="00455480" w:rsidRDefault="00CF036F" w:rsidP="00CF036F">
      <w:pPr>
        <w:pStyle w:val="ATHeading3"/>
        <w:rPr>
          <w:strike/>
        </w:rPr>
      </w:pPr>
      <w:bookmarkStart w:id="5" w:name="Sujet"/>
      <w:r w:rsidRPr="00460CE4">
        <w:t xml:space="preserve">Riżoluzzjoni </w:t>
      </w:r>
      <w:proofErr w:type="spellStart"/>
      <w:r w:rsidRPr="00460CE4">
        <w:t>leġiżlattiva</w:t>
      </w:r>
      <w:proofErr w:type="spellEnd"/>
      <w:r w:rsidRPr="00460CE4">
        <w:t xml:space="preserve"> tal-Parlament Ewropew tas-16 ta</w:t>
      </w:r>
      <w:r w:rsidR="000E7F71" w:rsidRPr="000E7F71">
        <w:t>'</w:t>
      </w:r>
      <w:r w:rsidRPr="00460CE4">
        <w:t xml:space="preserve"> Diċembru 2025 dwar il-proposta għal direttiva tal-Parlament Ewropew u tal-Kunsill li temenda d-Direttivi 2006/43/KE, 2013/34/UE, (UE) 2022/2464 u (UE) 2024/1760 fir-rigward ta’ ċerti rekwiżiti ta’ </w:t>
      </w:r>
      <w:proofErr w:type="spellStart"/>
      <w:r w:rsidRPr="00460CE4">
        <w:t>rapportar</w:t>
      </w:r>
      <w:proofErr w:type="spellEnd"/>
      <w:r w:rsidRPr="00460CE4">
        <w:t xml:space="preserve"> u ta’ diliġenza dovuta korporattivi dwar is-sostenibbiltà</w:t>
      </w:r>
      <w:bookmarkEnd w:id="5"/>
      <w:r w:rsidRPr="00460CE4">
        <w:t xml:space="preserve"> </w:t>
      </w:r>
      <w:bookmarkStart w:id="6" w:name="References"/>
      <w:r w:rsidRPr="00460CE4">
        <w:t>(COM(2025)0081 – C10-0037/2025 – 2025/0045(COD))</w:t>
      </w:r>
      <w:bookmarkEnd w:id="6"/>
    </w:p>
    <w:p w14:paraId="0EEBE7B4" w14:textId="77777777" w:rsidR="00CF036F" w:rsidRPr="00455480" w:rsidRDefault="00CF036F" w:rsidP="00CF036F">
      <w:pPr>
        <w:rPr>
          <w:strike/>
        </w:rPr>
      </w:pPr>
    </w:p>
    <w:p w14:paraId="278B714E" w14:textId="77777777" w:rsidR="002A2C45" w:rsidRPr="00460CE4" w:rsidRDefault="002A2C45" w:rsidP="002A2C45">
      <w:pPr>
        <w:pStyle w:val="NormalBold"/>
      </w:pPr>
      <w:bookmarkStart w:id="7" w:name="TextBodyBegin"/>
      <w:bookmarkEnd w:id="7"/>
      <w:r w:rsidRPr="00460CE4">
        <w:t xml:space="preserve">(Proċedura </w:t>
      </w:r>
      <w:proofErr w:type="spellStart"/>
      <w:r w:rsidRPr="00460CE4">
        <w:t>leġiżlattiva</w:t>
      </w:r>
      <w:proofErr w:type="spellEnd"/>
      <w:r w:rsidRPr="00460CE4">
        <w:t xml:space="preserve"> ordinarja: l-ewwel qari)</w:t>
      </w:r>
    </w:p>
    <w:p w14:paraId="2B8674EF" w14:textId="77777777" w:rsidR="002A2C45" w:rsidRPr="00460CE4" w:rsidRDefault="002A2C45" w:rsidP="002A2C45">
      <w:pPr>
        <w:pStyle w:val="EPComma"/>
      </w:pPr>
      <w:r w:rsidRPr="00460CE4">
        <w:rPr>
          <w:i/>
        </w:rPr>
        <w:t>Il-Parlament Ewropew</w:t>
      </w:r>
      <w:r w:rsidRPr="00460CE4">
        <w:t>,</w:t>
      </w:r>
    </w:p>
    <w:p w14:paraId="6040C61F" w14:textId="77777777" w:rsidR="002A2C45" w:rsidRPr="00460CE4" w:rsidRDefault="002A2C45" w:rsidP="002A2C45">
      <w:pPr>
        <w:pStyle w:val="NormalHanging12a"/>
      </w:pPr>
      <w:r w:rsidRPr="00460CE4">
        <w:t>–</w:t>
      </w:r>
      <w:r w:rsidRPr="00460CE4">
        <w:tab/>
        <w:t xml:space="preserve">wara li </w:t>
      </w:r>
      <w:proofErr w:type="spellStart"/>
      <w:r w:rsidRPr="00460CE4">
        <w:t>kkunsidra</w:t>
      </w:r>
      <w:proofErr w:type="spellEnd"/>
      <w:r w:rsidRPr="00460CE4">
        <w:t xml:space="preserve"> l-proposta tal-Kummissjoni lill-Parlament Ewropew u lill-Kunsill (COM(2025)0081),</w:t>
      </w:r>
    </w:p>
    <w:p w14:paraId="2FFD702D" w14:textId="77777777" w:rsidR="002A2C45" w:rsidRPr="00460CE4" w:rsidRDefault="002A2C45" w:rsidP="002A2C45">
      <w:pPr>
        <w:pStyle w:val="NormalHanging12a"/>
      </w:pPr>
      <w:r w:rsidRPr="00460CE4">
        <w:t>–</w:t>
      </w:r>
      <w:r w:rsidRPr="00460CE4">
        <w:tab/>
        <w:t xml:space="preserve">wara li </w:t>
      </w:r>
      <w:proofErr w:type="spellStart"/>
      <w:r w:rsidRPr="00460CE4">
        <w:t>kkunsidra</w:t>
      </w:r>
      <w:proofErr w:type="spellEnd"/>
      <w:r w:rsidRPr="00460CE4">
        <w:t xml:space="preserve"> l-Artikolu 294(2), l-Artikolu 50 u l-Artikolu 114 tat-Trattat dwar il-Funzjonament tal-Unjoni Ewropea, skont liema artikoli l-Kummissjoni ppreżentat il-proposta lill-Parlament (C10</w:t>
      </w:r>
      <w:r w:rsidRPr="00460CE4">
        <w:noBreakHyphen/>
        <w:t>0037/2025),</w:t>
      </w:r>
    </w:p>
    <w:p w14:paraId="28C52AD1" w14:textId="77777777" w:rsidR="002A2C45" w:rsidRPr="00460CE4" w:rsidRDefault="002A2C45" w:rsidP="002A2C45">
      <w:pPr>
        <w:pStyle w:val="NormalHanging12a"/>
      </w:pPr>
      <w:r w:rsidRPr="00460CE4">
        <w:t>–</w:t>
      </w:r>
      <w:r w:rsidRPr="00460CE4">
        <w:tab/>
        <w:t xml:space="preserve">wara li </w:t>
      </w:r>
      <w:proofErr w:type="spellStart"/>
      <w:r w:rsidRPr="00460CE4">
        <w:t>kkunsidra</w:t>
      </w:r>
      <w:proofErr w:type="spellEnd"/>
      <w:r w:rsidRPr="00460CE4">
        <w:t xml:space="preserve"> l-Artikolu 294(3) tat-Trattat dwar il-Funzjonament tal-Unjoni Ewropea,</w:t>
      </w:r>
    </w:p>
    <w:p w14:paraId="2F085DCE" w14:textId="49E98C4C" w:rsidR="002A2C45" w:rsidRDefault="002A2C45" w:rsidP="002A2C45">
      <w:pPr>
        <w:pStyle w:val="NormalHanging12a"/>
      </w:pPr>
      <w:r w:rsidRPr="00460CE4">
        <w:t>–</w:t>
      </w:r>
      <w:r w:rsidRPr="00460CE4">
        <w:tab/>
        <w:t xml:space="preserve">wara li </w:t>
      </w:r>
      <w:proofErr w:type="spellStart"/>
      <w:r w:rsidRPr="00460CE4">
        <w:t>kkunsidra</w:t>
      </w:r>
      <w:proofErr w:type="spellEnd"/>
      <w:r w:rsidRPr="00460CE4">
        <w:t xml:space="preserve"> l-opinjoni tal-Kumitat Ekonomiku u Soċjali Ewropew ta</w:t>
      </w:r>
      <w:r w:rsidR="004B71AF">
        <w:t>l-20 ta’ Awissu 2025</w:t>
      </w:r>
      <w:r w:rsidRPr="00460CE4">
        <w:rPr>
          <w:rStyle w:val="FootnoteReference"/>
        </w:rPr>
        <w:footnoteReference w:id="1"/>
      </w:r>
      <w:r w:rsidRPr="00460CE4">
        <w:t>,</w:t>
      </w:r>
    </w:p>
    <w:p w14:paraId="1FE0410C" w14:textId="6F46C682" w:rsidR="00770D6F" w:rsidRPr="00460CE4" w:rsidRDefault="00770D6F" w:rsidP="002A2C45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l-ftehim proviżorju approvat mill-kumitat responsabbli fis-sens tal-Artikolu 75(4) tar-Regoli ta' Proċedura tiegħu u l-impenn meħud mir-rappreżentant tal-Kunsill, permezz tal-ittra tal-11 ta' Diċembru 2025, li japprova l-pożizzjoni tal-Parlament</w:t>
      </w:r>
      <w:r w:rsidR="00173F91">
        <w:t xml:space="preserve"> Ewropew</w:t>
      </w:r>
      <w:r>
        <w:t>, skont l-Artikolu 294(4) tat-Trattat dwar il-Funzjonament tal-Unjoni Ewropea,</w:t>
      </w:r>
    </w:p>
    <w:p w14:paraId="6F03856B" w14:textId="77777777" w:rsidR="002A2C45" w:rsidRPr="00460CE4" w:rsidRDefault="002A2C45" w:rsidP="002A2C45">
      <w:pPr>
        <w:pStyle w:val="NormalHanging12a"/>
      </w:pPr>
      <w:r w:rsidRPr="00460CE4">
        <w:t>–</w:t>
      </w:r>
      <w:r w:rsidRPr="00460CE4">
        <w:tab/>
        <w:t xml:space="preserve">wara li </w:t>
      </w:r>
      <w:proofErr w:type="spellStart"/>
      <w:r w:rsidRPr="00460CE4">
        <w:t>kkunsidra</w:t>
      </w:r>
      <w:proofErr w:type="spellEnd"/>
      <w:r w:rsidRPr="00460CE4">
        <w:t xml:space="preserve"> l-Artikolu 60 tar-Regoli ta’ Proċedura tiegħu,</w:t>
      </w:r>
    </w:p>
    <w:p w14:paraId="7522550D" w14:textId="77777777" w:rsidR="002A2C45" w:rsidRPr="00460CE4" w:rsidRDefault="002A2C45" w:rsidP="002A2C45">
      <w:pPr>
        <w:pStyle w:val="NormalHanging12a"/>
      </w:pPr>
      <w:r w:rsidRPr="00460CE4">
        <w:t>–</w:t>
      </w:r>
      <w:r w:rsidRPr="00460CE4">
        <w:tab/>
        <w:t xml:space="preserve">wara li </w:t>
      </w:r>
      <w:proofErr w:type="spellStart"/>
      <w:r w:rsidRPr="00460CE4">
        <w:t>kkunsidra</w:t>
      </w:r>
      <w:proofErr w:type="spellEnd"/>
      <w:r w:rsidRPr="00460CE4">
        <w:t xml:space="preserve"> l-opinjonijiet tal-Kumitat għall-Affarijiet Barranin, tal-Kumitat għall-Kummerċ Internazzjonali, tal-Kumitat għall-Affarijiet Ekonomiċi u Monetarji, tal-Kumitat għall-Impjiegi u l-Affarijiet Soċjali u tal-Kumitat għall-Ambjent, il-Klima u s-</w:t>
      </w:r>
      <w:r w:rsidRPr="00460CE4">
        <w:lastRenderedPageBreak/>
        <w:t>Sikurezza tal-Ikel,</w:t>
      </w:r>
    </w:p>
    <w:p w14:paraId="4125C53D" w14:textId="77777777" w:rsidR="002A2C45" w:rsidRPr="00460CE4" w:rsidRDefault="002A2C45" w:rsidP="002A2C45">
      <w:pPr>
        <w:pStyle w:val="NormalHanging12a"/>
      </w:pPr>
      <w:r w:rsidRPr="00460CE4">
        <w:t>–</w:t>
      </w:r>
      <w:r w:rsidRPr="00460CE4">
        <w:tab/>
        <w:t xml:space="preserve">wara li </w:t>
      </w:r>
      <w:proofErr w:type="spellStart"/>
      <w:r w:rsidRPr="00460CE4">
        <w:t>kkunsidra</w:t>
      </w:r>
      <w:proofErr w:type="spellEnd"/>
      <w:r w:rsidRPr="00460CE4">
        <w:t xml:space="preserve"> r-rapport tal-Kumitat għall-Affarijiet Legali (A10-0197/2025),</w:t>
      </w:r>
    </w:p>
    <w:p w14:paraId="610C9631" w14:textId="77777777" w:rsidR="002A2C45" w:rsidRPr="00460CE4" w:rsidRDefault="002A2C45" w:rsidP="002A2C45">
      <w:pPr>
        <w:pStyle w:val="NormalHanging12a"/>
      </w:pPr>
      <w:r w:rsidRPr="00460CE4">
        <w:t>1.</w:t>
      </w:r>
      <w:r w:rsidRPr="00460CE4">
        <w:tab/>
        <w:t>Jadotta l-pożizzjoni fl-ewwel qari li tidher hawn taħt;</w:t>
      </w:r>
    </w:p>
    <w:p w14:paraId="3AEAB842" w14:textId="77777777" w:rsidR="002A2C45" w:rsidRPr="00460CE4" w:rsidRDefault="002A2C45" w:rsidP="002A2C45">
      <w:pPr>
        <w:pStyle w:val="NormalHanging12a"/>
      </w:pPr>
      <w:r w:rsidRPr="00460CE4">
        <w:t>2.</w:t>
      </w:r>
      <w:r w:rsidRPr="00460CE4">
        <w:tab/>
        <w:t xml:space="preserve">Jitlob lill-Kummissjoni </w:t>
      </w:r>
      <w:proofErr w:type="spellStart"/>
      <w:r w:rsidRPr="00460CE4">
        <w:t>terġa</w:t>
      </w:r>
      <w:proofErr w:type="spellEnd"/>
      <w:r w:rsidRPr="00460CE4">
        <w:t xml:space="preserve">’ tirreferi l-kwistjoni lill-Parlament jekk tibdel il-proposta tagħha, </w:t>
      </w:r>
      <w:proofErr w:type="spellStart"/>
      <w:r w:rsidRPr="00460CE4">
        <w:t>temendaha</w:t>
      </w:r>
      <w:proofErr w:type="spellEnd"/>
      <w:r w:rsidRPr="00460CE4">
        <w:t xml:space="preserve"> b’mod sustanzjali jew ikollha l-ħsieb li </w:t>
      </w:r>
      <w:proofErr w:type="spellStart"/>
      <w:r w:rsidRPr="00460CE4">
        <w:t>temendaha</w:t>
      </w:r>
      <w:proofErr w:type="spellEnd"/>
      <w:r w:rsidRPr="00460CE4">
        <w:t xml:space="preserve"> b’mod sustanzjali;</w:t>
      </w:r>
    </w:p>
    <w:p w14:paraId="4FA04BA0" w14:textId="77777777" w:rsidR="004B71AF" w:rsidRDefault="002A2C45" w:rsidP="002A2C45">
      <w:pPr>
        <w:pStyle w:val="NormalHanging12a"/>
        <w:sectPr w:rsidR="004B71AF" w:rsidSect="00460C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60CE4">
        <w:t>3.</w:t>
      </w:r>
      <w:r w:rsidRPr="00460CE4">
        <w:tab/>
        <w:t>Jagħti istruzzjonijiet lill-President tiegħu biex tgħaddi l-pożizzjoni tal-Parlament lill-Kunsill u lill-Kummissjoni kif ukoll lill-parlamenti nazzjonali.</w:t>
      </w:r>
    </w:p>
    <w:p w14:paraId="5A8F5056" w14:textId="77777777" w:rsidR="00331192" w:rsidRPr="008E414E" w:rsidRDefault="00331192" w:rsidP="0033119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331192">
        <w:rPr>
          <w:b/>
          <w:bCs/>
          <w:color w:val="000000"/>
        </w:rPr>
        <w:lastRenderedPageBreak/>
        <w:t>P10_TC1-COD(2025)0045</w:t>
      </w:r>
    </w:p>
    <w:p w14:paraId="554F6421" w14:textId="4DE241DC" w:rsidR="00CA1928" w:rsidRDefault="00331192" w:rsidP="00CA1928">
      <w:pPr>
        <w:rPr>
          <w:b/>
          <w:bCs/>
        </w:rPr>
      </w:pPr>
      <w:r w:rsidRPr="00CA1928">
        <w:rPr>
          <w:rFonts w:eastAsia="Calibri"/>
          <w:b/>
          <w:bCs/>
        </w:rPr>
        <w:t>Pożizzjoni tal-Parlament Ewropew adottata fl-ewwel qari tas-16</w:t>
      </w:r>
      <w:r w:rsidRPr="00CA1928">
        <w:rPr>
          <w:b/>
          <w:bCs/>
        </w:rPr>
        <w:t xml:space="preserve"> </w:t>
      </w:r>
      <w:r w:rsidRPr="00CA1928">
        <w:rPr>
          <w:rFonts w:eastAsia="Calibri"/>
          <w:b/>
          <w:bCs/>
        </w:rPr>
        <w:t>ta' Diċembru 2025 bil-ħsieb tal-adozzjoni tad-Direttiva (UE) 202</w:t>
      </w:r>
      <w:r w:rsidR="007035D7">
        <w:rPr>
          <w:rFonts w:eastAsia="Calibri"/>
          <w:b/>
          <w:bCs/>
        </w:rPr>
        <w:t>6</w:t>
      </w:r>
      <w:r w:rsidRPr="00CA1928">
        <w:rPr>
          <w:rFonts w:eastAsia="Calibri"/>
          <w:b/>
          <w:bCs/>
        </w:rPr>
        <w:t xml:space="preserve">/... </w:t>
      </w:r>
      <w:r w:rsidRPr="00CA1928">
        <w:rPr>
          <w:b/>
          <w:bCs/>
          <w:color w:val="000000"/>
          <w:szCs w:val="22"/>
        </w:rPr>
        <w:t>tal-Parlament Ewropew u tal-Kunsill</w:t>
      </w:r>
      <w:r w:rsidRPr="00CA1928">
        <w:rPr>
          <w:rFonts w:eastAsia="Calibri"/>
          <w:b/>
          <w:bCs/>
          <w:szCs w:val="22"/>
        </w:rPr>
        <w:t xml:space="preserve"> </w:t>
      </w:r>
      <w:r w:rsidR="00CA1928" w:rsidRPr="00CA1928">
        <w:rPr>
          <w:b/>
          <w:bCs/>
        </w:rPr>
        <w:t xml:space="preserve">li temenda d-Direttivi 2006/43/KE, 2013/34/UE, (UE) 2022/2464 u (UE) 2024/1760 fir-rigward ta’ ċerti rekwiżiti ta’ </w:t>
      </w:r>
      <w:proofErr w:type="spellStart"/>
      <w:r w:rsidR="00CA1928" w:rsidRPr="00CA1928">
        <w:rPr>
          <w:b/>
          <w:bCs/>
        </w:rPr>
        <w:t>rapportar</w:t>
      </w:r>
      <w:proofErr w:type="spellEnd"/>
      <w:r w:rsidR="00CA1928" w:rsidRPr="00CA1928">
        <w:rPr>
          <w:b/>
          <w:bCs/>
        </w:rPr>
        <w:t xml:space="preserve"> </w:t>
      </w:r>
      <w:proofErr w:type="spellStart"/>
      <w:r w:rsidR="00CA1928" w:rsidRPr="00CA1928">
        <w:rPr>
          <w:b/>
          <w:bCs/>
        </w:rPr>
        <w:t>korporattiv</w:t>
      </w:r>
      <w:proofErr w:type="spellEnd"/>
      <w:r w:rsidR="00CA1928" w:rsidRPr="00CA1928">
        <w:rPr>
          <w:b/>
          <w:bCs/>
        </w:rPr>
        <w:t xml:space="preserve"> dwar is-sostenibbiltà u ċerti rekwiżiti ta’ diliġenza dovuta korporattiva dwar is-sostenibbiltà </w:t>
      </w:r>
    </w:p>
    <w:p w14:paraId="675DEDB4" w14:textId="77777777" w:rsidR="007035D7" w:rsidRDefault="007035D7" w:rsidP="00CA1928">
      <w:pPr>
        <w:rPr>
          <w:b/>
          <w:bCs/>
        </w:rPr>
      </w:pPr>
    </w:p>
    <w:p w14:paraId="5E71B44D" w14:textId="2C122080" w:rsidR="007035D7" w:rsidRPr="00067850" w:rsidRDefault="007035D7" w:rsidP="007035D7"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d-Direttiva </w:t>
      </w:r>
      <w:r>
        <w:rPr>
          <w:i/>
        </w:rPr>
        <w:t xml:space="preserve">(UE) </w:t>
      </w:r>
      <w:r w:rsidRPr="004E7559">
        <w:rPr>
          <w:bCs/>
          <w:i/>
        </w:rPr>
        <w:t>20</w:t>
      </w:r>
      <w:r>
        <w:rPr>
          <w:bCs/>
          <w:i/>
        </w:rPr>
        <w:t>2</w:t>
      </w:r>
      <w:r>
        <w:rPr>
          <w:bCs/>
          <w:i/>
        </w:rPr>
        <w:t>6</w:t>
      </w:r>
      <w:r w:rsidRPr="004E7559">
        <w:rPr>
          <w:bCs/>
          <w:i/>
        </w:rPr>
        <w:t>/</w:t>
      </w:r>
      <w:r>
        <w:rPr>
          <w:bCs/>
          <w:i/>
        </w:rPr>
        <w:t>470</w:t>
      </w:r>
      <w:r w:rsidRPr="004E7559">
        <w:rPr>
          <w:i/>
        </w:rPr>
        <w:t>.)</w:t>
      </w:r>
    </w:p>
    <w:p w14:paraId="76F88633" w14:textId="77777777" w:rsidR="007035D7" w:rsidRDefault="007035D7" w:rsidP="00CA1928">
      <w:pPr>
        <w:rPr>
          <w:b/>
          <w:bCs/>
        </w:rPr>
      </w:pPr>
    </w:p>
    <w:p w14:paraId="3A153160" w14:textId="77777777" w:rsidR="007035D7" w:rsidRPr="00CA1928" w:rsidRDefault="007035D7" w:rsidP="00CA1928">
      <w:pPr>
        <w:rPr>
          <w:b/>
          <w:bCs/>
          <w:i/>
        </w:rPr>
      </w:pPr>
    </w:p>
    <w:sectPr w:rsidR="007035D7" w:rsidRPr="00CA1928" w:rsidSect="00460CE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E2439" w14:textId="77777777" w:rsidR="00CF036F" w:rsidRPr="00460CE4" w:rsidRDefault="00CF036F">
      <w:r w:rsidRPr="00460CE4">
        <w:separator/>
      </w:r>
    </w:p>
  </w:endnote>
  <w:endnote w:type="continuationSeparator" w:id="0">
    <w:p w14:paraId="494D4DFA" w14:textId="77777777" w:rsidR="00CF036F" w:rsidRPr="00460CE4" w:rsidRDefault="00CF036F">
      <w:r w:rsidRPr="00460C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D7FAB" w14:textId="77777777" w:rsidR="00064002" w:rsidRPr="00460C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8F9BA" w14:textId="77777777" w:rsidR="00064002" w:rsidRPr="00460C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C85F" w14:textId="77777777" w:rsidR="00064002" w:rsidRPr="00460C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73510" w14:textId="77777777" w:rsidR="00CF036F" w:rsidRPr="00460CE4" w:rsidRDefault="00CF036F">
      <w:r w:rsidRPr="00460CE4">
        <w:separator/>
      </w:r>
    </w:p>
  </w:footnote>
  <w:footnote w:type="continuationSeparator" w:id="0">
    <w:p w14:paraId="3FADFA05" w14:textId="77777777" w:rsidR="00CF036F" w:rsidRPr="00460CE4" w:rsidRDefault="00CF036F">
      <w:r w:rsidRPr="00460CE4">
        <w:continuationSeparator/>
      </w:r>
    </w:p>
  </w:footnote>
  <w:footnote w:id="1">
    <w:p w14:paraId="265CD37C" w14:textId="27722542" w:rsidR="002A2C45" w:rsidRPr="00331192" w:rsidRDefault="002A2C45" w:rsidP="00331192">
      <w:pPr>
        <w:pStyle w:val="FootnoteText"/>
        <w:ind w:left="567" w:hanging="567"/>
        <w:rPr>
          <w:sz w:val="24"/>
          <w:szCs w:val="24"/>
          <w:lang w:val="mt-MT"/>
        </w:rPr>
      </w:pPr>
      <w:r w:rsidRPr="00331192">
        <w:rPr>
          <w:rStyle w:val="FootnoteReference"/>
          <w:sz w:val="24"/>
          <w:szCs w:val="24"/>
          <w:lang w:val="mt-MT"/>
        </w:rPr>
        <w:footnoteRef/>
      </w:r>
      <w:r w:rsidR="00460CE4" w:rsidRPr="00331192">
        <w:rPr>
          <w:sz w:val="24"/>
          <w:szCs w:val="24"/>
          <w:lang w:val="mt-MT"/>
        </w:rPr>
        <w:t xml:space="preserve"> </w:t>
      </w:r>
      <w:r w:rsidR="00460CE4" w:rsidRPr="00331192">
        <w:rPr>
          <w:sz w:val="24"/>
          <w:szCs w:val="24"/>
          <w:lang w:val="mt-MT"/>
        </w:rPr>
        <w:tab/>
      </w:r>
      <w:r w:rsidRPr="00331192">
        <w:rPr>
          <w:sz w:val="24"/>
          <w:szCs w:val="24"/>
          <w:lang w:val="mt-MT"/>
        </w:rPr>
        <w:t>ĠU C, C/</w:t>
      </w:r>
      <w:r w:rsidR="004B71AF" w:rsidRPr="00331192">
        <w:rPr>
          <w:sz w:val="24"/>
          <w:szCs w:val="24"/>
          <w:lang w:val="mt-MT"/>
        </w:rPr>
        <w:t>2025</w:t>
      </w:r>
      <w:r w:rsidRPr="00331192">
        <w:rPr>
          <w:sz w:val="24"/>
          <w:szCs w:val="24"/>
          <w:lang w:val="mt-MT"/>
        </w:rPr>
        <w:t>/</w:t>
      </w:r>
      <w:r w:rsidR="004B71AF" w:rsidRPr="00331192">
        <w:rPr>
          <w:sz w:val="24"/>
          <w:szCs w:val="24"/>
          <w:lang w:val="mt-MT"/>
        </w:rPr>
        <w:t>4212</w:t>
      </w:r>
      <w:r w:rsidRPr="00331192">
        <w:rPr>
          <w:sz w:val="24"/>
          <w:szCs w:val="24"/>
          <w:lang w:val="mt-MT"/>
        </w:rPr>
        <w:t xml:space="preserve">, </w:t>
      </w:r>
      <w:r w:rsidR="004B71AF" w:rsidRPr="00331192">
        <w:rPr>
          <w:sz w:val="24"/>
          <w:szCs w:val="24"/>
          <w:lang w:val="mt-MT"/>
        </w:rPr>
        <w:t>20.8.2025</w:t>
      </w:r>
      <w:r w:rsidRPr="00331192">
        <w:rPr>
          <w:sz w:val="24"/>
          <w:szCs w:val="24"/>
          <w:lang w:val="mt-MT"/>
        </w:rPr>
        <w:t xml:space="preserve">, ELI: </w:t>
      </w:r>
      <w:hyperlink r:id="rId1" w:history="1">
        <w:r w:rsidR="004B71AF" w:rsidRPr="00331192">
          <w:rPr>
            <w:rStyle w:val="Hyperlink"/>
            <w:sz w:val="24"/>
            <w:szCs w:val="24"/>
            <w:lang w:val="mt-MT"/>
          </w:rPr>
          <w:t>http://data.europa.eu/eli/C/2025/4212/oj</w:t>
        </w:r>
      </w:hyperlink>
      <w:r w:rsidRPr="00331192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64FE4" w14:textId="77777777" w:rsidR="00064002" w:rsidRPr="00460C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49AC8" w14:textId="77777777" w:rsidR="00064002" w:rsidRPr="00460C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FB2CD" w14:textId="77777777" w:rsidR="00064002" w:rsidRPr="00460C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E613083"/>
    <w:multiLevelType w:val="hybridMultilevel"/>
    <w:tmpl w:val="5A0A9A16"/>
    <w:lvl w:ilvl="0" w:tplc="375C32E2">
      <w:start w:val="1"/>
      <w:numFmt w:val="lowerLetter"/>
      <w:lvlText w:val="(%1)"/>
      <w:lvlJc w:val="left"/>
      <w:pPr>
        <w:ind w:left="1777" w:hanging="360"/>
      </w:pPr>
      <w:rPr>
        <w:rFonts w:eastAsia="Times New Roman"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7" w:hanging="360"/>
      </w:pPr>
    </w:lvl>
    <w:lvl w:ilvl="2" w:tplc="080C001B" w:tentative="1">
      <w:start w:val="1"/>
      <w:numFmt w:val="lowerRoman"/>
      <w:lvlText w:val="%3."/>
      <w:lvlJc w:val="right"/>
      <w:pPr>
        <w:ind w:left="3217" w:hanging="180"/>
      </w:pPr>
    </w:lvl>
    <w:lvl w:ilvl="3" w:tplc="080C000F" w:tentative="1">
      <w:start w:val="1"/>
      <w:numFmt w:val="decimal"/>
      <w:lvlText w:val="%4."/>
      <w:lvlJc w:val="left"/>
      <w:pPr>
        <w:ind w:left="3937" w:hanging="360"/>
      </w:pPr>
    </w:lvl>
    <w:lvl w:ilvl="4" w:tplc="080C0019" w:tentative="1">
      <w:start w:val="1"/>
      <w:numFmt w:val="lowerLetter"/>
      <w:lvlText w:val="%5."/>
      <w:lvlJc w:val="left"/>
      <w:pPr>
        <w:ind w:left="4657" w:hanging="360"/>
      </w:pPr>
    </w:lvl>
    <w:lvl w:ilvl="5" w:tplc="080C001B" w:tentative="1">
      <w:start w:val="1"/>
      <w:numFmt w:val="lowerRoman"/>
      <w:lvlText w:val="%6."/>
      <w:lvlJc w:val="right"/>
      <w:pPr>
        <w:ind w:left="5377" w:hanging="180"/>
      </w:pPr>
    </w:lvl>
    <w:lvl w:ilvl="6" w:tplc="080C000F" w:tentative="1">
      <w:start w:val="1"/>
      <w:numFmt w:val="decimal"/>
      <w:lvlText w:val="%7."/>
      <w:lvlJc w:val="left"/>
      <w:pPr>
        <w:ind w:left="6097" w:hanging="360"/>
      </w:pPr>
    </w:lvl>
    <w:lvl w:ilvl="7" w:tplc="080C0019" w:tentative="1">
      <w:start w:val="1"/>
      <w:numFmt w:val="lowerLetter"/>
      <w:lvlText w:val="%8."/>
      <w:lvlJc w:val="left"/>
      <w:pPr>
        <w:ind w:left="6817" w:hanging="360"/>
      </w:pPr>
    </w:lvl>
    <w:lvl w:ilvl="8" w:tplc="080C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 w15:restartNumberingAfterBreak="0">
    <w:nsid w:val="53F2361C"/>
    <w:multiLevelType w:val="hybridMultilevel"/>
    <w:tmpl w:val="64E06660"/>
    <w:lvl w:ilvl="0" w:tplc="ACCC9C8E">
      <w:start w:val="1"/>
      <w:numFmt w:val="lowerLetter"/>
      <w:lvlText w:val="(%1)"/>
      <w:lvlJc w:val="left"/>
      <w:pPr>
        <w:ind w:left="1548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3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2E441D"/>
    <w:multiLevelType w:val="hybridMultilevel"/>
    <w:tmpl w:val="ADC6F684"/>
    <w:lvl w:ilvl="0" w:tplc="C9AE8BA4">
      <w:start w:val="1"/>
      <w:numFmt w:val="lowerLetter"/>
      <w:lvlText w:val="(%1)"/>
      <w:lvlJc w:val="left"/>
      <w:pPr>
        <w:ind w:left="1210" w:hanging="360"/>
      </w:pPr>
      <w:rPr>
        <w:rFonts w:eastAsia="Times New Roman"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0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1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2" w15:restartNumberingAfterBreak="0">
    <w:nsid w:val="7DFE5602"/>
    <w:multiLevelType w:val="hybridMultilevel"/>
    <w:tmpl w:val="DDEC2AD4"/>
    <w:lvl w:ilvl="0" w:tplc="5784FA1E">
      <w:start w:val="9"/>
      <w:numFmt w:val="lowerLetter"/>
      <w:lvlText w:val="(%1)"/>
      <w:lvlJc w:val="left"/>
      <w:pPr>
        <w:ind w:left="1353" w:hanging="360"/>
      </w:pPr>
      <w:rPr>
        <w:rFonts w:eastAsia="Times New Roman"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073" w:hanging="360"/>
      </w:pPr>
    </w:lvl>
    <w:lvl w:ilvl="2" w:tplc="080C001B" w:tentative="1">
      <w:start w:val="1"/>
      <w:numFmt w:val="lowerRoman"/>
      <w:lvlText w:val="%3."/>
      <w:lvlJc w:val="right"/>
      <w:pPr>
        <w:ind w:left="2793" w:hanging="180"/>
      </w:pPr>
    </w:lvl>
    <w:lvl w:ilvl="3" w:tplc="080C000F" w:tentative="1">
      <w:start w:val="1"/>
      <w:numFmt w:val="decimal"/>
      <w:lvlText w:val="%4."/>
      <w:lvlJc w:val="left"/>
      <w:pPr>
        <w:ind w:left="3513" w:hanging="360"/>
      </w:pPr>
    </w:lvl>
    <w:lvl w:ilvl="4" w:tplc="080C0019" w:tentative="1">
      <w:start w:val="1"/>
      <w:numFmt w:val="lowerLetter"/>
      <w:lvlText w:val="%5."/>
      <w:lvlJc w:val="left"/>
      <w:pPr>
        <w:ind w:left="4233" w:hanging="360"/>
      </w:pPr>
    </w:lvl>
    <w:lvl w:ilvl="5" w:tplc="080C001B" w:tentative="1">
      <w:start w:val="1"/>
      <w:numFmt w:val="lowerRoman"/>
      <w:lvlText w:val="%6."/>
      <w:lvlJc w:val="right"/>
      <w:pPr>
        <w:ind w:left="4953" w:hanging="180"/>
      </w:pPr>
    </w:lvl>
    <w:lvl w:ilvl="6" w:tplc="080C000F" w:tentative="1">
      <w:start w:val="1"/>
      <w:numFmt w:val="decimal"/>
      <w:lvlText w:val="%7."/>
      <w:lvlJc w:val="left"/>
      <w:pPr>
        <w:ind w:left="5673" w:hanging="360"/>
      </w:pPr>
    </w:lvl>
    <w:lvl w:ilvl="7" w:tplc="080C0019" w:tentative="1">
      <w:start w:val="1"/>
      <w:numFmt w:val="lowerLetter"/>
      <w:lvlText w:val="%8."/>
      <w:lvlJc w:val="left"/>
      <w:pPr>
        <w:ind w:left="6393" w:hanging="360"/>
      </w:pPr>
    </w:lvl>
    <w:lvl w:ilvl="8" w:tplc="080C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552036561">
    <w:abstractNumId w:val="2"/>
  </w:num>
  <w:num w:numId="2" w16cid:durableId="92630662">
    <w:abstractNumId w:val="14"/>
  </w:num>
  <w:num w:numId="3" w16cid:durableId="1307466308">
    <w:abstractNumId w:val="0"/>
  </w:num>
  <w:num w:numId="4" w16cid:durableId="567542593">
    <w:abstractNumId w:val="11"/>
  </w:num>
  <w:num w:numId="5" w16cid:durableId="468937464">
    <w:abstractNumId w:val="18"/>
  </w:num>
  <w:num w:numId="6" w16cid:durableId="419840491">
    <w:abstractNumId w:val="10"/>
  </w:num>
  <w:num w:numId="7" w16cid:durableId="1468821640">
    <w:abstractNumId w:val="7"/>
  </w:num>
  <w:num w:numId="8" w16cid:durableId="1006633821">
    <w:abstractNumId w:val="30"/>
  </w:num>
  <w:num w:numId="9" w16cid:durableId="128519428">
    <w:abstractNumId w:val="35"/>
  </w:num>
  <w:num w:numId="10" w16cid:durableId="397554397">
    <w:abstractNumId w:val="31"/>
  </w:num>
  <w:num w:numId="11" w16cid:durableId="1046486109">
    <w:abstractNumId w:val="1"/>
  </w:num>
  <w:num w:numId="12" w16cid:durableId="794643710">
    <w:abstractNumId w:val="32"/>
  </w:num>
  <w:num w:numId="13" w16cid:durableId="2146312979">
    <w:abstractNumId w:val="28"/>
  </w:num>
  <w:num w:numId="14" w16cid:durableId="2045208649">
    <w:abstractNumId w:val="3"/>
  </w:num>
  <w:num w:numId="15" w16cid:durableId="288975442">
    <w:abstractNumId w:val="34"/>
  </w:num>
  <w:num w:numId="16" w16cid:durableId="1456873556">
    <w:abstractNumId w:val="39"/>
  </w:num>
  <w:num w:numId="17" w16cid:durableId="2111467445">
    <w:abstractNumId w:val="24"/>
  </w:num>
  <w:num w:numId="18" w16cid:durableId="1665891583">
    <w:abstractNumId w:val="33"/>
  </w:num>
  <w:num w:numId="19" w16cid:durableId="638341248">
    <w:abstractNumId w:val="29"/>
  </w:num>
  <w:num w:numId="20" w16cid:durableId="1515917783">
    <w:abstractNumId w:val="26"/>
  </w:num>
  <w:num w:numId="21" w16cid:durableId="674577510">
    <w:abstractNumId w:val="12"/>
  </w:num>
  <w:num w:numId="22" w16cid:durableId="1179271976">
    <w:abstractNumId w:val="6"/>
  </w:num>
  <w:num w:numId="23" w16cid:durableId="1230767757">
    <w:abstractNumId w:val="5"/>
  </w:num>
  <w:num w:numId="24" w16cid:durableId="2047022713">
    <w:abstractNumId w:val="19"/>
  </w:num>
  <w:num w:numId="25" w16cid:durableId="2004619729">
    <w:abstractNumId w:val="23"/>
  </w:num>
  <w:num w:numId="26" w16cid:durableId="1464152385">
    <w:abstractNumId w:val="21"/>
  </w:num>
  <w:num w:numId="27" w16cid:durableId="405152505">
    <w:abstractNumId w:val="40"/>
  </w:num>
  <w:num w:numId="28" w16cid:durableId="299963359">
    <w:abstractNumId w:val="15"/>
  </w:num>
  <w:num w:numId="29" w16cid:durableId="232548307">
    <w:abstractNumId w:val="16"/>
  </w:num>
  <w:num w:numId="30" w16cid:durableId="1631327944">
    <w:abstractNumId w:val="17"/>
  </w:num>
  <w:num w:numId="31" w16cid:durableId="1948272343">
    <w:abstractNumId w:val="20"/>
  </w:num>
  <w:num w:numId="32" w16cid:durableId="1325275986">
    <w:abstractNumId w:val="8"/>
  </w:num>
  <w:num w:numId="33" w16cid:durableId="72089652">
    <w:abstractNumId w:val="41"/>
  </w:num>
  <w:num w:numId="34" w16cid:durableId="440535980">
    <w:abstractNumId w:val="13"/>
  </w:num>
  <w:num w:numId="35" w16cid:durableId="1528057680">
    <w:abstractNumId w:val="27"/>
  </w:num>
  <w:num w:numId="36" w16cid:durableId="1138108179">
    <w:abstractNumId w:val="37"/>
  </w:num>
  <w:num w:numId="37" w16cid:durableId="229847272">
    <w:abstractNumId w:val="36"/>
  </w:num>
  <w:num w:numId="38" w16cid:durableId="694695438">
    <w:abstractNumId w:val="38"/>
  </w:num>
  <w:num w:numId="39" w16cid:durableId="957762499">
    <w:abstractNumId w:val="4"/>
  </w:num>
  <w:num w:numId="40" w16cid:durableId="337538289">
    <w:abstractNumId w:val="9"/>
  </w:num>
  <w:num w:numId="41" w16cid:durableId="958224498">
    <w:abstractNumId w:val="22"/>
  </w:num>
  <w:num w:numId="42" w16cid:durableId="1647197292">
    <w:abstractNumId w:val="42"/>
  </w:num>
  <w:num w:numId="43" w16cid:durableId="1594237432">
    <w:abstractNumId w:val="2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MT"/>
    <w:docVar w:name="dvnumam" w:val="0"/>
    <w:docVar w:name="dvpe" w:val="774.282"/>
    <w:docVar w:name="dvrapporteur" w:val="Rapporteur: "/>
    <w:docVar w:name="dvstar" w:val="***I"/>
    <w:docVar w:name="dvtitre" w:val="Riżoluzzjoni leġiżlattiva tal-Parlament Ewropew tas-16 ta; Diċembru 2025 dwar il-proposta għal direttiva tal-Parlament Ewropew u tal-Kunsill li temenda d-Direttivi 2006/43/KE, 2013/34/UE, (UE) 2022/2464 u (UE) 2024/1760 fir-rigward ta’ ċerti rekwiżiti ta’ rapportar u ta’ diliġenza dovuta korporattivi dwar is-sostenibbiltà(COM(2025)0081 – C10-0037/2025 – 2025/0045(COD))"/>
  </w:docVars>
  <w:rsids>
    <w:rsidRoot w:val="00CF036F"/>
    <w:rsid w:val="00002272"/>
    <w:rsid w:val="000344FA"/>
    <w:rsid w:val="00064002"/>
    <w:rsid w:val="000677B9"/>
    <w:rsid w:val="000831BA"/>
    <w:rsid w:val="000A42CC"/>
    <w:rsid w:val="000E7DD9"/>
    <w:rsid w:val="000E7F71"/>
    <w:rsid w:val="0010095E"/>
    <w:rsid w:val="00125B37"/>
    <w:rsid w:val="00173F91"/>
    <w:rsid w:val="00187494"/>
    <w:rsid w:val="001F32AE"/>
    <w:rsid w:val="002767FF"/>
    <w:rsid w:val="002A2C45"/>
    <w:rsid w:val="002B18FE"/>
    <w:rsid w:val="002B5493"/>
    <w:rsid w:val="00331192"/>
    <w:rsid w:val="00343214"/>
    <w:rsid w:val="00361C00"/>
    <w:rsid w:val="00395FA1"/>
    <w:rsid w:val="003E15D4"/>
    <w:rsid w:val="00411CCE"/>
    <w:rsid w:val="0041666E"/>
    <w:rsid w:val="00421060"/>
    <w:rsid w:val="004364F5"/>
    <w:rsid w:val="00455480"/>
    <w:rsid w:val="00460CE4"/>
    <w:rsid w:val="00471C19"/>
    <w:rsid w:val="004867E3"/>
    <w:rsid w:val="00494A28"/>
    <w:rsid w:val="004B71A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0217"/>
    <w:rsid w:val="006E7392"/>
    <w:rsid w:val="006F74FA"/>
    <w:rsid w:val="007035D7"/>
    <w:rsid w:val="0072688A"/>
    <w:rsid w:val="00731ADD"/>
    <w:rsid w:val="00734777"/>
    <w:rsid w:val="00747932"/>
    <w:rsid w:val="00751A4A"/>
    <w:rsid w:val="00756632"/>
    <w:rsid w:val="00762C74"/>
    <w:rsid w:val="00770D6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938"/>
    <w:rsid w:val="00981893"/>
    <w:rsid w:val="00A1687D"/>
    <w:rsid w:val="00A43E52"/>
    <w:rsid w:val="00A4678D"/>
    <w:rsid w:val="00A778C7"/>
    <w:rsid w:val="00A8576F"/>
    <w:rsid w:val="00AA6A1A"/>
    <w:rsid w:val="00AB08A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D01"/>
    <w:rsid w:val="00C23CD4"/>
    <w:rsid w:val="00C61C0C"/>
    <w:rsid w:val="00C941CB"/>
    <w:rsid w:val="00CA1928"/>
    <w:rsid w:val="00CC2357"/>
    <w:rsid w:val="00CF036F"/>
    <w:rsid w:val="00CF071A"/>
    <w:rsid w:val="00D058B8"/>
    <w:rsid w:val="00D56C11"/>
    <w:rsid w:val="00D834A0"/>
    <w:rsid w:val="00D872DF"/>
    <w:rsid w:val="00D91E21"/>
    <w:rsid w:val="00DA7FCD"/>
    <w:rsid w:val="00DF0CEF"/>
    <w:rsid w:val="00E365E1"/>
    <w:rsid w:val="00E820A4"/>
    <w:rsid w:val="00EA65B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F81FE"/>
  <w15:chartTrackingRefBased/>
  <w15:docId w15:val="{F7E996CC-F6BF-468D-B254-C4ABB472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A2C4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C4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C4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C4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C4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C45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C45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C45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C45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2A2C4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A2C4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A2C4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A2C45"/>
    <w:pPr>
      <w:spacing w:after="120"/>
    </w:pPr>
  </w:style>
  <w:style w:type="paragraph" w:customStyle="1" w:styleId="PageHeading">
    <w:name w:val="PageHeading"/>
    <w:basedOn w:val="Normal"/>
    <w:rsid w:val="002A2C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A2C45"/>
    <w:rPr>
      <w:b/>
    </w:rPr>
  </w:style>
  <w:style w:type="paragraph" w:customStyle="1" w:styleId="NormalBold12a">
    <w:name w:val="NormalBold12a"/>
    <w:basedOn w:val="Normal"/>
    <w:rsid w:val="002A2C45"/>
    <w:pPr>
      <w:spacing w:after="240"/>
    </w:pPr>
    <w:rPr>
      <w:b/>
    </w:rPr>
  </w:style>
  <w:style w:type="paragraph" w:customStyle="1" w:styleId="AmJustText">
    <w:name w:val="AmJustText"/>
    <w:basedOn w:val="Normal"/>
    <w:rsid w:val="002A2C4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A2C4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A2C45"/>
    <w:pPr>
      <w:spacing w:after="480"/>
      <w:ind w:left="1417"/>
    </w:pPr>
  </w:style>
  <w:style w:type="paragraph" w:customStyle="1" w:styleId="CoverNormal">
    <w:name w:val="CoverNormal"/>
    <w:basedOn w:val="Normal"/>
    <w:rsid w:val="002A2C45"/>
    <w:pPr>
      <w:ind w:left="1418"/>
    </w:pPr>
  </w:style>
  <w:style w:type="paragraph" w:customStyle="1" w:styleId="AmCrossRef">
    <w:name w:val="AmCrossRef"/>
    <w:basedOn w:val="Normal"/>
    <w:rsid w:val="002A2C4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A2C4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2A2C4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A2C4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A2C4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A2C4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A2C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2C45"/>
    <w:rPr>
      <w:sz w:val="24"/>
      <w:lang w:val="mt-MT"/>
    </w:rPr>
  </w:style>
  <w:style w:type="paragraph" w:customStyle="1" w:styleId="AmOrLang">
    <w:name w:val="AmOrLang"/>
    <w:basedOn w:val="Normal"/>
    <w:rsid w:val="002A2C4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A2C4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A2C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A2C45"/>
    <w:pPr>
      <w:spacing w:before="240"/>
    </w:pPr>
    <w:rPr>
      <w:b/>
    </w:rPr>
  </w:style>
  <w:style w:type="paragraph" w:customStyle="1" w:styleId="EPBody">
    <w:name w:val="EPBody"/>
    <w:basedOn w:val="Normal"/>
    <w:rsid w:val="002A2C4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A2C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A2C45"/>
    <w:pPr>
      <w:spacing w:before="480" w:after="240"/>
    </w:pPr>
  </w:style>
  <w:style w:type="paragraph" w:customStyle="1" w:styleId="Lgendesigne">
    <w:name w:val="Légende signe"/>
    <w:basedOn w:val="Normal"/>
    <w:rsid w:val="002A2C4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A2C4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2A2C45"/>
    <w:pPr>
      <w:ind w:left="0" w:firstLine="0"/>
    </w:pPr>
  </w:style>
  <w:style w:type="character" w:styleId="Hyperlink">
    <w:name w:val="Hyperlink"/>
    <w:basedOn w:val="DefaultParagraphFont"/>
    <w:unhideWhenUsed/>
    <w:rsid w:val="002A2C45"/>
    <w:rPr>
      <w:color w:val="0000FF"/>
      <w:u w:val="single"/>
    </w:rPr>
  </w:style>
  <w:style w:type="character" w:customStyle="1" w:styleId="NormalBoldChar">
    <w:name w:val="NormalBold Char"/>
    <w:basedOn w:val="DefaultParagraphFont"/>
    <w:link w:val="NormalBold"/>
    <w:rsid w:val="002A2C45"/>
    <w:rPr>
      <w:b/>
      <w:sz w:val="24"/>
      <w:lang w:val="mt-MT"/>
    </w:rPr>
  </w:style>
  <w:style w:type="paragraph" w:customStyle="1" w:styleId="EntPE">
    <w:name w:val="EntPE"/>
    <w:basedOn w:val="Normal12"/>
    <w:rsid w:val="002A2C4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A2C45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A2C45"/>
    <w:rPr>
      <w:noProof/>
      <w:sz w:val="24"/>
      <w:lang w:val="mt-MT"/>
    </w:rPr>
  </w:style>
  <w:style w:type="paragraph" w:customStyle="1" w:styleId="CommitteeAM">
    <w:name w:val="CommitteeAM"/>
    <w:basedOn w:val="Normal"/>
    <w:rsid w:val="002A2C4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A2C4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A2C4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A2C4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A2C45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2A2C4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A2C45"/>
    <w:rPr>
      <w:sz w:val="24"/>
      <w:lang w:val="mt-MT"/>
    </w:rPr>
  </w:style>
  <w:style w:type="paragraph" w:customStyle="1" w:styleId="Normal12Italic">
    <w:name w:val="Normal12Italic"/>
    <w:basedOn w:val="Normal12"/>
    <w:rsid w:val="002A2C45"/>
    <w:rPr>
      <w:i/>
    </w:rPr>
  </w:style>
  <w:style w:type="paragraph" w:customStyle="1" w:styleId="JustificationTitle">
    <w:name w:val="JustificationTitle"/>
    <w:basedOn w:val="Normal"/>
    <w:next w:val="Normal12"/>
    <w:rsid w:val="002A2C4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A2C4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A2C4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A2C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A2C45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2A2C45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mt-MT"/>
    </w:rPr>
  </w:style>
  <w:style w:type="character" w:customStyle="1" w:styleId="FooterChar">
    <w:name w:val="Footer Char"/>
    <w:basedOn w:val="DefaultParagraphFont"/>
    <w:link w:val="Footer"/>
    <w:uiPriority w:val="99"/>
    <w:rsid w:val="002A2C45"/>
    <w:rPr>
      <w:sz w:val="22"/>
      <w:lang w:val="mt-MT"/>
    </w:rPr>
  </w:style>
  <w:style w:type="paragraph" w:customStyle="1" w:styleId="Footer2">
    <w:name w:val="Footer2"/>
    <w:basedOn w:val="Normal12"/>
    <w:rsid w:val="002A2C4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A2C45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2A2C45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2C45"/>
    <w:rPr>
      <w:lang w:val="mt-MT"/>
    </w:rPr>
  </w:style>
  <w:style w:type="character" w:styleId="CommentReference">
    <w:name w:val="annotation reference"/>
    <w:uiPriority w:val="99"/>
    <w:unhideWhenUsed/>
    <w:rsid w:val="002A2C45"/>
    <w:rPr>
      <w:rFonts w:ascii="Times New Roman" w:hAnsi="Times New Roman" w:cs="Times New Roman" w:hint="default"/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2A2C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2C45"/>
    <w:rPr>
      <w:rFonts w:ascii="Segoe UI" w:hAnsi="Segoe UI" w:cs="Segoe UI"/>
      <w:sz w:val="18"/>
      <w:szCs w:val="18"/>
      <w:lang w:val="mt-MT"/>
    </w:rPr>
  </w:style>
  <w:style w:type="character" w:customStyle="1" w:styleId="highlight-diff">
    <w:name w:val="highlight-diff"/>
    <w:basedOn w:val="DefaultParagraphFont"/>
    <w:rsid w:val="002A2C45"/>
  </w:style>
  <w:style w:type="character" w:styleId="FollowedHyperlink">
    <w:name w:val="FollowedHyperlink"/>
    <w:basedOn w:val="DefaultParagraphFont"/>
    <w:uiPriority w:val="99"/>
    <w:unhideWhenUsed/>
    <w:rsid w:val="002A2C45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A2C45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A2C45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A2C45"/>
    <w:rPr>
      <w:b/>
      <w:bCs/>
      <w:lang w:val="mt-MT"/>
    </w:rPr>
  </w:style>
  <w:style w:type="paragraph" w:styleId="Revision">
    <w:name w:val="Revision"/>
    <w:uiPriority w:val="99"/>
    <w:semiHidden/>
    <w:rsid w:val="002A2C45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2A2C45"/>
    <w:rPr>
      <w:i/>
      <w:iCs/>
    </w:rPr>
  </w:style>
  <w:style w:type="paragraph" w:customStyle="1" w:styleId="Normal24a">
    <w:name w:val="Normal24a"/>
    <w:basedOn w:val="Normal"/>
    <w:link w:val="Normal24aChar"/>
    <w:rsid w:val="002A2C45"/>
    <w:pPr>
      <w:spacing w:after="480"/>
    </w:pPr>
    <w:rPr>
      <w:rFonts w:ascii="Arial" w:hAnsi="Arial" w:cs="Arial"/>
    </w:rPr>
  </w:style>
  <w:style w:type="paragraph" w:customStyle="1" w:styleId="NormalBoldCenter">
    <w:name w:val="NormalBoldCenter"/>
    <w:basedOn w:val="Normal"/>
    <w:rsid w:val="002A2C45"/>
    <w:pPr>
      <w:jc w:val="center"/>
    </w:pPr>
    <w:rPr>
      <w:b/>
    </w:rPr>
  </w:style>
  <w:style w:type="paragraph" w:customStyle="1" w:styleId="Footprint12b">
    <w:name w:val="Footprint12b"/>
    <w:basedOn w:val="Normal"/>
    <w:rsid w:val="002A2C4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A2C45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A2C45"/>
    <w:rPr>
      <w:color w:val="605E5C"/>
      <w:shd w:val="clear" w:color="auto" w:fill="E1DFDD"/>
    </w:rPr>
  </w:style>
  <w:style w:type="character" w:customStyle="1" w:styleId="CoverReferenceChar">
    <w:name w:val="CoverReference Char"/>
    <w:basedOn w:val="DefaultParagraphFont"/>
    <w:link w:val="CoverReference"/>
    <w:rsid w:val="002A2C45"/>
    <w:rPr>
      <w:rFonts w:ascii="Arial" w:hAnsi="Arial" w:cs="Arial"/>
      <w:b/>
      <w:sz w:val="24"/>
      <w:lang w:val="mt-MT"/>
    </w:rPr>
  </w:style>
  <w:style w:type="paragraph" w:customStyle="1" w:styleId="Normal12a">
    <w:name w:val="Normal12a"/>
    <w:basedOn w:val="Normal"/>
    <w:rsid w:val="002A2C45"/>
    <w:pPr>
      <w:spacing w:after="240"/>
    </w:pPr>
  </w:style>
  <w:style w:type="paragraph" w:customStyle="1" w:styleId="PageHeadingNotTOC">
    <w:name w:val="PageHeadingNotTOC"/>
    <w:basedOn w:val="Normal"/>
    <w:rsid w:val="002A2C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A2C4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2A2C4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A2C4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A2C4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A2C45"/>
    <w:pPr>
      <w:spacing w:before="120" w:after="120"/>
    </w:pPr>
    <w:rPr>
      <w:snapToGrid w:val="0"/>
      <w:sz w:val="16"/>
      <w:lang w:eastAsia="en-US"/>
    </w:rPr>
  </w:style>
  <w:style w:type="character" w:customStyle="1" w:styleId="Normal24aChar">
    <w:name w:val="Normal24a Char"/>
    <w:basedOn w:val="CoverReferenceChar"/>
    <w:link w:val="Normal24a"/>
    <w:rsid w:val="002A2C45"/>
    <w:rPr>
      <w:rFonts w:ascii="Arial" w:hAnsi="Arial" w:cs="Arial"/>
      <w:b w:val="0"/>
      <w:sz w:val="24"/>
      <w:lang w:val="mt-MT"/>
    </w:rPr>
  </w:style>
  <w:style w:type="paragraph" w:customStyle="1" w:styleId="Text1">
    <w:name w:val="Text 1"/>
    <w:basedOn w:val="Normal"/>
    <w:rsid w:val="002A2C4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2A2C45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2A2C45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2A2C45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2A2C45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2A2C45"/>
    <w:pPr>
      <w:spacing w:after="240"/>
      <w:jc w:val="center"/>
    </w:pPr>
  </w:style>
  <w:style w:type="paragraph" w:customStyle="1" w:styleId="EPFooterLandscape">
    <w:name w:val="EPFooterLandscape"/>
    <w:rsid w:val="002A2C45"/>
    <w:pPr>
      <w:widowControl w:val="0"/>
      <w:tabs>
        <w:tab w:val="center" w:pos="6800"/>
        <w:tab w:val="right" w:pos="15020"/>
      </w:tabs>
    </w:pPr>
    <w:rPr>
      <w:sz w:val="22"/>
      <w:lang w:val="mt-MT" w:eastAsia="en-US"/>
    </w:rPr>
  </w:style>
  <w:style w:type="paragraph" w:customStyle="1" w:styleId="EPFooter2Landscape">
    <w:name w:val="EPFooter2Landscape"/>
    <w:rsid w:val="002A2C45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mt-MT" w:eastAsia="en-US"/>
    </w:rPr>
  </w:style>
  <w:style w:type="character" w:customStyle="1" w:styleId="EPFooter2Motto">
    <w:name w:val="EPFooter2Motto"/>
    <w:rsid w:val="002A2C45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2A2C45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2A2C45"/>
    <w:rPr>
      <w:color w:val="FFFFFF"/>
      <w:sz w:val="22"/>
      <w:shd w:val="clear" w:color="auto" w:fill="000000"/>
    </w:rPr>
  </w:style>
  <w:style w:type="character" w:customStyle="1" w:styleId="FooterChar1">
    <w:name w:val="Footer Char1"/>
    <w:basedOn w:val="DefaultParagraphFont"/>
    <w:uiPriority w:val="99"/>
    <w:semiHidden/>
    <w:rsid w:val="002A2C45"/>
    <w:rPr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A2C45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A2C45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C45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A2C45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2A2C45"/>
    <w:rPr>
      <w:b/>
      <w:bCs/>
    </w:rPr>
  </w:style>
  <w:style w:type="paragraph" w:styleId="NoSpacing">
    <w:name w:val="No Spacing"/>
    <w:basedOn w:val="Normal"/>
    <w:uiPriority w:val="1"/>
    <w:qFormat/>
    <w:rsid w:val="002A2C45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1st level - Bullet List Paragraph,2,3 Txt tabla,Lettre d'introduction,List Paragraph1,Lista multicolor - Énfasis 11,Listaszerű bekezdés1,Medium Grid 1 - Accent 21,Paragrafo elenco,Task Body,Viñetas (Inicio Parrafo),Zerrenda-paragrafoa"/>
    <w:basedOn w:val="Normal"/>
    <w:link w:val="ListParagraphChar"/>
    <w:uiPriority w:val="34"/>
    <w:qFormat/>
    <w:rsid w:val="002A2C4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A2C45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A2C45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C45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C45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2A2C4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A2C4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A2C4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A2C4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A2C45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A2C45"/>
  </w:style>
  <w:style w:type="character" w:customStyle="1" w:styleId="CommentTextChar1">
    <w:name w:val="Comment Text Char1"/>
    <w:basedOn w:val="DefaultParagraphFont"/>
    <w:uiPriority w:val="99"/>
    <w:semiHidden/>
    <w:rsid w:val="002A2C45"/>
    <w:rPr>
      <w:rFonts w:ascii="Times New Roman" w:hAnsi="Times New Roman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2A2C45"/>
    <w:rPr>
      <w:rFonts w:ascii="Times New Roman" w:hAnsi="Times New Roman"/>
      <w:b/>
      <w:bCs/>
      <w:sz w:val="20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2A2C45"/>
    <w:rPr>
      <w:rFonts w:ascii="Segoe UI" w:hAnsi="Segoe UI" w:cs="Segoe UI"/>
      <w:sz w:val="18"/>
      <w:szCs w:val="18"/>
    </w:rPr>
  </w:style>
  <w:style w:type="character" w:customStyle="1" w:styleId="FootnoteTextChar1">
    <w:name w:val="Footnote Text Char1"/>
    <w:basedOn w:val="DefaultParagraphFont"/>
    <w:uiPriority w:val="99"/>
    <w:semiHidden/>
    <w:rsid w:val="002A2C45"/>
    <w:rPr>
      <w:rFonts w:ascii="Times New Roman" w:hAnsi="Times New Roman"/>
      <w:sz w:val="20"/>
      <w:szCs w:val="20"/>
    </w:rPr>
  </w:style>
  <w:style w:type="character" w:customStyle="1" w:styleId="Hyperlink1">
    <w:name w:val="Hyperlink1"/>
    <w:basedOn w:val="DefaultParagraphFont"/>
    <w:unhideWhenUsed/>
    <w:rsid w:val="002A2C45"/>
    <w:rPr>
      <w:color w:val="0563C1"/>
      <w:u w:val="single"/>
    </w:rPr>
  </w:style>
  <w:style w:type="paragraph" w:customStyle="1" w:styleId="AmDocTypeTab">
    <w:name w:val="AmDocTypeTab"/>
    <w:basedOn w:val="Normal"/>
    <w:rsid w:val="00331192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33119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31192"/>
    <w:pPr>
      <w:spacing w:before="720" w:after="240"/>
      <w:jc w:val="center"/>
    </w:pPr>
  </w:style>
  <w:style w:type="paragraph" w:customStyle="1" w:styleId="Title1">
    <w:name w:val="Title1"/>
    <w:basedOn w:val="Normal"/>
    <w:next w:val="Normal"/>
    <w:uiPriority w:val="10"/>
    <w:qFormat/>
    <w:rsid w:val="00331192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331192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331192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331192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331192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331192"/>
    <w:rPr>
      <w:b/>
      <w:bCs/>
      <w:smallCaps/>
      <w:color w:val="365F91"/>
      <w:spacing w:val="5"/>
    </w:rPr>
  </w:style>
  <w:style w:type="paragraph" w:customStyle="1" w:styleId="TechnicalBlockBase">
    <w:name w:val="TechnicalBlockBase"/>
    <w:link w:val="TechnicalBlockBaseChar"/>
    <w:rsid w:val="00331192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mt-MT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31192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mt-MT" w:eastAsia="fr-BE"/>
    </w:rPr>
  </w:style>
  <w:style w:type="paragraph" w:customStyle="1" w:styleId="TBEntRefer">
    <w:name w:val="TBEntRefer"/>
    <w:basedOn w:val="TechnicalBlockBase"/>
    <w:link w:val="EntReferChar"/>
    <w:rsid w:val="0033119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331192"/>
    <w:rPr>
      <w:rFonts w:ascii="Arial" w:hAnsi="Arial" w:cs="Arial"/>
      <w:b/>
      <w:sz w:val="23"/>
      <w:u w:color="606060"/>
      <w:lang w:val="mt-MT" w:eastAsia="fr-BE"/>
    </w:rPr>
  </w:style>
  <w:style w:type="paragraph" w:customStyle="1" w:styleId="TBDistrbMarkers">
    <w:name w:val="TBDistrbMarkers"/>
    <w:basedOn w:val="TBEntRefer"/>
    <w:qFormat/>
    <w:rsid w:val="00331192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331192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33119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3119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33119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3119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3119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3119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33119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331192"/>
    <w:rPr>
      <w:rFonts w:ascii="Arial" w:hAnsi="Arial" w:cs="Arial"/>
      <w:b/>
      <w:sz w:val="23"/>
      <w:u w:color="606060"/>
      <w:lang w:val="mt-MT" w:eastAsia="fr-BE"/>
    </w:rPr>
  </w:style>
  <w:style w:type="paragraph" w:customStyle="1" w:styleId="TBSubjectTable">
    <w:name w:val="TBSubjectTable"/>
    <w:basedOn w:val="TechnicalBlockBase"/>
    <w:rsid w:val="0033119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331192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33119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331192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33119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link w:val="HeaderCouncilLargeChar"/>
    <w:uiPriority w:val="99"/>
    <w:unhideWhenUsed/>
    <w:rsid w:val="00331192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331192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3119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3119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3119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3119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3119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3119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3119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3119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3119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3119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33119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3119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3119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3119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3119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3119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3119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3119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3119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3119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3119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3119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3119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3119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3119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31192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31192"/>
    <w:pPr>
      <w:widowControl/>
      <w:numPr>
        <w:ilvl w:val="3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31192"/>
    <w:pPr>
      <w:widowControl/>
      <w:numPr>
        <w:ilvl w:val="5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31192"/>
    <w:pPr>
      <w:widowControl/>
      <w:numPr>
        <w:ilvl w:val="7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31192"/>
    <w:pPr>
      <w:widowControl/>
      <w:numPr>
        <w:ilvl w:val="8"/>
        <w:numId w:val="3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33119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31192"/>
    <w:pPr>
      <w:widowControl/>
      <w:numPr>
        <w:ilvl w:val="2"/>
        <w:numId w:val="3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31192"/>
    <w:pPr>
      <w:widowControl/>
      <w:numPr>
        <w:ilvl w:val="4"/>
        <w:numId w:val="3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31192"/>
    <w:pPr>
      <w:widowControl/>
      <w:numPr>
        <w:ilvl w:val="6"/>
        <w:numId w:val="3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31192"/>
    <w:pPr>
      <w:widowControl/>
      <w:numPr>
        <w:numId w:val="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31192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31192"/>
    <w:pPr>
      <w:widowControl/>
      <w:numPr>
        <w:ilvl w:val="2"/>
        <w:numId w:val="4"/>
      </w:numPr>
      <w:tabs>
        <w:tab w:val="clear" w:pos="170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31192"/>
    <w:pPr>
      <w:widowControl/>
      <w:numPr>
        <w:ilvl w:val="3"/>
        <w:numId w:val="4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31192"/>
    <w:pPr>
      <w:widowControl/>
      <w:numPr>
        <w:ilvl w:val="4"/>
        <w:numId w:val="4"/>
      </w:numPr>
      <w:tabs>
        <w:tab w:val="clear" w:pos="283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31192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31192"/>
    <w:pPr>
      <w:widowControl/>
      <w:numPr>
        <w:numId w:val="6"/>
      </w:numPr>
      <w:tabs>
        <w:tab w:val="clear" w:pos="113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31192"/>
    <w:pPr>
      <w:widowControl/>
      <w:numPr>
        <w:numId w:val="7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31192"/>
    <w:pPr>
      <w:widowControl/>
      <w:numPr>
        <w:numId w:val="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31192"/>
    <w:pPr>
      <w:widowControl/>
      <w:numPr>
        <w:numId w:val="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31192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31192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31192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31192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31192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31192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331192"/>
    <w:pPr>
      <w:numPr>
        <w:numId w:val="16"/>
      </w:numPr>
      <w:tabs>
        <w:tab w:val="clear" w:pos="1134"/>
        <w:tab w:val="num" w:pos="720"/>
      </w:tabs>
      <w:ind w:left="720" w:hanging="360"/>
    </w:pPr>
  </w:style>
  <w:style w:type="paragraph" w:customStyle="1" w:styleId="DashEqual2">
    <w:name w:val="Dash Equal 2"/>
    <w:basedOn w:val="Dash2"/>
    <w:rsid w:val="00331192"/>
    <w:pPr>
      <w:numPr>
        <w:numId w:val="17"/>
      </w:numPr>
      <w:tabs>
        <w:tab w:val="clear" w:pos="1701"/>
        <w:tab w:val="num" w:pos="1080"/>
      </w:tabs>
      <w:ind w:left="1080" w:hanging="360"/>
    </w:pPr>
  </w:style>
  <w:style w:type="paragraph" w:customStyle="1" w:styleId="DashEqual3">
    <w:name w:val="Dash Equal 3"/>
    <w:basedOn w:val="Dash3"/>
    <w:rsid w:val="00331192"/>
    <w:pPr>
      <w:numPr>
        <w:numId w:val="18"/>
      </w:numPr>
      <w:tabs>
        <w:tab w:val="clear" w:pos="2268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331192"/>
    <w:pPr>
      <w:numPr>
        <w:numId w:val="19"/>
      </w:numPr>
      <w:tabs>
        <w:tab w:val="clear" w:pos="2835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33119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3119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3119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31192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331192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331192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331192"/>
    <w:pPr>
      <w:jc w:val="center"/>
    </w:pPr>
  </w:style>
  <w:style w:type="paragraph" w:customStyle="1" w:styleId="Jardin">
    <w:name w:val="Jardin"/>
    <w:basedOn w:val="Normal"/>
    <w:rsid w:val="0033119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3119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3119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3119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31192"/>
    <w:rPr>
      <w:b/>
    </w:rPr>
  </w:style>
  <w:style w:type="paragraph" w:customStyle="1" w:styleId="Annex">
    <w:name w:val="Annex"/>
    <w:basedOn w:val="Normal"/>
    <w:next w:val="Normal"/>
    <w:rsid w:val="0033119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3119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3119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33119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3119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3119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31192"/>
    <w:rPr>
      <w:rFonts w:eastAsia="Calibr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331192"/>
    <w:rPr>
      <w:vertAlign w:val="superscript"/>
    </w:rPr>
  </w:style>
  <w:style w:type="character" w:customStyle="1" w:styleId="ListParagraphChar">
    <w:name w:val="List Paragraph Char"/>
    <w:aliases w:val="1st level - Bullet List Paragraph Char,2 Char,3 Txt tabla Char,Lettre d'introduction Char,List Paragraph1 Char,Lista multicolor - Énfasis 11 Char,Listaszerű bekezdés1 Char,Medium Grid 1 - Accent 21 Char,Paragrafo elenco Char"/>
    <w:link w:val="ListParagraph"/>
    <w:uiPriority w:val="34"/>
    <w:qFormat/>
    <w:locked/>
    <w:rsid w:val="00331192"/>
    <w:rPr>
      <w:rFonts w:eastAsiaTheme="minorHAnsi"/>
      <w:sz w:val="24"/>
      <w:szCs w:val="24"/>
      <w:lang w:val="mt-MT" w:eastAsia="en-US"/>
    </w:rPr>
  </w:style>
  <w:style w:type="character" w:styleId="PlaceholderText">
    <w:name w:val="Placeholder Text"/>
    <w:basedOn w:val="DefaultParagraphFont"/>
    <w:uiPriority w:val="99"/>
    <w:semiHidden/>
    <w:rsid w:val="00331192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33119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3119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3119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3119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3119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3119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3119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3119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3119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3119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3119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3119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311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3119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3119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3119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3119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3119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3119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3119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3119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3119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3119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3119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3119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3119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3119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3119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3119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3119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3119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3119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3119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3119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31192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31192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31192"/>
    <w:pPr>
      <w:widowControl/>
      <w:numPr>
        <w:numId w:val="25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31192"/>
    <w:pPr>
      <w:widowControl/>
      <w:numPr>
        <w:numId w:val="26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31192"/>
    <w:pPr>
      <w:widowControl/>
      <w:numPr>
        <w:numId w:val="27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31192"/>
    <w:pPr>
      <w:widowControl/>
      <w:numPr>
        <w:numId w:val="28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31192"/>
    <w:pPr>
      <w:widowControl/>
      <w:numPr>
        <w:numId w:val="29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31192"/>
    <w:pPr>
      <w:widowControl/>
      <w:numPr>
        <w:numId w:val="30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31192"/>
    <w:pPr>
      <w:widowControl/>
      <w:numPr>
        <w:numId w:val="31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31192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31192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31192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31192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31192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31192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31192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311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311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311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311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3119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3119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3119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3119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3119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311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311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311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311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311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3119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3119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3119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3119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3119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331192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31192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31192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31192"/>
    <w:pPr>
      <w:widowControl/>
      <w:numPr>
        <w:ilvl w:val="6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31192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31192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31192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31192"/>
    <w:pPr>
      <w:widowControl/>
      <w:numPr>
        <w:ilvl w:val="7"/>
        <w:numId w:val="33"/>
      </w:numPr>
      <w:tabs>
        <w:tab w:val="clear" w:pos="255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31192"/>
    <w:pPr>
      <w:widowControl/>
      <w:numPr>
        <w:ilvl w:val="8"/>
        <w:numId w:val="33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31192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31192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31192"/>
    <w:pPr>
      <w:widowControl/>
      <w:numPr>
        <w:numId w:val="36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31192"/>
    <w:pPr>
      <w:widowControl/>
      <w:numPr>
        <w:numId w:val="37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31192"/>
    <w:pPr>
      <w:widowControl/>
      <w:numPr>
        <w:numId w:val="38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3119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3119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3119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31192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3119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3119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3119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3119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3119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311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3119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3119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3119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3119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3119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3119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3119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3119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3119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3119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3119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3119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3119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3119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3119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3119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3119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3119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31192"/>
    <w:pPr>
      <w:spacing w:before="240"/>
    </w:pPr>
  </w:style>
  <w:style w:type="paragraph" w:customStyle="1" w:styleId="Accordtitre">
    <w:name w:val="Accord titre"/>
    <w:basedOn w:val="Normal"/>
    <w:rsid w:val="0033119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3119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3119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3119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3119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31192"/>
    <w:pPr>
      <w:spacing w:after="240"/>
    </w:pPr>
  </w:style>
  <w:style w:type="paragraph" w:customStyle="1" w:styleId="Annexetitre">
    <w:name w:val="Annexe titre"/>
    <w:basedOn w:val="Normal"/>
    <w:next w:val="Normal"/>
    <w:rsid w:val="0033119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3119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3119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3119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3119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3119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3119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3119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3119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3119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3119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3119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3119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3119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3119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3119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3119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3119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3119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3119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3119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3119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3119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3119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3119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3119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3119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3119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3119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33119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31192"/>
    <w:pPr>
      <w:pBdr>
        <w:top w:val="none" w:sz="0" w:space="0" w:color="auto"/>
        <w:left w:val="single" w:sz="4" w:space="20" w:color="auto"/>
      </w:pBdr>
    </w:pPr>
  </w:style>
  <w:style w:type="character" w:customStyle="1" w:styleId="TitleChar1">
    <w:name w:val="Title Char1"/>
    <w:basedOn w:val="DefaultParagraphFont"/>
    <w:rsid w:val="00331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rsid w:val="0033119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QuoteChar1">
    <w:name w:val="Quote Char1"/>
    <w:basedOn w:val="DefaultParagraphFont"/>
    <w:uiPriority w:val="29"/>
    <w:rsid w:val="00331192"/>
    <w:rPr>
      <w:i/>
      <w:iCs/>
      <w:color w:val="404040" w:themeColor="text1" w:themeTint="BF"/>
      <w:sz w:val="24"/>
    </w:rPr>
  </w:style>
  <w:style w:type="character" w:customStyle="1" w:styleId="IntenseQuoteChar1">
    <w:name w:val="Intense Quote Char1"/>
    <w:basedOn w:val="DefaultParagraphFont"/>
    <w:uiPriority w:val="30"/>
    <w:rsid w:val="00331192"/>
    <w:rPr>
      <w:i/>
      <w:iCs/>
      <w:color w:val="5B9BD5" w:themeColor="accent1"/>
      <w:sz w:val="24"/>
    </w:rPr>
  </w:style>
  <w:style w:type="paragraph" w:customStyle="1" w:styleId="HeadingDocType24a">
    <w:name w:val="HeadingDocType24a"/>
    <w:basedOn w:val="Normal"/>
    <w:rsid w:val="00CA192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A192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A1928"/>
    <w:pPr>
      <w:jc w:val="center"/>
    </w:pPr>
  </w:style>
  <w:style w:type="paragraph" w:customStyle="1" w:styleId="LineSingle">
    <w:name w:val="LineSingle"/>
    <w:basedOn w:val="Normal"/>
    <w:next w:val="Normal"/>
    <w:rsid w:val="00CA192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A1928"/>
    <w:pPr>
      <w:spacing w:before="240" w:after="240"/>
    </w:pPr>
  </w:style>
  <w:style w:type="paragraph" w:customStyle="1" w:styleId="TBEntLogo">
    <w:name w:val="TBEntLogo"/>
    <w:basedOn w:val="TechnicalBlockBase"/>
    <w:rsid w:val="00CA1928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  <w:lang w:eastAsia="en-US"/>
    </w:rPr>
  </w:style>
  <w:style w:type="paragraph" w:customStyle="1" w:styleId="TBGenredudocument">
    <w:name w:val="TBGenredudocument"/>
    <w:basedOn w:val="TechnicalBlockBase"/>
    <w:rsid w:val="00CA1928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  <w:lang w:eastAsia="en-US"/>
    </w:rPr>
  </w:style>
  <w:style w:type="paragraph" w:customStyle="1" w:styleId="TBEntEU">
    <w:name w:val="TBEntEU"/>
    <w:basedOn w:val="TechnicalBlockBase"/>
    <w:link w:val="EntEUChar"/>
    <w:rsid w:val="00CA1928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szCs w:val="36"/>
      <w:u w:val="none"/>
      <w:lang w:eastAsia="en-US"/>
    </w:rPr>
  </w:style>
  <w:style w:type="character" w:customStyle="1" w:styleId="EntEUChar">
    <w:name w:val="EntEU Char"/>
    <w:basedOn w:val="DefaultParagraphFont"/>
    <w:link w:val="TBEntEU"/>
    <w:rsid w:val="00CA1928"/>
    <w:rPr>
      <w:rFonts w:ascii="Arial" w:hAnsi="Arial" w:cs="Arial"/>
      <w:b/>
      <w:sz w:val="36"/>
      <w:szCs w:val="36"/>
      <w:u w:color="606060"/>
      <w:lang w:val="mt-MT" w:eastAsia="en-US"/>
    </w:rPr>
  </w:style>
  <w:style w:type="character" w:customStyle="1" w:styleId="HeaderCouncilLargeChar">
    <w:name w:val="Header Council Large Char"/>
    <w:basedOn w:val="EntEUChar"/>
    <w:link w:val="HeaderCouncilLarge"/>
    <w:uiPriority w:val="99"/>
    <w:rsid w:val="00CA1928"/>
    <w:rPr>
      <w:rFonts w:ascii="Arial" w:eastAsia="Calibri" w:hAnsi="Arial" w:cs="Arial"/>
      <w:b w:val="0"/>
      <w:sz w:val="2"/>
      <w:szCs w:val="22"/>
      <w:u w:color="606060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42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316</Words>
  <Characters>2655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2026-03-10T13:09:00Z</dcterms:created>
  <dcterms:modified xsi:type="dcterms:W3CDTF">2026-03-10T13:09:00Z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