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4B87" w14:paraId="380C0AF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7DBF87" w14:textId="77777777" w:rsidR="00751A4A" w:rsidRPr="00594B87" w:rsidRDefault="00322E39" w:rsidP="0010095E">
            <w:pPr>
              <w:pStyle w:val="EPName"/>
            </w:pPr>
            <w:r w:rsidRPr="00594B87">
              <w:t>Evropský parlament</w:t>
            </w:r>
          </w:p>
          <w:p w14:paraId="73293CE9" w14:textId="77777777" w:rsidR="00751A4A" w:rsidRPr="00594B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4B87">
              <w:t>2024</w:t>
            </w:r>
            <w:r w:rsidR="00817416" w:rsidRPr="00594B87">
              <w:t>-202</w:t>
            </w:r>
            <w:r w:rsidRPr="00594B87">
              <w:t>9</w:t>
            </w:r>
          </w:p>
        </w:tc>
        <w:tc>
          <w:tcPr>
            <w:tcW w:w="2268" w:type="dxa"/>
            <w:shd w:val="clear" w:color="auto" w:fill="auto"/>
          </w:tcPr>
          <w:p w14:paraId="1012B08F" w14:textId="77777777" w:rsidR="00751A4A" w:rsidRPr="00594B87" w:rsidRDefault="00187494" w:rsidP="0010095E">
            <w:pPr>
              <w:pStyle w:val="EPLogo"/>
            </w:pPr>
            <w:r w:rsidRPr="00594B87">
              <w:rPr>
                <w:noProof/>
                <w:lang w:eastAsia="ja-JP"/>
              </w:rPr>
              <w:drawing>
                <wp:inline distT="0" distB="0" distL="0" distR="0" wp14:anchorId="4590AF4C" wp14:editId="5AA1DC4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0E1F64" w14:textId="77777777" w:rsidR="00D058B8" w:rsidRPr="00594B87" w:rsidRDefault="00D058B8" w:rsidP="004C5D52">
      <w:pPr>
        <w:pStyle w:val="LineTop"/>
      </w:pPr>
    </w:p>
    <w:p w14:paraId="55D721DC" w14:textId="77777777" w:rsidR="00680577" w:rsidRPr="00594B87" w:rsidRDefault="00322E39" w:rsidP="00680577">
      <w:pPr>
        <w:pStyle w:val="EPBodyTA1"/>
      </w:pPr>
      <w:r w:rsidRPr="00594B87">
        <w:t>PŘIJATÉ TEXTY</w:t>
      </w:r>
    </w:p>
    <w:p w14:paraId="393AC94B" w14:textId="77777777" w:rsidR="00D058B8" w:rsidRPr="00594B87" w:rsidRDefault="00D058B8" w:rsidP="00D058B8">
      <w:pPr>
        <w:pStyle w:val="LineBottom"/>
      </w:pPr>
    </w:p>
    <w:p w14:paraId="1F4909F4" w14:textId="4040BC7D" w:rsidR="00322E39" w:rsidRPr="00594B87" w:rsidRDefault="00322E39" w:rsidP="00322E39">
      <w:pPr>
        <w:pStyle w:val="ATHeading1"/>
      </w:pPr>
      <w:bookmarkStart w:id="0" w:name="TANumber"/>
      <w:r w:rsidRPr="00594B87">
        <w:t>P10_</w:t>
      </w:r>
      <w:proofErr w:type="gramStart"/>
      <w:r w:rsidRPr="00594B87">
        <w:t>TA(</w:t>
      </w:r>
      <w:proofErr w:type="gramEnd"/>
      <w:r w:rsidRPr="00594B87">
        <w:t>2025)0</w:t>
      </w:r>
      <w:r w:rsidR="00CE70A4">
        <w:t>325</w:t>
      </w:r>
      <w:bookmarkEnd w:id="0"/>
    </w:p>
    <w:p w14:paraId="500FA8F6" w14:textId="517E0976" w:rsidR="00322E39" w:rsidRPr="00594B87" w:rsidRDefault="00322E39" w:rsidP="00322E39">
      <w:pPr>
        <w:pStyle w:val="ATHeading2"/>
      </w:pPr>
      <w:bookmarkStart w:id="1" w:name="title"/>
      <w:r w:rsidRPr="00594B87">
        <w:t>Uvolnění prostředků z Evropského fondu pro přizpůsobení se globalizaci na pomoc propuštěným pracovníkům</w:t>
      </w:r>
      <w:r w:rsidR="0056176A">
        <w:t xml:space="preserve"> na základě</w:t>
      </w:r>
      <w:r w:rsidRPr="00594B87">
        <w:t xml:space="preserve"> žádost</w:t>
      </w:r>
      <w:r w:rsidR="0056176A">
        <w:t>i Švédska</w:t>
      </w:r>
      <w:r w:rsidRPr="00594B87">
        <w:t xml:space="preserve"> </w:t>
      </w:r>
      <w:r w:rsidR="0056176A" w:rsidRPr="00594B87">
        <w:t xml:space="preserve">– </w:t>
      </w:r>
      <w:r w:rsidRPr="00594B87">
        <w:t>EGF/2025/003 SE/</w:t>
      </w:r>
      <w:proofErr w:type="spellStart"/>
      <w:r w:rsidRPr="00594B87">
        <w:t>Northvolt</w:t>
      </w:r>
      <w:bookmarkEnd w:id="1"/>
      <w:proofErr w:type="spellEnd"/>
    </w:p>
    <w:p w14:paraId="03D1BE9C" w14:textId="77777777" w:rsidR="00322E39" w:rsidRPr="00594B87" w:rsidRDefault="00322E39" w:rsidP="00322E39">
      <w:pPr>
        <w:rPr>
          <w:i/>
          <w:vanish/>
        </w:rPr>
      </w:pPr>
      <w:r w:rsidRPr="00594B87">
        <w:rPr>
          <w:i/>
        </w:rPr>
        <w:fldChar w:fldCharType="begin"/>
      </w:r>
      <w:r w:rsidRPr="00594B87">
        <w:rPr>
          <w:i/>
        </w:rPr>
        <w:instrText xml:space="preserve"> TC"(</w:instrText>
      </w:r>
      <w:bookmarkStart w:id="2" w:name="DocNumber"/>
      <w:r w:rsidRPr="00594B87">
        <w:rPr>
          <w:i/>
        </w:rPr>
        <w:instrText>A10-0239/2025</w:instrText>
      </w:r>
      <w:bookmarkEnd w:id="2"/>
      <w:r w:rsidRPr="00594B87">
        <w:rPr>
          <w:i/>
        </w:rPr>
        <w:instrText xml:space="preserve"> - Zpravodajka: Aura Salla)"\l3 \n&gt; \* MERGEFORMAT </w:instrText>
      </w:r>
      <w:r w:rsidRPr="00594B87">
        <w:rPr>
          <w:i/>
        </w:rPr>
        <w:fldChar w:fldCharType="end"/>
      </w:r>
    </w:p>
    <w:p w14:paraId="208A26F6" w14:textId="77777777" w:rsidR="00322E39" w:rsidRPr="00594B87" w:rsidRDefault="00322E39" w:rsidP="00322E39">
      <w:pPr>
        <w:rPr>
          <w:vanish/>
        </w:rPr>
      </w:pPr>
      <w:bookmarkStart w:id="3" w:name="Commission"/>
      <w:r w:rsidRPr="00594B87">
        <w:rPr>
          <w:vanish/>
        </w:rPr>
        <w:t>Rozpočtový výbor</w:t>
      </w:r>
      <w:bookmarkEnd w:id="3"/>
    </w:p>
    <w:p w14:paraId="6F057F5C" w14:textId="77777777" w:rsidR="00322E39" w:rsidRPr="00594B87" w:rsidRDefault="00322E39" w:rsidP="00322E39">
      <w:pPr>
        <w:rPr>
          <w:vanish/>
        </w:rPr>
      </w:pPr>
      <w:bookmarkStart w:id="4" w:name="PE"/>
      <w:r w:rsidRPr="00594B87">
        <w:rPr>
          <w:vanish/>
        </w:rPr>
        <w:t>PE779.349</w:t>
      </w:r>
      <w:bookmarkEnd w:id="4"/>
    </w:p>
    <w:p w14:paraId="40F3DE03" w14:textId="77777777" w:rsidR="00322E39" w:rsidRPr="00594B87" w:rsidRDefault="00322E39" w:rsidP="00322E39">
      <w:pPr>
        <w:pStyle w:val="ATHeading3"/>
      </w:pPr>
      <w:bookmarkStart w:id="5" w:name="Sujet"/>
      <w:r w:rsidRPr="00594B87">
        <w:t>Usnesení Evropského parlamentu ze dne 16. prosince 2025 o návrhu rozhodnutí Evropského parlamentu a Rady o uvolnění prostředků z Evropského fondu pro přizpůsobení se globalizaci na pomoc propuštěným pracovníkům na základě žádosti Švédska – EGF/2025/003 SE/</w:t>
      </w:r>
      <w:proofErr w:type="spellStart"/>
      <w:r w:rsidRPr="00594B87">
        <w:t>Northvolt</w:t>
      </w:r>
      <w:bookmarkEnd w:id="5"/>
      <w:proofErr w:type="spellEnd"/>
      <w:r w:rsidRPr="00594B87">
        <w:t xml:space="preserve"> </w:t>
      </w:r>
      <w:bookmarkStart w:id="6" w:name="References"/>
      <w:r w:rsidRPr="00594B87">
        <w:t>(</w:t>
      </w:r>
      <w:proofErr w:type="gramStart"/>
      <w:r w:rsidRPr="00594B87">
        <w:t>COM(</w:t>
      </w:r>
      <w:proofErr w:type="gramEnd"/>
      <w:r w:rsidRPr="00594B87">
        <w:t>2025)0621 – C10-0270/2025 – 2025/0326(BUD))</w:t>
      </w:r>
      <w:bookmarkEnd w:id="6"/>
    </w:p>
    <w:p w14:paraId="5DF34CD1" w14:textId="77777777" w:rsidR="00AB6A38" w:rsidRPr="00594B87" w:rsidRDefault="00AB6A38" w:rsidP="00AB6A38">
      <w:pPr>
        <w:pStyle w:val="EPComma"/>
        <w:rPr>
          <w:noProof/>
        </w:rPr>
      </w:pPr>
      <w:r w:rsidRPr="00594B87">
        <w:rPr>
          <w:i/>
        </w:rPr>
        <w:t>Evropský parlament</w:t>
      </w:r>
      <w:r w:rsidRPr="00594B87">
        <w:t>,</w:t>
      </w:r>
    </w:p>
    <w:p w14:paraId="59D6D327" w14:textId="77777777" w:rsidR="00AB6A38" w:rsidRPr="00594B87" w:rsidRDefault="00AB6A38" w:rsidP="00594B87">
      <w:pPr>
        <w:pStyle w:val="NormalHanging12a"/>
        <w:rPr>
          <w:noProof/>
          <w:szCs w:val="24"/>
        </w:rPr>
      </w:pPr>
      <w:r w:rsidRPr="00594B87">
        <w:t>–</w:t>
      </w:r>
      <w:r w:rsidRPr="00594B87">
        <w:tab/>
        <w:t xml:space="preserve">s ohledem na </w:t>
      </w:r>
      <w:r w:rsidRPr="00594B87">
        <w:rPr>
          <w:szCs w:val="24"/>
        </w:rPr>
        <w:t>návrh Komise předložený Evropskému parlamentu a Radě (</w:t>
      </w:r>
      <w:proofErr w:type="gramStart"/>
      <w:r w:rsidRPr="00594B87">
        <w:rPr>
          <w:szCs w:val="24"/>
        </w:rPr>
        <w:t>COM(</w:t>
      </w:r>
      <w:proofErr w:type="gramEnd"/>
      <w:r w:rsidRPr="00594B87">
        <w:rPr>
          <w:szCs w:val="24"/>
        </w:rPr>
        <w:t>2025)0621 – C10</w:t>
      </w:r>
      <w:r w:rsidRPr="00594B87">
        <w:rPr>
          <w:szCs w:val="24"/>
        </w:rPr>
        <w:noBreakHyphen/>
        <w:t>0270/2025),</w:t>
      </w:r>
    </w:p>
    <w:p w14:paraId="216F6838" w14:textId="33694187" w:rsidR="00AB6A38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–</w:t>
      </w:r>
      <w:r w:rsidRPr="00594B87">
        <w:rPr>
          <w:szCs w:val="24"/>
        </w:rPr>
        <w:tab/>
        <w:t>s ohledem na nařízení Evropského parlamentu a Rady (EU) 2021/691 ze dne 28. dubna 2021 o Evropském fondu pro přizpůsobení se globalizaci na pomoc propuštěným pracovníkům (EFG) a o zrušení nařízení (E</w:t>
      </w:r>
      <w:r w:rsidR="00167645">
        <w:rPr>
          <w:szCs w:val="24"/>
        </w:rPr>
        <w:t>U</w:t>
      </w:r>
      <w:r w:rsidRPr="00594B87">
        <w:rPr>
          <w:szCs w:val="24"/>
        </w:rPr>
        <w:t>) č. 1309/2013</w:t>
      </w:r>
      <w:r w:rsidRPr="00594B87">
        <w:rPr>
          <w:rStyle w:val="FootnoteReference"/>
          <w:szCs w:val="24"/>
        </w:rPr>
        <w:footnoteReference w:id="1"/>
      </w:r>
      <w:r w:rsidRPr="00594B87">
        <w:rPr>
          <w:szCs w:val="24"/>
        </w:rPr>
        <w:t>,</w:t>
      </w:r>
    </w:p>
    <w:p w14:paraId="49FDF925" w14:textId="05EE4126" w:rsidR="00AB6A38" w:rsidRPr="00594B87" w:rsidRDefault="00AB6A38" w:rsidP="00594B87">
      <w:pPr>
        <w:pStyle w:val="NormalHanging12a"/>
        <w:rPr>
          <w:noProof/>
          <w:szCs w:val="24"/>
        </w:rPr>
      </w:pPr>
      <w:r w:rsidRPr="00594B87">
        <w:rPr>
          <w:szCs w:val="24"/>
        </w:rPr>
        <w:t>–</w:t>
      </w:r>
      <w:r w:rsidRPr="00594B87">
        <w:rPr>
          <w:szCs w:val="24"/>
        </w:rPr>
        <w:tab/>
        <w:t>s ohledem na nařízení Rady (EU, Euratom) 2020/2093 ze dne 17. prosince 2020, kterým se stanoví víceletý finanční rámec na období 2021–2027</w:t>
      </w:r>
      <w:r w:rsidRPr="00594B87">
        <w:rPr>
          <w:rStyle w:val="FootnoteReference"/>
          <w:noProof/>
          <w:szCs w:val="24"/>
        </w:rPr>
        <w:footnoteReference w:id="2"/>
      </w:r>
      <w:r w:rsidRPr="00594B87">
        <w:rPr>
          <w:szCs w:val="24"/>
        </w:rPr>
        <w:t xml:space="preserve">, ve znění nařízení </w:t>
      </w:r>
      <w:r w:rsidR="009F62C6">
        <w:rPr>
          <w:szCs w:val="24"/>
        </w:rPr>
        <w:t xml:space="preserve">Rady </w:t>
      </w:r>
      <w:r w:rsidRPr="00594B87">
        <w:rPr>
          <w:szCs w:val="24"/>
        </w:rPr>
        <w:t>(EU, Euratom) 2024/765</w:t>
      </w:r>
      <w:r w:rsidRPr="00594B87">
        <w:rPr>
          <w:noProof/>
          <w:szCs w:val="24"/>
          <w:vertAlign w:val="superscript"/>
        </w:rPr>
        <w:footnoteReference w:id="3"/>
      </w:r>
      <w:r w:rsidRPr="00594B87">
        <w:rPr>
          <w:szCs w:val="24"/>
        </w:rPr>
        <w:t>, a zejména na článek 8 tohoto nařízení,</w:t>
      </w:r>
    </w:p>
    <w:p w14:paraId="2F4BE140" w14:textId="77777777" w:rsidR="00AB6A38" w:rsidRPr="00594B87" w:rsidRDefault="00AB6A38" w:rsidP="00594B87">
      <w:pPr>
        <w:pStyle w:val="NormalHanging12a"/>
        <w:rPr>
          <w:noProof/>
          <w:szCs w:val="24"/>
        </w:rPr>
      </w:pPr>
      <w:r w:rsidRPr="00594B87">
        <w:rPr>
          <w:szCs w:val="24"/>
        </w:rPr>
        <w:t>–</w:t>
      </w:r>
      <w:r w:rsidRPr="00594B87">
        <w:rPr>
          <w:szCs w:val="24"/>
        </w:rPr>
        <w:tab/>
        <w:t>s ohledem na 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594B87">
        <w:rPr>
          <w:rStyle w:val="FootnoteReference"/>
          <w:noProof/>
          <w:szCs w:val="24"/>
        </w:rPr>
        <w:footnoteReference w:id="4"/>
      </w:r>
      <w:r w:rsidRPr="00594B87">
        <w:rPr>
          <w:szCs w:val="24"/>
        </w:rPr>
        <w:t>, a zejména na článek 9 této dohody,</w:t>
      </w:r>
    </w:p>
    <w:p w14:paraId="0D0D21CE" w14:textId="77777777" w:rsidR="00AB6A38" w:rsidRPr="00594B87" w:rsidRDefault="00AB6A38" w:rsidP="00594B87">
      <w:pPr>
        <w:pStyle w:val="NormalHanging12a"/>
        <w:rPr>
          <w:noProof/>
          <w:szCs w:val="24"/>
        </w:rPr>
      </w:pPr>
      <w:r w:rsidRPr="00594B87">
        <w:rPr>
          <w:szCs w:val="24"/>
        </w:rPr>
        <w:t>–</w:t>
      </w:r>
      <w:r w:rsidRPr="00594B87">
        <w:rPr>
          <w:szCs w:val="24"/>
        </w:rPr>
        <w:tab/>
        <w:t>s ohledem na stanovisko Výboru pro zaměstnanost a sociální věci,</w:t>
      </w:r>
    </w:p>
    <w:p w14:paraId="4BD68F3D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lastRenderedPageBreak/>
        <w:t>–</w:t>
      </w:r>
      <w:r w:rsidRPr="00594B87">
        <w:rPr>
          <w:szCs w:val="24"/>
        </w:rPr>
        <w:tab/>
        <w:t>s ohledem na zprávu Rozpočtového výboru (A10</w:t>
      </w:r>
      <w:r w:rsidRPr="00594B87">
        <w:rPr>
          <w:szCs w:val="24"/>
        </w:rPr>
        <w:noBreakHyphen/>
        <w:t>0239/2025),</w:t>
      </w:r>
    </w:p>
    <w:p w14:paraId="0141E1DE" w14:textId="77777777" w:rsidR="00AB6A38" w:rsidRPr="00594B87" w:rsidRDefault="00AB6A38" w:rsidP="00594B87">
      <w:pPr>
        <w:pStyle w:val="NormalHanging12a"/>
        <w:rPr>
          <w:noProof/>
          <w:szCs w:val="24"/>
        </w:rPr>
      </w:pPr>
      <w:r w:rsidRPr="00594B87">
        <w:rPr>
          <w:szCs w:val="24"/>
        </w:rPr>
        <w:t>A.</w:t>
      </w:r>
      <w:r w:rsidRPr="00594B87">
        <w:rPr>
          <w:szCs w:val="24"/>
        </w:rPr>
        <w:tab/>
        <w:t>vzhledem k tomu, že Unie vytvořila legislativní a rozpočtové nástroje, aby mohla poskytovat dodatečnou podporu pracovníkům, kteří jsou dotčeni důsledky významných změn ve struktuře světového obchodu nebo důsledky celosvětové finanční a hospodářské krize, a pomáhat jim při opětovném začlenění na trh práce; vzhledem k tomu, že tato pomoc je poskytována v podobě finanční podpory pracovníkům a podnikům, pro které pracovali;</w:t>
      </w:r>
    </w:p>
    <w:p w14:paraId="5782B8CB" w14:textId="6F9C2A96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B.</w:t>
      </w:r>
      <w:r w:rsidRPr="00594B87">
        <w:rPr>
          <w:szCs w:val="24"/>
        </w:rPr>
        <w:tab/>
        <w:t>vzhledem k tomu, že Švédsko podalo žádost EGF/2025/003 SE/</w:t>
      </w:r>
      <w:proofErr w:type="spellStart"/>
      <w:r w:rsidRPr="00594B87">
        <w:rPr>
          <w:szCs w:val="24"/>
        </w:rPr>
        <w:t>Northvolt</w:t>
      </w:r>
      <w:proofErr w:type="spellEnd"/>
      <w:r w:rsidRPr="00594B87">
        <w:rPr>
          <w:szCs w:val="24"/>
        </w:rPr>
        <w:t xml:space="preserve"> o poskytnutí finančního příspěvku z Evropského fondu pro přizpůsobení se globalizaci (EFG) v souvislosti s propuštěním 6 486 pracovníků</w:t>
      </w:r>
      <w:r w:rsidRPr="00594B87">
        <w:rPr>
          <w:szCs w:val="24"/>
          <w:vertAlign w:val="superscript"/>
        </w:rPr>
        <w:footnoteReference w:id="5"/>
      </w:r>
      <w:r w:rsidRPr="00594B87">
        <w:rPr>
          <w:szCs w:val="24"/>
        </w:rPr>
        <w:t xml:space="preserve"> v regionech </w:t>
      </w:r>
      <w:proofErr w:type="spellStart"/>
      <w:r w:rsidRPr="00594B87">
        <w:rPr>
          <w:szCs w:val="24"/>
        </w:rPr>
        <w:t>Övre</w:t>
      </w:r>
      <w:proofErr w:type="spellEnd"/>
      <w:r w:rsidRPr="00594B87">
        <w:rPr>
          <w:szCs w:val="24"/>
        </w:rPr>
        <w:t xml:space="preserve"> </w:t>
      </w:r>
      <w:proofErr w:type="spellStart"/>
      <w:r w:rsidRPr="00594B87">
        <w:rPr>
          <w:szCs w:val="24"/>
        </w:rPr>
        <w:t>Norrland</w:t>
      </w:r>
      <w:proofErr w:type="spellEnd"/>
      <w:r w:rsidRPr="00594B87">
        <w:rPr>
          <w:szCs w:val="24"/>
        </w:rPr>
        <w:t xml:space="preserve"> (SE33), Stockholm (SE11) a </w:t>
      </w:r>
      <w:proofErr w:type="spellStart"/>
      <w:r w:rsidRPr="00594B87">
        <w:rPr>
          <w:szCs w:val="24"/>
        </w:rPr>
        <w:t>Östra</w:t>
      </w:r>
      <w:proofErr w:type="spellEnd"/>
      <w:r w:rsidRPr="00594B87">
        <w:rPr>
          <w:szCs w:val="24"/>
        </w:rPr>
        <w:t xml:space="preserve"> </w:t>
      </w:r>
      <w:proofErr w:type="spellStart"/>
      <w:r w:rsidRPr="00594B87">
        <w:rPr>
          <w:szCs w:val="24"/>
        </w:rPr>
        <w:t>Mellansverige</w:t>
      </w:r>
      <w:proofErr w:type="spellEnd"/>
      <w:r w:rsidRPr="00594B87">
        <w:rPr>
          <w:szCs w:val="24"/>
        </w:rPr>
        <w:t xml:space="preserve"> (SE12) v hospodářském odvětví, které je v rámci klasifikace NACE Revize 2 zařazeno do oddílu 71 (architektonické a inženýrské činnosti; technické zkoušky a analýzy), přičemž 5 829 pracovníků bylo propuštěno během referenčního období žádosti, které trvalo od 28. listopadu 2024 do 28. března 2025, a 657 pracovníků před tímto referenčním obdobím nebo po něm; </w:t>
      </w:r>
    </w:p>
    <w:p w14:paraId="4CF837F6" w14:textId="551AAAEF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C.</w:t>
      </w:r>
      <w:r w:rsidRPr="00594B87">
        <w:rPr>
          <w:szCs w:val="24"/>
        </w:rPr>
        <w:tab/>
        <w:t xml:space="preserve">vzhledem k tomu, že během referenčního období žádosti bylo zjištěno celkem 5 829 případů propuštění, z toho 5 561 pracovníků bylo propuštěno ve společnosti </w:t>
      </w:r>
      <w:proofErr w:type="spellStart"/>
      <w:r w:rsidRPr="00594B87">
        <w:rPr>
          <w:szCs w:val="24"/>
        </w:rPr>
        <w:t>Northvolt</w:t>
      </w:r>
      <w:proofErr w:type="spellEnd"/>
      <w:r w:rsidRPr="00594B87">
        <w:rPr>
          <w:szCs w:val="24"/>
        </w:rPr>
        <w:t xml:space="preserve"> AB (</w:t>
      </w:r>
      <w:proofErr w:type="spellStart"/>
      <w:r w:rsidRPr="00594B87">
        <w:rPr>
          <w:szCs w:val="24"/>
        </w:rPr>
        <w:t>Northvolt</w:t>
      </w:r>
      <w:proofErr w:type="spellEnd"/>
      <w:r w:rsidRPr="00594B87">
        <w:rPr>
          <w:szCs w:val="24"/>
        </w:rPr>
        <w:t>) a v jejích dceřiných společnostech</w:t>
      </w:r>
      <w:r w:rsidRPr="00594B87">
        <w:rPr>
          <w:szCs w:val="24"/>
          <w:vertAlign w:val="superscript"/>
        </w:rPr>
        <w:footnoteReference w:id="6"/>
      </w:r>
      <w:r w:rsidRPr="00594B87">
        <w:rPr>
          <w:szCs w:val="24"/>
        </w:rPr>
        <w:t xml:space="preserve"> a 268 pracovníků bylo propuštěno u osmi dodavatelů a výrobců, kteří jsou odběrateli společnosti </w:t>
      </w:r>
      <w:proofErr w:type="spellStart"/>
      <w:r w:rsidRPr="00594B87">
        <w:rPr>
          <w:szCs w:val="24"/>
        </w:rPr>
        <w:t>Northvolt</w:t>
      </w:r>
      <w:proofErr w:type="spellEnd"/>
      <w:r w:rsidRPr="00594B87">
        <w:rPr>
          <w:szCs w:val="24"/>
        </w:rPr>
        <w:t>;</w:t>
      </w:r>
    </w:p>
    <w:p w14:paraId="6987B31A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D.</w:t>
      </w:r>
      <w:r w:rsidRPr="00594B87">
        <w:rPr>
          <w:szCs w:val="24"/>
        </w:rPr>
        <w:tab/>
        <w:t xml:space="preserve">vzhledem k tomu, že žádost je založena na kritériích pro pomoc stanovených v čl. 4 odst. 2 písm. a) nařízení o EFG; vzhledem k tomu, že v případě dalších 657 pracovníků, kteří byli propuštěni před čtyřměsíčním referenčním obdobím nebo po něm, lze prokázat jednoznačnou příčinnou souvislost s událostí, jež vedla k propouštění pracovníků během referenčního období, jak vyžaduje čl. 6 odst. 2 nařízení o EFG; </w:t>
      </w:r>
    </w:p>
    <w:p w14:paraId="15EEEB60" w14:textId="7B1C8922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E.</w:t>
      </w:r>
      <w:r w:rsidRPr="00594B87">
        <w:rPr>
          <w:szCs w:val="24"/>
        </w:rPr>
        <w:tab/>
        <w:t xml:space="preserve">vzhledem k tomu, že společnost </w:t>
      </w:r>
      <w:proofErr w:type="spellStart"/>
      <w:r w:rsidRPr="00594B87">
        <w:rPr>
          <w:szCs w:val="24"/>
        </w:rPr>
        <w:t>Northvolt</w:t>
      </w:r>
      <w:proofErr w:type="spellEnd"/>
      <w:r w:rsidRPr="00594B87">
        <w:rPr>
          <w:szCs w:val="24"/>
        </w:rPr>
        <w:t xml:space="preserve"> se specializovala na architektonické a inženýrské činnosti, technické zkoušky a výrobu baterií; vzhledem k tomu, že společnost dne 12. března 2025 podala návrh na konkurz kvůli problémům s výrobou, jež byly důsledkem zejména převisu nabídky zapříčiněného intenzivní konkurencí výrobků dovážených především z Číny, která s více než 80% podílem na celosvětové výrobě baterií dominuje světovému trhu; </w:t>
      </w:r>
    </w:p>
    <w:p w14:paraId="09C8902E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F.</w:t>
      </w:r>
      <w:r w:rsidRPr="00594B87">
        <w:rPr>
          <w:szCs w:val="24"/>
        </w:rPr>
        <w:tab/>
        <w:t>vzhledem k tomu, že Evropa potřebuje silné a konkurenceschopné odvětví baterií, aby omezila strategickou závislost, která ji poškozuje, zvýšila svou průmyslovou autonomii a dosáhla svých cílů v oblasti klimatické a energetické transformace; vzhledem k tomu, že odvětví baterií a dodavatelské odvětví se potýká s vysokými náklady na energii a kapitál, se zpožděními při výrobě, s narušením celosvětového trhu a rostoucím konkurenčním tlakem ze strany výrobců ze třetích zemí, zejména z Číny</w:t>
      </w:r>
      <w:r w:rsidRPr="00594B87">
        <w:rPr>
          <w:szCs w:val="24"/>
          <w:vertAlign w:val="superscript"/>
        </w:rPr>
        <w:footnoteReference w:id="7"/>
      </w:r>
      <w:r w:rsidRPr="00594B87">
        <w:rPr>
          <w:szCs w:val="24"/>
        </w:rPr>
        <w:t>;</w:t>
      </w:r>
    </w:p>
    <w:p w14:paraId="6E4FE111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G.</w:t>
      </w:r>
      <w:r w:rsidRPr="00594B87">
        <w:rPr>
          <w:szCs w:val="24"/>
        </w:rPr>
        <w:tab/>
        <w:t xml:space="preserve">vzhledem k tomu, že švédský úřad práce </w:t>
      </w:r>
      <w:proofErr w:type="spellStart"/>
      <w:r w:rsidRPr="00594B87">
        <w:rPr>
          <w:szCs w:val="24"/>
        </w:rPr>
        <w:t>Arbetsförmedlingen</w:t>
      </w:r>
      <w:proofErr w:type="spellEnd"/>
      <w:r w:rsidRPr="00594B87">
        <w:rPr>
          <w:szCs w:val="24"/>
        </w:rPr>
        <w:t xml:space="preserve"> zajišťuje vnitrostátní </w:t>
      </w:r>
      <w:r w:rsidRPr="00594B87">
        <w:rPr>
          <w:szCs w:val="24"/>
        </w:rPr>
        <w:lastRenderedPageBreak/>
        <w:t>předběžné financování a spolufinancování příslušných opatření;</w:t>
      </w:r>
    </w:p>
    <w:p w14:paraId="097A3766" w14:textId="10348D3D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H.</w:t>
      </w:r>
      <w:r w:rsidRPr="00594B87">
        <w:rPr>
          <w:szCs w:val="24"/>
        </w:rPr>
        <w:tab/>
        <w:t>vzhledem k tomu, že byly splněny požadavky stanovené unijním a vnitrostátním práv</w:t>
      </w:r>
      <w:r w:rsidR="00EA592C">
        <w:rPr>
          <w:szCs w:val="24"/>
        </w:rPr>
        <w:t>em</w:t>
      </w:r>
      <w:r w:rsidRPr="00594B87">
        <w:rPr>
          <w:szCs w:val="24"/>
        </w:rPr>
        <w:t>, které se týk</w:t>
      </w:r>
      <w:r w:rsidR="00EA592C">
        <w:rPr>
          <w:szCs w:val="24"/>
        </w:rPr>
        <w:t>á</w:t>
      </w:r>
      <w:r w:rsidRPr="00594B87">
        <w:rPr>
          <w:szCs w:val="24"/>
        </w:rPr>
        <w:t xml:space="preserve"> hromadného propouštění;</w:t>
      </w:r>
    </w:p>
    <w:p w14:paraId="30ABFF06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I.</w:t>
      </w:r>
      <w:r w:rsidRPr="00594B87">
        <w:rPr>
          <w:szCs w:val="24"/>
        </w:rPr>
        <w:tab/>
        <w:t>vzhledem k tomu, že finanční příspěvky z EFG by měly primárně směřovat na aktivní opatření politiky v oblasti trhu práce a na individualizované služby, jejichž cílem je rychle začlenit příjemce pomoci do důstojného a udržitelného zaměstnání v původním nebo jiném odvětví činnosti a zároveň je připravit na ekologičtější a </w:t>
      </w:r>
      <w:proofErr w:type="spellStart"/>
      <w:r w:rsidRPr="00594B87">
        <w:rPr>
          <w:szCs w:val="24"/>
        </w:rPr>
        <w:t>digitalizovanější</w:t>
      </w:r>
      <w:proofErr w:type="spellEnd"/>
      <w:r w:rsidRPr="00594B87">
        <w:rPr>
          <w:szCs w:val="24"/>
        </w:rPr>
        <w:t xml:space="preserve"> evropské hospodářství;</w:t>
      </w:r>
    </w:p>
    <w:p w14:paraId="51636125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J.</w:t>
      </w:r>
      <w:r w:rsidRPr="00594B87">
        <w:rPr>
          <w:szCs w:val="24"/>
        </w:rPr>
        <w:tab/>
        <w:t xml:space="preserve">vzhledem k tomu, že EFG nesmí překročit maximální roční částku 30 milionů EUR (v cenách roku 2018), jak je stanoveno v článku 8 nařízení Rady (EU, Euratom) 2020/2093 ve znění nařízení (EU, Euratom) 2024/765; </w:t>
      </w:r>
    </w:p>
    <w:p w14:paraId="6C92ABB8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1.</w:t>
      </w:r>
      <w:r w:rsidRPr="00594B87">
        <w:rPr>
          <w:szCs w:val="24"/>
        </w:rPr>
        <w:tab/>
        <w:t>souhlasí s Komisí, že podmínky stanovené v čl. 4 odst. 2 písm. a) nařízení o EFG byly splněny, a že Švédsko tak má podle uvedeného nařízení nárok na finanční příspěvek ve výši 8 526 322 EUR, což představuje 60 % celkových nákladů, které činí 14 210 537 EUR a zahrnují výdaje na individualizované služby ve výši 13 663 977 EUR a výdaje na přípravné, řídicí, informační a propagační, kontrolní a vykazovací činnosti ve výši 546 560 EUR;</w:t>
      </w:r>
    </w:p>
    <w:p w14:paraId="51D2A588" w14:textId="4B1B18E1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 xml:space="preserve">2. </w:t>
      </w:r>
      <w:r w:rsidRPr="00594B87">
        <w:rPr>
          <w:szCs w:val="24"/>
        </w:rPr>
        <w:tab/>
        <w:t xml:space="preserve">konstatuje, že švédské orgány podaly žádost dne 16. června 2025 a že poté, co Švédsko poskytlo další informace, Komise dokončila posouzení dne 28. října 2025, tj. o více než čtyři měsíce později, a téhož dne o tom informovala Parlament; zdůrazňuje, že je důležité dobu mezi podáním žádosti o pomoc z EFG a rozhodnutím o financování výrazně zkrátit, aby bylo zajištěno, že finanční podporu bude možno neprodleně uvolnit; zdůrazňuje, že je třeba zjednodušit a urychlit vnitřní postupy, a to za důsledného dodržení zásady institucionální rovnováhy, zejména práv </w:t>
      </w:r>
      <w:r w:rsidR="009F62C6">
        <w:rPr>
          <w:szCs w:val="24"/>
        </w:rPr>
        <w:t>P</w:t>
      </w:r>
      <w:r w:rsidRPr="00594B87">
        <w:rPr>
          <w:szCs w:val="24"/>
        </w:rPr>
        <w:t>arlamentu jako rozpočtového orgánu;</w:t>
      </w:r>
    </w:p>
    <w:p w14:paraId="19253DA2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3.</w:t>
      </w:r>
      <w:r w:rsidRPr="00594B87">
        <w:rPr>
          <w:szCs w:val="24"/>
        </w:rPr>
        <w:tab/>
        <w:t xml:space="preserve">konstatuje, že žádost se týká 6 486 propuštěných pracovníků dotčených zásadní restrukturalizací společnosti </w:t>
      </w:r>
      <w:proofErr w:type="spellStart"/>
      <w:r w:rsidRPr="00594B87">
        <w:rPr>
          <w:szCs w:val="24"/>
        </w:rPr>
        <w:t>Northvolt</w:t>
      </w:r>
      <w:proofErr w:type="spellEnd"/>
      <w:r w:rsidRPr="00594B87">
        <w:rPr>
          <w:szCs w:val="24"/>
        </w:rPr>
        <w:t>, která vedla k nejrozsáhlejšímu úpadku v novodobé historii Švédska; dále poznamenává, že cílovými příjemci je celkem 5 800 propuštěných pracovníků, u nichž se očekává, že se budou účastnit opatření;</w:t>
      </w:r>
    </w:p>
    <w:p w14:paraId="44BA208E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4.</w:t>
      </w:r>
      <w:r w:rsidRPr="00594B87">
        <w:rPr>
          <w:szCs w:val="24"/>
        </w:rPr>
        <w:tab/>
        <w:t xml:space="preserve">bere na vědomí závažnost propouštění ve městě </w:t>
      </w:r>
      <w:proofErr w:type="spellStart"/>
      <w:r w:rsidRPr="00594B87">
        <w:rPr>
          <w:szCs w:val="24"/>
        </w:rPr>
        <w:t>Skellefteå</w:t>
      </w:r>
      <w:proofErr w:type="spellEnd"/>
      <w:r w:rsidRPr="00594B87">
        <w:rPr>
          <w:szCs w:val="24"/>
        </w:rPr>
        <w:t>, kde v předchozím roce dosáhla míra nezaměstnanosti 8,2 %; bere na vědomí, že většina propuštěných pracovníků je vysoce kvalifikovaná a je mladší 54 let; vzhledem k jejich odbornosti v odvětví výroby baterií a inženýrství zdůrazňuje, že je třeba urychleně jednat s cílem zabránit strukturálnímu úpadku tohoto regionu, a upozorňuje na důležitost podpory kvalitních pracovních míst orientovaných na budoucnost, má-li být zajištěna jeho dlouhodobá hospodářská a sociální odolnost;</w:t>
      </w:r>
    </w:p>
    <w:p w14:paraId="337FC3F9" w14:textId="77777777" w:rsidR="00AB6A38" w:rsidRPr="00594B87" w:rsidRDefault="00AB6A38" w:rsidP="00594B87">
      <w:pPr>
        <w:pStyle w:val="NormalHanging12a"/>
        <w:rPr>
          <w:bCs/>
          <w:iCs/>
          <w:szCs w:val="24"/>
        </w:rPr>
      </w:pPr>
      <w:r w:rsidRPr="00594B87">
        <w:rPr>
          <w:szCs w:val="24"/>
        </w:rPr>
        <w:t>5.</w:t>
      </w:r>
      <w:r w:rsidRPr="00594B87">
        <w:rPr>
          <w:szCs w:val="24"/>
        </w:rPr>
        <w:tab/>
        <w:t xml:space="preserve">konstatuje, že v srpnu 2025 uzavřel americký startup </w:t>
      </w:r>
      <w:proofErr w:type="spellStart"/>
      <w:r w:rsidRPr="00594B87">
        <w:rPr>
          <w:szCs w:val="24"/>
        </w:rPr>
        <w:t>Lyten</w:t>
      </w:r>
      <w:proofErr w:type="spellEnd"/>
      <w:r w:rsidRPr="00594B87">
        <w:rPr>
          <w:szCs w:val="24"/>
        </w:rPr>
        <w:t xml:space="preserve">, světový lídr v odvětví lithium-sirných baterií, závaznou dohodu o převzetí zbývajících aktiv společnosti </w:t>
      </w:r>
      <w:proofErr w:type="spellStart"/>
      <w:r w:rsidRPr="00594B87">
        <w:rPr>
          <w:szCs w:val="24"/>
        </w:rPr>
        <w:t>Northvolt</w:t>
      </w:r>
      <w:proofErr w:type="spellEnd"/>
      <w:r w:rsidRPr="00594B87">
        <w:rPr>
          <w:szCs w:val="24"/>
        </w:rPr>
        <w:t xml:space="preserve"> ve Švédsku, v Německu a v Polsku do konce roku 2025, přičemž má v plánu znovu přijmout propuštěné pracovníky s ohledem na možnost nabídnout jim rovnocenné pozice v tomto regionu;</w:t>
      </w:r>
      <w:r w:rsidRPr="00594B87">
        <w:rPr>
          <w:b/>
          <w:i/>
          <w:szCs w:val="24"/>
        </w:rPr>
        <w:t xml:space="preserve"> </w:t>
      </w:r>
      <w:r w:rsidRPr="00594B87">
        <w:rPr>
          <w:szCs w:val="24"/>
        </w:rPr>
        <w:t>zdůrazňuje, že opětovné zaměstnání těchto pracovníků by mělo být považováno za primární řešení a že v případě převzetí by měly být veškeré nevyužité částky vráceny Komisi;</w:t>
      </w:r>
    </w:p>
    <w:p w14:paraId="478DFFDF" w14:textId="77777777" w:rsidR="00AB6A38" w:rsidRPr="00594B87" w:rsidRDefault="00AB6A38" w:rsidP="00594B87">
      <w:pPr>
        <w:pStyle w:val="NormalHanging12a"/>
        <w:rPr>
          <w:bCs/>
          <w:iCs/>
          <w:szCs w:val="24"/>
        </w:rPr>
      </w:pPr>
      <w:r w:rsidRPr="00594B87">
        <w:rPr>
          <w:szCs w:val="24"/>
        </w:rPr>
        <w:lastRenderedPageBreak/>
        <w:t>6.</w:t>
      </w:r>
      <w:r w:rsidRPr="00594B87">
        <w:rPr>
          <w:szCs w:val="24"/>
        </w:rPr>
        <w:tab/>
        <w:t>připomíná, že po dohodě s odbory a sociálními partnery sestávají individualizované služby, které mají být poskytnuty všem pracovníkům, z těchto opatření: podrobné posouzení a individuální plánování, činnosti související s hledáním zaměstnání a odborné vedení, podpora zahájení vlastního podnikání a investiční podpora, odborná příprava pro splnění nároků trhu práce, školení, zvláštní podpora pro vstup na trh práce nebo účast na dalším vzdělávání, příspěvky a odborná příprava v oblasti digitálních dovedností; zdůrazňuje, že švédské orgány musí uvádět původ finančních prostředků Unie, zajišťovat jejich zviditelnění a upozorňovat na přidanou hodnotu Unie tím, že budou poskytovat ucelené a účinné informace různým cílovým skupinám, včetně příjemců pomoci, místních a regionálních orgánů, sociálních partnerů, sdělovacích prostředků a veřejnosti;</w:t>
      </w:r>
    </w:p>
    <w:p w14:paraId="2D9DF4BD" w14:textId="77777777" w:rsidR="00AB6A38" w:rsidRPr="00594B87" w:rsidRDefault="00AB6A38" w:rsidP="00594B87">
      <w:pPr>
        <w:pStyle w:val="NormalHanging12a"/>
        <w:rPr>
          <w:bCs/>
          <w:iCs/>
          <w:szCs w:val="24"/>
        </w:rPr>
      </w:pPr>
      <w:r w:rsidRPr="00594B87">
        <w:rPr>
          <w:szCs w:val="24"/>
        </w:rPr>
        <w:t>7.</w:t>
      </w:r>
      <w:r w:rsidRPr="00594B87">
        <w:rPr>
          <w:szCs w:val="24"/>
        </w:rPr>
        <w:tab/>
        <w:t>zdůrazňuje, že kvalifikace a dovednosti propuštěných pracovníků jsou i nadále klíčové, má-li evropské hospodářství obstát i v budoucnu a uspět při ekologické transformaci; domnívá se proto, že uvolnění prostředků z EFG musí být součástí reakce zahrnující větší šíři politik, aby bylo zajištěno, že dotčení pracovníci najdou vhodné příležitosti odpovídající jejich kvalifikaci a dovednostem;</w:t>
      </w:r>
    </w:p>
    <w:p w14:paraId="1FC2D1A0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8.</w:t>
      </w:r>
      <w:r w:rsidRPr="00594B87">
        <w:rPr>
          <w:szCs w:val="24"/>
        </w:rPr>
        <w:tab/>
        <w:t>vyzývá k důkladnému závěrečnému hodnocení prováděných opatření, včetně jasných informací o tom, jak byly finanční prostředky využity a zda byly vynaloženy v souladu se schválenými plány, zejména v případech přímé finanční podpory, jako je podpora začínajících podniků a investiční podpora; rovněž žádá údaje o počtu pracovníků, kteří se úspěšně vrátili do zaměstnání, a o počtu pracovníků, kteří dokončili opatření k rozšíření a prohloubení dovedností a znalostí;</w:t>
      </w:r>
    </w:p>
    <w:p w14:paraId="0FF0AE3C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9.</w:t>
      </w:r>
      <w:r w:rsidRPr="00594B87">
        <w:rPr>
          <w:szCs w:val="24"/>
        </w:rPr>
        <w:tab/>
        <w:t>konstatuje, že Švédsko začalo poskytovat individualizované služby cílovým příjemcům a vznikly mu správní výdaje spojené s prováděním EFG ode dne 25. října 2024, a období způsobilosti pro finanční příspěvek z EFG tudíž začíná tímto dnem a </w:t>
      </w:r>
      <w:proofErr w:type="gramStart"/>
      <w:r w:rsidRPr="00594B87">
        <w:rPr>
          <w:szCs w:val="24"/>
        </w:rPr>
        <w:t>končí</w:t>
      </w:r>
      <w:proofErr w:type="gramEnd"/>
      <w:r w:rsidRPr="00594B87">
        <w:rPr>
          <w:szCs w:val="24"/>
        </w:rPr>
        <w:t xml:space="preserve"> 24, respektive 31 měsíců ode dne vstupu rozhodnutí o financování v platnost;</w:t>
      </w:r>
    </w:p>
    <w:p w14:paraId="1F58F5BC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10.</w:t>
      </w:r>
      <w:r w:rsidRPr="00594B87">
        <w:rPr>
          <w:szCs w:val="24"/>
        </w:rPr>
        <w:tab/>
        <w:t>konstatuje, že švédské orgány potvrdily, že při přístupu k navrhovaným opatřením a při jejich provádění budou dodržovat zásady rovného zacházení a nediskriminace a že zamezí dvojímu financování;</w:t>
      </w:r>
    </w:p>
    <w:p w14:paraId="32D80125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11.</w:t>
      </w:r>
      <w:r w:rsidRPr="00594B87">
        <w:rPr>
          <w:szCs w:val="24"/>
        </w:rPr>
        <w:tab/>
        <w:t xml:space="preserve">opakuje, že pomoc z fondu EFG nesmí nahrazovat opatření, za něž na základě vnitrostátních právních předpisů nebo kolektivních smluv odpovídají podniky; </w:t>
      </w:r>
    </w:p>
    <w:p w14:paraId="23B0A5BC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12.</w:t>
      </w:r>
      <w:r w:rsidRPr="00594B87">
        <w:rPr>
          <w:szCs w:val="24"/>
        </w:rPr>
        <w:tab/>
        <w:t xml:space="preserve">zdůrazňuje, že je naléhavě nutné vyvinout na úrovni Unie v úzkém partnerství s členskými státy a regiony soudržné a koordinované úsilí na podporu konkurenceschopnosti a strategické autonomie, aby byla zajištěna průmyslová pracovní základna Evropy, která obstojí i v budoucnu, naplní požadavky pro dosažení evropské průmyslové autonomie, zlepší postavení Unie ve strategických odvětvích, jako je odvětví baterií a dodavatelské odvětví, a přispěje k dosažení ekologické a digitální transformace Unie; zdůrazňuje, že pouze silné, odolné a udržitelné evropské hospodářství může být účinnou ochranou před rozsáhlým propouštěním, což je prvořadou podmínkou pro snížení potřeby pomoci z EFG; poukazuje na to, že je třeba zajistit, aby se financování Unie dostalo patřičného uznání a aby bylo zřetelně viditelné, což zdůrazní jeho přidanou hodnotu a evropskou solidaritu, kterou EFG představuje; vyzývá k důsledné a cílené komunikaci s příjemci, regionálními a místními orgány, se sociálními partnery, sdělovacími prostředky a s širší veřejností; se značnou nelibostí sleduje, že odvětví baterií v Unii poškozují dotace, které čínská vláda poskytuje svým </w:t>
      </w:r>
      <w:r w:rsidRPr="00594B87">
        <w:rPr>
          <w:szCs w:val="24"/>
        </w:rPr>
        <w:lastRenderedPageBreak/>
        <w:t>výrobcům a které narušují celosvětovou hospodářskou soutěž;</w:t>
      </w:r>
    </w:p>
    <w:p w14:paraId="4AD2E71A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13.</w:t>
      </w:r>
      <w:r w:rsidRPr="00594B87">
        <w:rPr>
          <w:szCs w:val="24"/>
        </w:rPr>
        <w:tab/>
        <w:t>schvaluje rozhodnutí uvedené v příloze k tomuto usnesení;</w:t>
      </w:r>
    </w:p>
    <w:p w14:paraId="17F8A711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14.</w:t>
      </w:r>
      <w:r w:rsidRPr="00594B87">
        <w:rPr>
          <w:szCs w:val="24"/>
        </w:rPr>
        <w:tab/>
        <w:t>pověřuje svou předsedkyni, aby toto rozhodnutí podepsala společně s předsedkyní Rady a aby zajistila jeho zveřejnění v </w:t>
      </w:r>
      <w:r w:rsidRPr="00594B87">
        <w:rPr>
          <w:i/>
          <w:iCs/>
          <w:szCs w:val="24"/>
        </w:rPr>
        <w:t>Úředním věstníku Evropské unie</w:t>
      </w:r>
      <w:r w:rsidRPr="00594B87">
        <w:rPr>
          <w:szCs w:val="24"/>
        </w:rPr>
        <w:t>;</w:t>
      </w:r>
    </w:p>
    <w:p w14:paraId="392DE9C1" w14:textId="77777777" w:rsidR="00AB6A38" w:rsidRPr="00594B87" w:rsidRDefault="00AB6A38" w:rsidP="00594B87">
      <w:pPr>
        <w:pStyle w:val="NormalHanging12a"/>
        <w:rPr>
          <w:szCs w:val="24"/>
        </w:rPr>
      </w:pPr>
      <w:r w:rsidRPr="00594B87">
        <w:rPr>
          <w:szCs w:val="24"/>
        </w:rPr>
        <w:t>15.</w:t>
      </w:r>
      <w:r w:rsidRPr="00594B87">
        <w:rPr>
          <w:szCs w:val="24"/>
        </w:rPr>
        <w:tab/>
        <w:t>pověřuje svou předsedkyni, aby předala toto usnesení včetně přílohy Radě a Komisi.</w:t>
      </w:r>
    </w:p>
    <w:p w14:paraId="25C7AC60" w14:textId="77777777" w:rsidR="000355E1" w:rsidRDefault="000355E1" w:rsidP="00594B87">
      <w:pPr>
        <w:widowControl/>
        <w:spacing w:after="240"/>
        <w:rPr>
          <w:szCs w:val="24"/>
        </w:rPr>
        <w:sectPr w:rsidR="000355E1" w:rsidSect="00727FE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F89D9C7" w14:textId="77777777" w:rsidR="00167645" w:rsidRDefault="00AB6A38" w:rsidP="00594B87">
      <w:pPr>
        <w:pStyle w:val="PageHeading"/>
        <w:spacing w:after="240"/>
        <w:rPr>
          <w:rFonts w:ascii="Times New Roman" w:hAnsi="Times New Roman" w:cs="Times New Roman"/>
          <w:szCs w:val="24"/>
        </w:rPr>
      </w:pPr>
      <w:bookmarkStart w:id="7" w:name="_Toc216082518"/>
      <w:r w:rsidRPr="00594B87">
        <w:rPr>
          <w:rFonts w:ascii="Times New Roman" w:hAnsi="Times New Roman" w:cs="Times New Roman"/>
          <w:szCs w:val="24"/>
        </w:rPr>
        <w:lastRenderedPageBreak/>
        <w:t>PŘÍLOHA</w:t>
      </w:r>
    </w:p>
    <w:p w14:paraId="490FF99C" w14:textId="79099443" w:rsidR="00AB6A38" w:rsidRPr="00594B87" w:rsidRDefault="00AB6A38" w:rsidP="00594B87">
      <w:pPr>
        <w:pStyle w:val="PageHeading"/>
        <w:spacing w:after="240"/>
        <w:rPr>
          <w:rFonts w:ascii="Times New Roman" w:hAnsi="Times New Roman" w:cs="Times New Roman"/>
          <w:noProof/>
          <w:szCs w:val="24"/>
        </w:rPr>
      </w:pPr>
      <w:r w:rsidRPr="00594B87">
        <w:rPr>
          <w:rFonts w:ascii="Times New Roman" w:hAnsi="Times New Roman" w:cs="Times New Roman"/>
          <w:szCs w:val="24"/>
        </w:rPr>
        <w:t>ROZHODNUTÍ EVROPSKÉHO PARLAMENTU A RADY</w:t>
      </w:r>
      <w:bookmarkEnd w:id="7"/>
    </w:p>
    <w:p w14:paraId="04E7B2BD" w14:textId="77777777" w:rsidR="00AB6A38" w:rsidRDefault="00AB6A38" w:rsidP="00167645">
      <w:pPr>
        <w:pStyle w:val="NormalBold24a"/>
        <w:spacing w:after="240"/>
        <w:jc w:val="center"/>
        <w:rPr>
          <w:szCs w:val="24"/>
        </w:rPr>
      </w:pPr>
      <w:r w:rsidRPr="00594B87">
        <w:rPr>
          <w:szCs w:val="24"/>
        </w:rPr>
        <w:t>o uvolnění prostředků z Evropského fondu pro přizpůsobení se globalizaci na pomoc propuštěným pracovníkům na základě žádosti Švédska – EGF/2025/003 SE/</w:t>
      </w:r>
      <w:proofErr w:type="spellStart"/>
      <w:r w:rsidRPr="00594B87">
        <w:rPr>
          <w:szCs w:val="24"/>
        </w:rPr>
        <w:t>Northvolt</w:t>
      </w:r>
      <w:proofErr w:type="spellEnd"/>
      <w:r w:rsidRPr="00594B87">
        <w:rPr>
          <w:szCs w:val="24"/>
        </w:rPr>
        <w:t>)</w:t>
      </w:r>
    </w:p>
    <w:p w14:paraId="15170884" w14:textId="034CA411" w:rsidR="00167645" w:rsidRPr="00167645" w:rsidRDefault="00167645" w:rsidP="00167645">
      <w:pPr>
        <w:spacing w:before="360"/>
        <w:rPr>
          <w:i/>
          <w:iCs/>
          <w:szCs w:val="24"/>
        </w:rPr>
      </w:pPr>
      <w:r w:rsidRPr="00167645">
        <w:rPr>
          <w:i/>
          <w:iCs/>
          <w:szCs w:val="24"/>
        </w:rPr>
        <w:t>(Znění této přílohy se zde neuvádí, jelikož odpovídá znění konečného aktu, rozhodnutí (EU) 202</w:t>
      </w:r>
      <w:r>
        <w:rPr>
          <w:i/>
          <w:iCs/>
          <w:szCs w:val="24"/>
        </w:rPr>
        <w:t>5</w:t>
      </w:r>
      <w:r w:rsidRPr="00167645">
        <w:rPr>
          <w:i/>
          <w:iCs/>
          <w:szCs w:val="24"/>
        </w:rPr>
        <w:t>/</w:t>
      </w:r>
      <w:r>
        <w:rPr>
          <w:i/>
          <w:iCs/>
          <w:szCs w:val="24"/>
        </w:rPr>
        <w:t>2661</w:t>
      </w:r>
      <w:r w:rsidRPr="00167645">
        <w:rPr>
          <w:i/>
          <w:iCs/>
          <w:szCs w:val="24"/>
        </w:rPr>
        <w:t>.)</w:t>
      </w:r>
    </w:p>
    <w:p w14:paraId="52B8E216" w14:textId="77777777" w:rsidR="00167645" w:rsidRPr="00167645" w:rsidRDefault="00167645" w:rsidP="00167645">
      <w:pPr>
        <w:pStyle w:val="NormalBold24a"/>
        <w:spacing w:before="360" w:after="240"/>
        <w:rPr>
          <w:b w:val="0"/>
          <w:bCs w:val="0"/>
          <w:i/>
          <w:iCs/>
          <w:szCs w:val="24"/>
        </w:rPr>
      </w:pPr>
    </w:p>
    <w:sectPr w:rsidR="00167645" w:rsidRPr="00167645" w:rsidSect="00727FE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B6BE1" w14:textId="77777777" w:rsidR="00322E39" w:rsidRPr="00727FE0" w:rsidRDefault="00322E39">
      <w:r w:rsidRPr="00727FE0">
        <w:separator/>
      </w:r>
    </w:p>
  </w:endnote>
  <w:endnote w:type="continuationSeparator" w:id="0">
    <w:p w14:paraId="6400B8CE" w14:textId="77777777" w:rsidR="00322E39" w:rsidRPr="00727FE0" w:rsidRDefault="00322E39">
      <w:r w:rsidRPr="00727F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C4B16" w14:textId="77777777" w:rsidR="00064002" w:rsidRPr="00727F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7F44B" w14:textId="77777777" w:rsidR="00064002" w:rsidRPr="00727F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A61BE" w14:textId="77777777" w:rsidR="00064002" w:rsidRPr="00727F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878E4" w14:textId="77777777" w:rsidR="00322E39" w:rsidRPr="00727FE0" w:rsidRDefault="00322E39">
      <w:r w:rsidRPr="00727FE0">
        <w:separator/>
      </w:r>
    </w:p>
  </w:footnote>
  <w:footnote w:type="continuationSeparator" w:id="0">
    <w:p w14:paraId="6072ADE2" w14:textId="77777777" w:rsidR="00322E39" w:rsidRPr="00727FE0" w:rsidRDefault="00322E39">
      <w:r w:rsidRPr="00727FE0">
        <w:continuationSeparator/>
      </w:r>
    </w:p>
  </w:footnote>
  <w:footnote w:id="1">
    <w:p w14:paraId="37059AF5" w14:textId="0C6E50D6" w:rsidR="00AB6A38" w:rsidRPr="00727FE0" w:rsidRDefault="00AB6A38" w:rsidP="00727FE0">
      <w:pPr>
        <w:pStyle w:val="FootnoteText"/>
        <w:ind w:left="567" w:hanging="567"/>
        <w:rPr>
          <w:sz w:val="24"/>
          <w:lang w:val="cs-CZ"/>
        </w:rPr>
      </w:pPr>
      <w:r w:rsidRPr="00727FE0">
        <w:rPr>
          <w:rStyle w:val="FootnoteReference"/>
          <w:sz w:val="24"/>
          <w:lang w:val="cs-CZ"/>
        </w:rPr>
        <w:footnoteRef/>
      </w:r>
      <w:r w:rsidR="00727FE0" w:rsidRPr="00727FE0">
        <w:rPr>
          <w:sz w:val="24"/>
          <w:lang w:val="cs-CZ"/>
        </w:rPr>
        <w:t xml:space="preserve"> </w:t>
      </w:r>
      <w:r w:rsidR="00727FE0" w:rsidRPr="00727FE0">
        <w:rPr>
          <w:sz w:val="24"/>
          <w:lang w:val="cs-CZ"/>
        </w:rPr>
        <w:tab/>
      </w:r>
      <w:proofErr w:type="spellStart"/>
      <w:r w:rsidRPr="00727FE0">
        <w:rPr>
          <w:sz w:val="24"/>
          <w:lang w:val="cs-CZ"/>
        </w:rPr>
        <w:t>Úř</w:t>
      </w:r>
      <w:proofErr w:type="spellEnd"/>
      <w:r w:rsidRPr="00727FE0">
        <w:rPr>
          <w:sz w:val="24"/>
          <w:lang w:val="cs-CZ"/>
        </w:rPr>
        <w:t xml:space="preserve">. </w:t>
      </w:r>
      <w:proofErr w:type="spellStart"/>
      <w:r w:rsidRPr="00727FE0">
        <w:rPr>
          <w:sz w:val="24"/>
          <w:lang w:val="cs-CZ"/>
        </w:rPr>
        <w:t>věst</w:t>
      </w:r>
      <w:proofErr w:type="spellEnd"/>
      <w:r w:rsidRPr="00727FE0">
        <w:rPr>
          <w:sz w:val="24"/>
          <w:lang w:val="cs-CZ"/>
        </w:rPr>
        <w:t xml:space="preserve">. L 153, 3.5.2021, s. 48, ELI: </w:t>
      </w:r>
      <w:r w:rsidR="00167645">
        <w:fldChar w:fldCharType="begin"/>
      </w:r>
      <w:r w:rsidR="00167645" w:rsidRPr="00167645">
        <w:rPr>
          <w:lang w:val="fi-FI"/>
        </w:rPr>
        <w:instrText>HYPERLINK "http://data.europa.eu/eli/reg/2021/691/oj"</w:instrText>
      </w:r>
      <w:r w:rsidR="00167645">
        <w:fldChar w:fldCharType="separate"/>
      </w:r>
      <w:r w:rsidRPr="00727FE0">
        <w:rPr>
          <w:rStyle w:val="Hyperlink"/>
          <w:sz w:val="24"/>
          <w:lang w:val="cs-CZ"/>
        </w:rPr>
        <w:t>http://data.europa.eu/eli/reg/2021/691/oj</w:t>
      </w:r>
      <w:r w:rsidR="00167645">
        <w:rPr>
          <w:rStyle w:val="Hyperlink"/>
          <w:sz w:val="24"/>
          <w:lang w:val="cs-CZ"/>
        </w:rPr>
        <w:fldChar w:fldCharType="end"/>
      </w:r>
      <w:r w:rsidRPr="00727FE0">
        <w:rPr>
          <w:sz w:val="24"/>
          <w:lang w:val="cs-CZ"/>
        </w:rPr>
        <w:t>.</w:t>
      </w:r>
    </w:p>
  </w:footnote>
  <w:footnote w:id="2">
    <w:p w14:paraId="6D168264" w14:textId="2AC2EDE2" w:rsidR="00AB6A38" w:rsidRPr="00727FE0" w:rsidRDefault="00AB6A38" w:rsidP="00727FE0">
      <w:pPr>
        <w:pStyle w:val="FootnoteText"/>
        <w:ind w:left="567" w:hanging="567"/>
        <w:rPr>
          <w:sz w:val="24"/>
          <w:lang w:val="cs-CZ"/>
        </w:rPr>
      </w:pPr>
      <w:r w:rsidRPr="00727FE0">
        <w:rPr>
          <w:rStyle w:val="FootnoteReference"/>
          <w:sz w:val="24"/>
          <w:lang w:val="cs-CZ"/>
        </w:rPr>
        <w:footnoteRef/>
      </w:r>
      <w:r w:rsidR="00727FE0" w:rsidRPr="00727FE0">
        <w:rPr>
          <w:sz w:val="24"/>
          <w:lang w:val="cs-CZ"/>
        </w:rPr>
        <w:t xml:space="preserve"> </w:t>
      </w:r>
      <w:r w:rsidR="00727FE0" w:rsidRPr="00727FE0">
        <w:rPr>
          <w:sz w:val="24"/>
          <w:lang w:val="cs-CZ"/>
        </w:rPr>
        <w:tab/>
      </w:r>
      <w:proofErr w:type="spellStart"/>
      <w:r w:rsidRPr="00727FE0">
        <w:rPr>
          <w:sz w:val="24"/>
          <w:lang w:val="cs-CZ"/>
        </w:rPr>
        <w:t>Úř</w:t>
      </w:r>
      <w:proofErr w:type="spellEnd"/>
      <w:r w:rsidRPr="00727FE0">
        <w:rPr>
          <w:sz w:val="24"/>
          <w:lang w:val="cs-CZ"/>
        </w:rPr>
        <w:t xml:space="preserve">. </w:t>
      </w:r>
      <w:proofErr w:type="spellStart"/>
      <w:r w:rsidRPr="00727FE0">
        <w:rPr>
          <w:sz w:val="24"/>
          <w:lang w:val="cs-CZ"/>
        </w:rPr>
        <w:t>věst</w:t>
      </w:r>
      <w:proofErr w:type="spellEnd"/>
      <w:r w:rsidRPr="00727FE0">
        <w:rPr>
          <w:sz w:val="24"/>
          <w:lang w:val="cs-CZ"/>
        </w:rPr>
        <w:t>. L 433</w:t>
      </w:r>
      <w:r w:rsidR="00EA592C">
        <w:rPr>
          <w:sz w:val="24"/>
          <w:lang w:val="cs-CZ"/>
        </w:rPr>
        <w:t xml:space="preserve"> I</w:t>
      </w:r>
      <w:r w:rsidRPr="00727FE0">
        <w:rPr>
          <w:sz w:val="24"/>
          <w:lang w:val="cs-CZ"/>
        </w:rPr>
        <w:t xml:space="preserve">, 22.12.2020, s. 11, ELI: </w:t>
      </w:r>
      <w:r w:rsidR="00167645">
        <w:fldChar w:fldCharType="begin"/>
      </w:r>
      <w:r w:rsidR="00167645" w:rsidRPr="00167645">
        <w:rPr>
          <w:lang w:val="cs-CZ"/>
        </w:rPr>
        <w:instrText>HYPERLINK "http://data.europa.eu/eli/reg/2020/2093/oj"</w:instrText>
      </w:r>
      <w:r w:rsidR="00167645">
        <w:fldChar w:fldCharType="separate"/>
      </w:r>
      <w:r w:rsidRPr="00727FE0">
        <w:rPr>
          <w:rStyle w:val="Hyperlink"/>
          <w:sz w:val="24"/>
          <w:lang w:val="cs-CZ"/>
        </w:rPr>
        <w:t>http://data.europa.eu/eli/reg/2020/2093/oj</w:t>
      </w:r>
      <w:r w:rsidR="00167645">
        <w:rPr>
          <w:rStyle w:val="Hyperlink"/>
          <w:sz w:val="24"/>
          <w:lang w:val="cs-CZ"/>
        </w:rPr>
        <w:fldChar w:fldCharType="end"/>
      </w:r>
      <w:r w:rsidRPr="00727FE0">
        <w:rPr>
          <w:sz w:val="24"/>
          <w:lang w:val="cs-CZ"/>
        </w:rPr>
        <w:t>.</w:t>
      </w:r>
    </w:p>
  </w:footnote>
  <w:footnote w:id="3">
    <w:p w14:paraId="13952AEB" w14:textId="1EABAE5C" w:rsidR="00AB6A38" w:rsidRPr="00727FE0" w:rsidRDefault="00AB6A38" w:rsidP="00727FE0">
      <w:pPr>
        <w:pStyle w:val="FootnoteText"/>
        <w:ind w:left="567" w:hanging="567"/>
        <w:rPr>
          <w:sz w:val="24"/>
          <w:lang w:val="cs-CZ"/>
        </w:rPr>
      </w:pPr>
      <w:r w:rsidRPr="00727FE0">
        <w:rPr>
          <w:rStyle w:val="FootnoteReference"/>
          <w:sz w:val="24"/>
          <w:lang w:val="cs-CZ"/>
        </w:rPr>
        <w:footnoteRef/>
      </w:r>
      <w:r w:rsidR="00727FE0" w:rsidRPr="00727FE0">
        <w:rPr>
          <w:sz w:val="24"/>
          <w:shd w:val="clear" w:color="auto" w:fill="FFFFFF"/>
          <w:lang w:val="cs-CZ"/>
        </w:rPr>
        <w:t xml:space="preserve"> </w:t>
      </w:r>
      <w:r w:rsidR="00727FE0" w:rsidRPr="00727FE0">
        <w:rPr>
          <w:sz w:val="24"/>
          <w:shd w:val="clear" w:color="auto" w:fill="FFFFFF"/>
          <w:lang w:val="cs-CZ"/>
        </w:rPr>
        <w:tab/>
      </w:r>
      <w:r w:rsidRPr="00727FE0">
        <w:rPr>
          <w:sz w:val="24"/>
          <w:shd w:val="clear" w:color="auto" w:fill="FFFFFF"/>
          <w:lang w:val="cs-CZ"/>
        </w:rPr>
        <w:t>Nařízení Rady (EU, Euratom) 2024/765 ze dne 29. února 2024, kterým se mění nařízení (EU, Euratom) 2020/2093, kterým se stanoví víceletý finanční rámec na období 2021–2027 (</w:t>
      </w:r>
      <w:proofErr w:type="spellStart"/>
      <w:r w:rsidRPr="00727FE0">
        <w:rPr>
          <w:sz w:val="24"/>
          <w:shd w:val="clear" w:color="auto" w:fill="FFFFFF"/>
          <w:lang w:val="cs-CZ"/>
        </w:rPr>
        <w:t>Úř</w:t>
      </w:r>
      <w:proofErr w:type="spellEnd"/>
      <w:r w:rsidRPr="00727FE0">
        <w:rPr>
          <w:sz w:val="24"/>
          <w:shd w:val="clear" w:color="auto" w:fill="FFFFFF"/>
          <w:lang w:val="cs-CZ"/>
        </w:rPr>
        <w:t xml:space="preserve">. </w:t>
      </w:r>
      <w:proofErr w:type="spellStart"/>
      <w:r w:rsidRPr="00727FE0">
        <w:rPr>
          <w:sz w:val="24"/>
          <w:shd w:val="clear" w:color="auto" w:fill="FFFFFF"/>
          <w:lang w:val="cs-CZ"/>
        </w:rPr>
        <w:t>věst</w:t>
      </w:r>
      <w:proofErr w:type="spellEnd"/>
      <w:r w:rsidRPr="00727FE0">
        <w:rPr>
          <w:sz w:val="24"/>
          <w:shd w:val="clear" w:color="auto" w:fill="FFFFFF"/>
          <w:lang w:val="cs-CZ"/>
        </w:rPr>
        <w:t>. L, 2024/765, 29.2.2024, ELI:</w:t>
      </w:r>
      <w:r w:rsidRPr="00727FE0">
        <w:rPr>
          <w:color w:val="333333"/>
          <w:sz w:val="24"/>
          <w:shd w:val="clear" w:color="auto" w:fill="FFFFFF"/>
          <w:lang w:val="cs-CZ"/>
        </w:rPr>
        <w:t xml:space="preserve"> </w:t>
      </w:r>
      <w:r w:rsidR="00167645">
        <w:fldChar w:fldCharType="begin"/>
      </w:r>
      <w:r w:rsidR="00167645" w:rsidRPr="00167645">
        <w:rPr>
          <w:lang w:val="fi-FI"/>
        </w:rPr>
        <w:instrText>HYPERLINK "http://data.europa.eu/eli/reg/2024/765/oj"</w:instrText>
      </w:r>
      <w:r w:rsidR="00167645">
        <w:fldChar w:fldCharType="separate"/>
      </w:r>
      <w:r w:rsidRPr="00727FE0">
        <w:rPr>
          <w:rStyle w:val="Hyperlink"/>
          <w:sz w:val="24"/>
          <w:shd w:val="clear" w:color="auto" w:fill="FFFFFF"/>
          <w:lang w:val="cs-CZ"/>
        </w:rPr>
        <w:t>http://data.europa.eu/eli/reg/2024/765/oj</w:t>
      </w:r>
      <w:r w:rsidR="00167645">
        <w:rPr>
          <w:rStyle w:val="Hyperlink"/>
          <w:sz w:val="24"/>
          <w:shd w:val="clear" w:color="auto" w:fill="FFFFFF"/>
          <w:lang w:val="cs-CZ"/>
        </w:rPr>
        <w:fldChar w:fldCharType="end"/>
      </w:r>
      <w:r w:rsidRPr="00F932D5">
        <w:rPr>
          <w:iCs/>
          <w:color w:val="333333"/>
          <w:sz w:val="24"/>
          <w:shd w:val="clear" w:color="auto" w:fill="FFFFFF"/>
          <w:lang w:val="cs-CZ"/>
        </w:rPr>
        <w:t>)</w:t>
      </w:r>
      <w:r w:rsidRPr="00727FE0">
        <w:rPr>
          <w:i/>
          <w:color w:val="333333"/>
          <w:sz w:val="24"/>
          <w:shd w:val="clear" w:color="auto" w:fill="FFFFFF"/>
          <w:lang w:val="cs-CZ"/>
        </w:rPr>
        <w:t>.</w:t>
      </w:r>
    </w:p>
  </w:footnote>
  <w:footnote w:id="4">
    <w:p w14:paraId="5C9C451F" w14:textId="50DB5F84" w:rsidR="00AB6A38" w:rsidRPr="00727FE0" w:rsidRDefault="00AB6A38" w:rsidP="00727FE0">
      <w:pPr>
        <w:pStyle w:val="FootnoteText"/>
        <w:ind w:left="567" w:hanging="567"/>
        <w:rPr>
          <w:sz w:val="24"/>
          <w:lang w:val="cs-CZ"/>
        </w:rPr>
      </w:pPr>
      <w:r w:rsidRPr="00727FE0">
        <w:rPr>
          <w:rStyle w:val="FootnoteReference"/>
          <w:sz w:val="24"/>
          <w:lang w:val="cs-CZ"/>
        </w:rPr>
        <w:footnoteRef/>
      </w:r>
      <w:r w:rsidR="00727FE0" w:rsidRPr="00727FE0">
        <w:rPr>
          <w:sz w:val="24"/>
          <w:lang w:val="cs-CZ"/>
        </w:rPr>
        <w:t xml:space="preserve"> </w:t>
      </w:r>
      <w:r w:rsidR="00727FE0" w:rsidRPr="00727FE0">
        <w:rPr>
          <w:sz w:val="24"/>
          <w:lang w:val="cs-CZ"/>
        </w:rPr>
        <w:tab/>
      </w:r>
      <w:proofErr w:type="spellStart"/>
      <w:r w:rsidRPr="00727FE0">
        <w:rPr>
          <w:sz w:val="24"/>
          <w:lang w:val="cs-CZ"/>
        </w:rPr>
        <w:t>Úř</w:t>
      </w:r>
      <w:proofErr w:type="spellEnd"/>
      <w:r w:rsidRPr="00727FE0">
        <w:rPr>
          <w:sz w:val="24"/>
          <w:lang w:val="cs-CZ"/>
        </w:rPr>
        <w:t xml:space="preserve">. </w:t>
      </w:r>
      <w:proofErr w:type="spellStart"/>
      <w:r w:rsidRPr="00727FE0">
        <w:rPr>
          <w:sz w:val="24"/>
          <w:lang w:val="cs-CZ"/>
        </w:rPr>
        <w:t>věst</w:t>
      </w:r>
      <w:proofErr w:type="spellEnd"/>
      <w:r w:rsidRPr="00727FE0">
        <w:rPr>
          <w:sz w:val="24"/>
          <w:lang w:val="cs-CZ"/>
        </w:rPr>
        <w:t>. L 433</w:t>
      </w:r>
      <w:r w:rsidR="00EA592C">
        <w:rPr>
          <w:sz w:val="24"/>
          <w:lang w:val="cs-CZ"/>
        </w:rPr>
        <w:t xml:space="preserve"> I</w:t>
      </w:r>
      <w:r w:rsidRPr="00727FE0">
        <w:rPr>
          <w:sz w:val="24"/>
          <w:lang w:val="cs-CZ"/>
        </w:rPr>
        <w:t xml:space="preserve">, 22.12.2020, s. 28, ELI: </w:t>
      </w:r>
      <w:r w:rsidR="00167645">
        <w:fldChar w:fldCharType="begin"/>
      </w:r>
      <w:r w:rsidR="00167645" w:rsidRPr="00167645">
        <w:rPr>
          <w:lang w:val="fi-FI"/>
        </w:rPr>
        <w:instrText>HYPERLINK "http://data.europa.eu/eli/agree_interinstit/2020/1222/oj"</w:instrText>
      </w:r>
      <w:r w:rsidR="00167645">
        <w:fldChar w:fldCharType="separate"/>
      </w:r>
      <w:r w:rsidRPr="00727FE0">
        <w:rPr>
          <w:rStyle w:val="Hyperlink"/>
          <w:sz w:val="24"/>
          <w:lang w:val="cs-CZ"/>
        </w:rPr>
        <w:t>http://data.europa.eu/eli/agree_interinstit/2020/1222/oj</w:t>
      </w:r>
      <w:r w:rsidR="00167645">
        <w:rPr>
          <w:rStyle w:val="Hyperlink"/>
          <w:sz w:val="24"/>
          <w:lang w:val="cs-CZ"/>
        </w:rPr>
        <w:fldChar w:fldCharType="end"/>
      </w:r>
      <w:r w:rsidRPr="00727FE0">
        <w:rPr>
          <w:sz w:val="24"/>
          <w:lang w:val="cs-CZ"/>
        </w:rPr>
        <w:t>.</w:t>
      </w:r>
    </w:p>
  </w:footnote>
  <w:footnote w:id="5">
    <w:p w14:paraId="7214A899" w14:textId="0E171040" w:rsidR="00AB6A38" w:rsidRPr="00727FE0" w:rsidRDefault="00AB6A38" w:rsidP="00727FE0">
      <w:pPr>
        <w:pStyle w:val="FootnoteText"/>
        <w:ind w:left="567" w:hanging="567"/>
        <w:rPr>
          <w:sz w:val="24"/>
          <w:lang w:val="cs-CZ"/>
        </w:rPr>
      </w:pPr>
      <w:r w:rsidRPr="00727FE0">
        <w:rPr>
          <w:rStyle w:val="FootnoteReference"/>
          <w:sz w:val="24"/>
          <w:lang w:val="cs-CZ"/>
        </w:rPr>
        <w:footnoteRef/>
      </w:r>
      <w:r w:rsidR="00727FE0" w:rsidRPr="00727FE0">
        <w:rPr>
          <w:sz w:val="24"/>
          <w:lang w:val="cs-CZ"/>
        </w:rPr>
        <w:t xml:space="preserve"> </w:t>
      </w:r>
      <w:r w:rsidR="00727FE0" w:rsidRPr="00727FE0">
        <w:rPr>
          <w:sz w:val="24"/>
          <w:lang w:val="cs-CZ"/>
        </w:rPr>
        <w:tab/>
      </w:r>
      <w:r w:rsidRPr="00727FE0">
        <w:rPr>
          <w:sz w:val="24"/>
          <w:lang w:val="cs-CZ"/>
        </w:rPr>
        <w:t>Ve smyslu článku 3 nařízení o EFG.</w:t>
      </w:r>
    </w:p>
  </w:footnote>
  <w:footnote w:id="6">
    <w:p w14:paraId="1D94FCD4" w14:textId="4B901C0E" w:rsidR="00AB6A38" w:rsidRPr="00727FE0" w:rsidRDefault="00AB6A38" w:rsidP="00727FE0">
      <w:pPr>
        <w:pStyle w:val="FootnoteText"/>
        <w:ind w:left="567" w:hanging="567"/>
        <w:rPr>
          <w:sz w:val="24"/>
          <w:lang w:val="cs-CZ"/>
        </w:rPr>
      </w:pPr>
      <w:r w:rsidRPr="00727FE0">
        <w:rPr>
          <w:rStyle w:val="FootnoteReference"/>
          <w:sz w:val="24"/>
          <w:lang w:val="cs-CZ"/>
        </w:rPr>
        <w:footnoteRef/>
      </w:r>
      <w:r w:rsidR="00727FE0" w:rsidRPr="00727FE0">
        <w:rPr>
          <w:sz w:val="24"/>
          <w:lang w:val="cs-CZ"/>
        </w:rPr>
        <w:t xml:space="preserve"> </w:t>
      </w:r>
      <w:r w:rsidR="00727FE0" w:rsidRPr="00727FE0">
        <w:rPr>
          <w:sz w:val="24"/>
          <w:lang w:val="cs-CZ"/>
        </w:rPr>
        <w:tab/>
      </w:r>
      <w:r w:rsidRPr="00727FE0">
        <w:rPr>
          <w:sz w:val="24"/>
          <w:lang w:val="cs-CZ"/>
        </w:rPr>
        <w:t xml:space="preserve">Včetně společných podniků </w:t>
      </w:r>
      <w:proofErr w:type="spellStart"/>
      <w:r w:rsidRPr="00727FE0">
        <w:rPr>
          <w:sz w:val="24"/>
          <w:lang w:val="cs-CZ"/>
        </w:rPr>
        <w:t>Northvolt</w:t>
      </w:r>
      <w:proofErr w:type="spellEnd"/>
      <w:r w:rsidRPr="00727FE0">
        <w:rPr>
          <w:sz w:val="24"/>
          <w:lang w:val="cs-CZ"/>
        </w:rPr>
        <w:t xml:space="preserve"> a Volvo </w:t>
      </w:r>
      <w:proofErr w:type="spellStart"/>
      <w:r w:rsidRPr="00727FE0">
        <w:rPr>
          <w:sz w:val="24"/>
          <w:lang w:val="cs-CZ"/>
        </w:rPr>
        <w:t>Cars</w:t>
      </w:r>
      <w:proofErr w:type="spellEnd"/>
      <w:r w:rsidRPr="00727FE0">
        <w:rPr>
          <w:sz w:val="24"/>
          <w:lang w:val="cs-CZ"/>
        </w:rPr>
        <w:t xml:space="preserve">, jejichž všechny akcie získala na začátku roku 2025 společnost Volvo </w:t>
      </w:r>
      <w:proofErr w:type="spellStart"/>
      <w:r w:rsidRPr="00727FE0">
        <w:rPr>
          <w:sz w:val="24"/>
          <w:lang w:val="cs-CZ"/>
        </w:rPr>
        <w:t>Cars</w:t>
      </w:r>
      <w:proofErr w:type="spellEnd"/>
      <w:r w:rsidRPr="00727FE0">
        <w:rPr>
          <w:sz w:val="24"/>
          <w:lang w:val="cs-CZ"/>
        </w:rPr>
        <w:t xml:space="preserve"> a stala se tak jediným vlastníkem těchto podniků.</w:t>
      </w:r>
    </w:p>
  </w:footnote>
  <w:footnote w:id="7">
    <w:p w14:paraId="77B4259B" w14:textId="03C8D4FA" w:rsidR="00AB6A38" w:rsidRPr="00727FE0" w:rsidRDefault="00AB6A38" w:rsidP="00727FE0">
      <w:pPr>
        <w:pStyle w:val="FootnoteText"/>
        <w:ind w:left="567" w:hanging="567"/>
        <w:rPr>
          <w:sz w:val="24"/>
          <w:lang w:val="cs-CZ"/>
        </w:rPr>
      </w:pPr>
      <w:r w:rsidRPr="00727FE0">
        <w:rPr>
          <w:rStyle w:val="FootnoteReference"/>
          <w:sz w:val="24"/>
          <w:lang w:val="cs-CZ"/>
        </w:rPr>
        <w:footnoteRef/>
      </w:r>
      <w:r w:rsidR="00727FE0" w:rsidRPr="00727FE0">
        <w:rPr>
          <w:sz w:val="24"/>
          <w:lang w:val="cs-CZ"/>
        </w:rPr>
        <w:t xml:space="preserve"> </w:t>
      </w:r>
      <w:r w:rsidR="00727FE0" w:rsidRPr="00727FE0">
        <w:rPr>
          <w:sz w:val="24"/>
          <w:lang w:val="cs-CZ"/>
        </w:rPr>
        <w:tab/>
      </w:r>
      <w:r w:rsidRPr="00727FE0">
        <w:rPr>
          <w:sz w:val="24"/>
          <w:lang w:val="cs-CZ"/>
        </w:rPr>
        <w:t xml:space="preserve">Pracovní program Komise na rok 2026, </w:t>
      </w:r>
      <w:proofErr w:type="spellStart"/>
      <w:r w:rsidRPr="00727FE0">
        <w:rPr>
          <w:sz w:val="24"/>
          <w:lang w:val="cs-CZ"/>
        </w:rPr>
        <w:t>Europe's</w:t>
      </w:r>
      <w:proofErr w:type="spellEnd"/>
      <w:r w:rsidRPr="00727FE0">
        <w:rPr>
          <w:sz w:val="24"/>
          <w:lang w:val="cs-CZ"/>
        </w:rPr>
        <w:t xml:space="preserve"> </w:t>
      </w:r>
      <w:proofErr w:type="spellStart"/>
      <w:r w:rsidRPr="00727FE0">
        <w:rPr>
          <w:sz w:val="24"/>
          <w:lang w:val="cs-CZ"/>
        </w:rPr>
        <w:t>Independence</w:t>
      </w:r>
      <w:proofErr w:type="spellEnd"/>
      <w:r w:rsidRPr="00727FE0">
        <w:rPr>
          <w:sz w:val="24"/>
          <w:lang w:val="cs-CZ"/>
        </w:rPr>
        <w:t xml:space="preserve"> Moment </w:t>
      </w:r>
      <w:r w:rsidR="00167645">
        <w:fldChar w:fldCharType="begin"/>
      </w:r>
      <w:r w:rsidR="00167645" w:rsidRPr="00167645">
        <w:rPr>
          <w:lang w:val="cs-CZ"/>
        </w:rPr>
        <w:instrText>HYPERLINK "https://commission.europa.eu/strategy-and-policy/strategy-documents/commission-work-programme/commission-work-programme-2026_en"</w:instrText>
      </w:r>
      <w:r w:rsidR="00167645">
        <w:fldChar w:fldCharType="separate"/>
      </w:r>
      <w:r w:rsidRPr="00727FE0">
        <w:rPr>
          <w:rStyle w:val="Hyperlink"/>
          <w:sz w:val="24"/>
          <w:lang w:val="cs-CZ"/>
        </w:rPr>
        <w:t>https://commission.europa.eu/strategy-and-policy/strategy-documents/commission-work-programme/commission-work-programme-2026_en</w:t>
      </w:r>
      <w:r w:rsidR="00167645">
        <w:rPr>
          <w:rStyle w:val="Hyperlink"/>
          <w:sz w:val="24"/>
          <w:lang w:val="cs-CZ"/>
        </w:rPr>
        <w:fldChar w:fldCharType="end"/>
      </w:r>
      <w:r w:rsidR="00EA592C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E1F9" w14:textId="77777777" w:rsidR="00064002" w:rsidRPr="00727F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E9AA7" w14:textId="77777777" w:rsidR="00064002" w:rsidRPr="00727F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5FF0B" w14:textId="77777777" w:rsidR="00064002" w:rsidRPr="00727F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58983521">
    <w:abstractNumId w:val="9"/>
  </w:num>
  <w:num w:numId="2" w16cid:durableId="1119183725">
    <w:abstractNumId w:val="9"/>
  </w:num>
  <w:num w:numId="3" w16cid:durableId="1915166436">
    <w:abstractNumId w:val="7"/>
  </w:num>
  <w:num w:numId="4" w16cid:durableId="43529478">
    <w:abstractNumId w:val="7"/>
  </w:num>
  <w:num w:numId="5" w16cid:durableId="990132582">
    <w:abstractNumId w:val="6"/>
  </w:num>
  <w:num w:numId="6" w16cid:durableId="646012782">
    <w:abstractNumId w:val="6"/>
  </w:num>
  <w:num w:numId="7" w16cid:durableId="538588200">
    <w:abstractNumId w:val="5"/>
  </w:num>
  <w:num w:numId="8" w16cid:durableId="1448771337">
    <w:abstractNumId w:val="5"/>
  </w:num>
  <w:num w:numId="9" w16cid:durableId="1352339726">
    <w:abstractNumId w:val="4"/>
  </w:num>
  <w:num w:numId="10" w16cid:durableId="995188922">
    <w:abstractNumId w:val="4"/>
  </w:num>
  <w:num w:numId="11" w16cid:durableId="606087282">
    <w:abstractNumId w:val="8"/>
  </w:num>
  <w:num w:numId="12" w16cid:durableId="1881553787">
    <w:abstractNumId w:val="8"/>
  </w:num>
  <w:num w:numId="13" w16cid:durableId="1187331671">
    <w:abstractNumId w:val="3"/>
  </w:num>
  <w:num w:numId="14" w16cid:durableId="1417677249">
    <w:abstractNumId w:val="3"/>
  </w:num>
  <w:num w:numId="15" w16cid:durableId="1925335135">
    <w:abstractNumId w:val="2"/>
  </w:num>
  <w:num w:numId="16" w16cid:durableId="141045638">
    <w:abstractNumId w:val="2"/>
  </w:num>
  <w:num w:numId="17" w16cid:durableId="403066300">
    <w:abstractNumId w:val="1"/>
  </w:num>
  <w:num w:numId="18" w16cid:durableId="2113814872">
    <w:abstractNumId w:val="1"/>
  </w:num>
  <w:num w:numId="19" w16cid:durableId="793721121">
    <w:abstractNumId w:val="0"/>
  </w:num>
  <w:num w:numId="20" w16cid:durableId="106170102">
    <w:abstractNumId w:val="0"/>
  </w:num>
  <w:num w:numId="21" w16cid:durableId="1431514102">
    <w:abstractNumId w:val="9"/>
  </w:num>
  <w:num w:numId="22" w16cid:durableId="433289974">
    <w:abstractNumId w:val="7"/>
  </w:num>
  <w:num w:numId="23" w16cid:durableId="131337303">
    <w:abstractNumId w:val="6"/>
  </w:num>
  <w:num w:numId="24" w16cid:durableId="820193615">
    <w:abstractNumId w:val="5"/>
  </w:num>
  <w:num w:numId="25" w16cid:durableId="516189182">
    <w:abstractNumId w:val="4"/>
  </w:num>
  <w:num w:numId="26" w16cid:durableId="710615240">
    <w:abstractNumId w:val="8"/>
  </w:num>
  <w:num w:numId="27" w16cid:durableId="664672870">
    <w:abstractNumId w:val="3"/>
  </w:num>
  <w:num w:numId="28" w16cid:durableId="749234916">
    <w:abstractNumId w:val="2"/>
  </w:num>
  <w:num w:numId="29" w16cid:durableId="38627253">
    <w:abstractNumId w:val="1"/>
  </w:num>
  <w:num w:numId="30" w16cid:durableId="732898532">
    <w:abstractNumId w:val="0"/>
  </w:num>
  <w:num w:numId="31" w16cid:durableId="1296106674">
    <w:abstractNumId w:val="9"/>
  </w:num>
  <w:num w:numId="32" w16cid:durableId="829174219">
    <w:abstractNumId w:val="7"/>
  </w:num>
  <w:num w:numId="33" w16cid:durableId="1825972372">
    <w:abstractNumId w:val="6"/>
  </w:num>
  <w:num w:numId="34" w16cid:durableId="286859235">
    <w:abstractNumId w:val="5"/>
  </w:num>
  <w:num w:numId="35" w16cid:durableId="1810588237">
    <w:abstractNumId w:val="4"/>
  </w:num>
  <w:num w:numId="36" w16cid:durableId="1202788292">
    <w:abstractNumId w:val="8"/>
  </w:num>
  <w:num w:numId="37" w16cid:durableId="1529179312">
    <w:abstractNumId w:val="3"/>
  </w:num>
  <w:num w:numId="38" w16cid:durableId="1573541404">
    <w:abstractNumId w:val="2"/>
  </w:num>
  <w:num w:numId="39" w16cid:durableId="1676836408">
    <w:abstractNumId w:val="1"/>
  </w:num>
  <w:num w:numId="40" w16cid:durableId="1274559535">
    <w:abstractNumId w:val="0"/>
  </w:num>
  <w:num w:numId="41" w16cid:durableId="1390038082">
    <w:abstractNumId w:val="10"/>
  </w:num>
  <w:num w:numId="42" w16cid:durableId="136190322">
    <w:abstractNumId w:val="10"/>
  </w:num>
  <w:num w:numId="43" w16cid:durableId="365105954">
    <w:abstractNumId w:val="10"/>
  </w:num>
  <w:num w:numId="44" w16cid:durableId="483839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9/2025"/>
    <w:docVar w:name="dvlangue" w:val="CS"/>
    <w:docVar w:name="dvnumam" w:val="0"/>
    <w:docVar w:name="dvpe" w:val="779.349"/>
    <w:docVar w:name="dvrapporteur" w:val="Zpravodajka: "/>
    <w:docVar w:name="dvtitre" w:val="Usnesení Evropského parlamentu ze dne 16. prosince 2025 o návrhu rozhodnutí Evropského parlamentu a Rady o uvolnění prostředků z Evropského fondu pro přizpůsobení se globalizaci na pomoc propuštěným pracovníkům na základě žádosti Švédska – EGF/2025/003 SE/Northvolt(COM(2025)0621 – C10-0270/2025 – 2025/0326(BUD))"/>
  </w:docVars>
  <w:rsids>
    <w:rsidRoot w:val="00322E39"/>
    <w:rsid w:val="00002272"/>
    <w:rsid w:val="000355E1"/>
    <w:rsid w:val="00064002"/>
    <w:rsid w:val="000677B9"/>
    <w:rsid w:val="000831BA"/>
    <w:rsid w:val="000A42CC"/>
    <w:rsid w:val="000D5D0D"/>
    <w:rsid w:val="000E7DD9"/>
    <w:rsid w:val="0010095E"/>
    <w:rsid w:val="00125B37"/>
    <w:rsid w:val="00167645"/>
    <w:rsid w:val="00187494"/>
    <w:rsid w:val="001F32AE"/>
    <w:rsid w:val="002767FF"/>
    <w:rsid w:val="002B18FE"/>
    <w:rsid w:val="002B5493"/>
    <w:rsid w:val="00322E39"/>
    <w:rsid w:val="00343214"/>
    <w:rsid w:val="00361C00"/>
    <w:rsid w:val="00395FA1"/>
    <w:rsid w:val="003E15D4"/>
    <w:rsid w:val="00411CCE"/>
    <w:rsid w:val="0041666E"/>
    <w:rsid w:val="00421060"/>
    <w:rsid w:val="00471C19"/>
    <w:rsid w:val="0048182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176A"/>
    <w:rsid w:val="005720E7"/>
    <w:rsid w:val="00594B87"/>
    <w:rsid w:val="005C2568"/>
    <w:rsid w:val="005F1B17"/>
    <w:rsid w:val="006037C0"/>
    <w:rsid w:val="006631B6"/>
    <w:rsid w:val="00680577"/>
    <w:rsid w:val="006A233F"/>
    <w:rsid w:val="006F74FA"/>
    <w:rsid w:val="00727FE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43A"/>
    <w:rsid w:val="00981893"/>
    <w:rsid w:val="009F62C6"/>
    <w:rsid w:val="00A1687D"/>
    <w:rsid w:val="00A43E52"/>
    <w:rsid w:val="00A4678D"/>
    <w:rsid w:val="00A47649"/>
    <w:rsid w:val="00A778C7"/>
    <w:rsid w:val="00AB441E"/>
    <w:rsid w:val="00AB6293"/>
    <w:rsid w:val="00AB6A38"/>
    <w:rsid w:val="00AE0928"/>
    <w:rsid w:val="00AF3B82"/>
    <w:rsid w:val="00B12E95"/>
    <w:rsid w:val="00B22876"/>
    <w:rsid w:val="00B558F0"/>
    <w:rsid w:val="00BD1CC4"/>
    <w:rsid w:val="00BD48FE"/>
    <w:rsid w:val="00BD7BD8"/>
    <w:rsid w:val="00BE6ADC"/>
    <w:rsid w:val="00C05BFE"/>
    <w:rsid w:val="00C23CD4"/>
    <w:rsid w:val="00C61C0C"/>
    <w:rsid w:val="00C941CB"/>
    <w:rsid w:val="00CC2357"/>
    <w:rsid w:val="00CE70A4"/>
    <w:rsid w:val="00CF071A"/>
    <w:rsid w:val="00D058B8"/>
    <w:rsid w:val="00D56C11"/>
    <w:rsid w:val="00D834A0"/>
    <w:rsid w:val="00D872DF"/>
    <w:rsid w:val="00D91E21"/>
    <w:rsid w:val="00D963A9"/>
    <w:rsid w:val="00DA7FCD"/>
    <w:rsid w:val="00DC4A46"/>
    <w:rsid w:val="00E365E1"/>
    <w:rsid w:val="00E820A4"/>
    <w:rsid w:val="00EA592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2D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20F033"/>
  <w15:chartTrackingRefBased/>
  <w15:docId w15:val="{5206A58B-278B-45F7-937E-A4A9453B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link w:val="PageHeadingChar"/>
    <w:rsid w:val="00AB6A3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AB6A38"/>
    <w:pPr>
      <w:spacing w:after="240"/>
      <w:ind w:left="567" w:hanging="567"/>
    </w:pPr>
  </w:style>
  <w:style w:type="paragraph" w:customStyle="1" w:styleId="NormalBold24a">
    <w:name w:val="NormalBold24a"/>
    <w:basedOn w:val="Normal"/>
    <w:rsid w:val="00AB6A38"/>
    <w:pPr>
      <w:spacing w:after="480"/>
    </w:pPr>
    <w:rPr>
      <w:b/>
      <w:bCs/>
    </w:rPr>
  </w:style>
  <w:style w:type="paragraph" w:customStyle="1" w:styleId="EPComma">
    <w:name w:val="EPComma"/>
    <w:basedOn w:val="Normal"/>
    <w:rsid w:val="00AB6A38"/>
    <w:pPr>
      <w:spacing w:before="480" w:after="240"/>
    </w:pPr>
  </w:style>
  <w:style w:type="character" w:styleId="Hyperlink">
    <w:name w:val="Hyperlink"/>
    <w:basedOn w:val="DefaultParagraphFont"/>
    <w:rsid w:val="00AB6A38"/>
    <w:rPr>
      <w:color w:val="0563C1" w:themeColor="hyperlink"/>
      <w:u w:val="single"/>
    </w:rPr>
  </w:style>
  <w:style w:type="paragraph" w:customStyle="1" w:styleId="Institutionquisigne">
    <w:name w:val="Institution qui signe"/>
    <w:basedOn w:val="Normal"/>
    <w:next w:val="Personnequisigne"/>
    <w:rsid w:val="00AB6A3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B6A3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B6A3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B6A3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B6A3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B6A3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B6A3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AB6A38"/>
    <w:rPr>
      <w:rFonts w:ascii="Arial" w:hAnsi="Arial" w:cs="Arial"/>
      <w:b/>
      <w:sz w:val="24"/>
      <w:lang w:val="cs-CZ"/>
    </w:rPr>
  </w:style>
  <w:style w:type="paragraph" w:styleId="Revision">
    <w:name w:val="Revision"/>
    <w:hidden/>
    <w:uiPriority w:val="99"/>
    <w:semiHidden/>
    <w:rsid w:val="00594B87"/>
    <w:rPr>
      <w:sz w:val="24"/>
      <w:lang w:val="cs-CZ"/>
    </w:rPr>
  </w:style>
  <w:style w:type="character" w:styleId="CommentReference">
    <w:name w:val="annotation reference"/>
    <w:basedOn w:val="DefaultParagraphFont"/>
    <w:rsid w:val="005617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176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6176A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5617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176A"/>
    <w:rPr>
      <w:b/>
      <w:bCs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A47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1701</Words>
  <Characters>10217</Characters>
  <Application>Microsoft Office Word</Application>
  <DocSecurity>0</DocSecurity>
  <Lines>444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2026-03-04T14:59:00Z</dcterms:created>
  <dcterms:modified xsi:type="dcterms:W3CDTF">2026-03-04T14:59:00Z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P10_TA(2025)0325_</vt:lpwstr>
  </property>
  <property fmtid="{D5CDD505-2E9C-101B-9397-08002B2CF9AE}" pid="4" name="&lt;Type&gt;">
    <vt:lpwstr>RR</vt:lpwstr>
  </property>
</Properties>
</file>