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7025" w14:paraId="21FE6393" w14:textId="77777777" w:rsidTr="0010095E">
        <w:trPr>
          <w:trHeight w:hRule="exact" w:val="1418"/>
        </w:trPr>
        <w:tc>
          <w:tcPr>
            <w:tcW w:w="6804" w:type="dxa"/>
            <w:shd w:val="clear" w:color="auto" w:fill="auto"/>
            <w:vAlign w:val="center"/>
          </w:tcPr>
          <w:p w14:paraId="26C7F3D3" w14:textId="77777777" w:rsidR="00751A4A" w:rsidRPr="00247025" w:rsidRDefault="00E24AF8" w:rsidP="0010095E">
            <w:pPr>
              <w:pStyle w:val="EPName"/>
            </w:pPr>
            <w:r w:rsidRPr="00247025">
              <w:t>Euroopan parlamentti</w:t>
            </w:r>
          </w:p>
          <w:p w14:paraId="5FE1A7AA" w14:textId="77777777" w:rsidR="00751A4A" w:rsidRPr="00247025" w:rsidRDefault="005F1B17" w:rsidP="005F1B17">
            <w:pPr>
              <w:pStyle w:val="EPTerm"/>
              <w:rPr>
                <w:rStyle w:val="HideTWBExt"/>
                <w:noProof w:val="0"/>
                <w:vanish w:val="0"/>
                <w:color w:val="auto"/>
              </w:rPr>
            </w:pPr>
            <w:r w:rsidRPr="00247025">
              <w:t>2024</w:t>
            </w:r>
            <w:r w:rsidR="00817416" w:rsidRPr="00247025">
              <w:t>-202</w:t>
            </w:r>
            <w:r w:rsidRPr="00247025">
              <w:t>9</w:t>
            </w:r>
          </w:p>
        </w:tc>
        <w:tc>
          <w:tcPr>
            <w:tcW w:w="2268" w:type="dxa"/>
            <w:shd w:val="clear" w:color="auto" w:fill="auto"/>
          </w:tcPr>
          <w:p w14:paraId="6EE9FF92" w14:textId="77777777" w:rsidR="00751A4A" w:rsidRPr="00247025" w:rsidRDefault="00187494" w:rsidP="0010095E">
            <w:pPr>
              <w:pStyle w:val="EPLogo"/>
            </w:pPr>
            <w:r w:rsidRPr="00247025">
              <w:rPr>
                <w:noProof/>
                <w:lang w:eastAsia="ja-JP"/>
              </w:rPr>
              <w:drawing>
                <wp:inline distT="0" distB="0" distL="0" distR="0" wp14:anchorId="45326671" wp14:editId="3990CC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3EC8A8" w14:textId="77777777" w:rsidR="00D058B8" w:rsidRPr="00247025" w:rsidRDefault="00D058B8" w:rsidP="004C5D52">
      <w:pPr>
        <w:pStyle w:val="LineTop"/>
      </w:pPr>
    </w:p>
    <w:p w14:paraId="7EA4AF17" w14:textId="77777777" w:rsidR="00680577" w:rsidRPr="00247025" w:rsidRDefault="00E24AF8" w:rsidP="00680577">
      <w:pPr>
        <w:pStyle w:val="EPBodyTA1"/>
      </w:pPr>
      <w:r w:rsidRPr="00247025">
        <w:t>HYVÄKSYTYT TEKSTIT</w:t>
      </w:r>
    </w:p>
    <w:p w14:paraId="0EDE124D" w14:textId="77777777" w:rsidR="00D058B8" w:rsidRPr="00247025" w:rsidRDefault="00D058B8" w:rsidP="00D058B8">
      <w:pPr>
        <w:pStyle w:val="LineBottom"/>
      </w:pPr>
    </w:p>
    <w:p w14:paraId="7870BAB5" w14:textId="1B580E5B" w:rsidR="00E24AF8" w:rsidRPr="00247025" w:rsidRDefault="00E24AF8" w:rsidP="00E24AF8">
      <w:pPr>
        <w:pStyle w:val="ATHeading1"/>
      </w:pPr>
      <w:bookmarkStart w:id="0" w:name="TANumber"/>
      <w:r w:rsidRPr="00247025">
        <w:t>P10_TA(2025)0</w:t>
      </w:r>
      <w:r w:rsidR="007039B2">
        <w:t>325</w:t>
      </w:r>
      <w:bookmarkEnd w:id="0"/>
    </w:p>
    <w:p w14:paraId="7CABBBC0" w14:textId="2E2E009D" w:rsidR="00E24AF8" w:rsidRPr="00247025" w:rsidRDefault="00E24AF8" w:rsidP="00E24AF8">
      <w:pPr>
        <w:pStyle w:val="ATHeading2"/>
      </w:pPr>
      <w:bookmarkStart w:id="1" w:name="title"/>
      <w:r w:rsidRPr="00247025">
        <w:t>Työttömiksi jääneitä työntekijöitä tukevan Euroopan globalisaatiorahaston varojen käyttöönotto: hakemus</w:t>
      </w:r>
      <w:r w:rsidR="004E0C74" w:rsidRPr="00247025">
        <w:t xml:space="preserve"> </w:t>
      </w:r>
      <w:r w:rsidRPr="00247025">
        <w:t>EGF/2025/003 SE/</w:t>
      </w:r>
      <w:proofErr w:type="spellStart"/>
      <w:r w:rsidRPr="00247025">
        <w:t>Northvolt</w:t>
      </w:r>
      <w:proofErr w:type="spellEnd"/>
      <w:r w:rsidRPr="00247025">
        <w:t xml:space="preserve"> – Ruotsi</w:t>
      </w:r>
      <w:bookmarkEnd w:id="1"/>
    </w:p>
    <w:p w14:paraId="634EB660" w14:textId="77777777" w:rsidR="00E24AF8" w:rsidRPr="00247025" w:rsidRDefault="00E24AF8" w:rsidP="00E24AF8">
      <w:pPr>
        <w:rPr>
          <w:i/>
          <w:vanish/>
        </w:rPr>
      </w:pPr>
      <w:r w:rsidRPr="00247025">
        <w:rPr>
          <w:i/>
        </w:rPr>
        <w:fldChar w:fldCharType="begin"/>
      </w:r>
      <w:r w:rsidRPr="00247025">
        <w:rPr>
          <w:i/>
        </w:rPr>
        <w:instrText xml:space="preserve"> TC"(</w:instrText>
      </w:r>
      <w:bookmarkStart w:id="2" w:name="DocNumber"/>
      <w:r w:rsidRPr="00247025">
        <w:rPr>
          <w:i/>
        </w:rPr>
        <w:instrText>A10-0239/2025</w:instrText>
      </w:r>
      <w:bookmarkEnd w:id="2"/>
      <w:r w:rsidRPr="00247025">
        <w:rPr>
          <w:i/>
        </w:rPr>
        <w:instrText xml:space="preserve"> - Esittelijä: Aura Salla)"\l3 \n&gt; \* MERGEFORMAT </w:instrText>
      </w:r>
      <w:r w:rsidRPr="00247025">
        <w:rPr>
          <w:i/>
        </w:rPr>
        <w:fldChar w:fldCharType="end"/>
      </w:r>
    </w:p>
    <w:p w14:paraId="5DB76401" w14:textId="77777777" w:rsidR="00E24AF8" w:rsidRPr="00247025" w:rsidRDefault="00E24AF8" w:rsidP="00E24AF8">
      <w:pPr>
        <w:rPr>
          <w:vanish/>
        </w:rPr>
      </w:pPr>
      <w:bookmarkStart w:id="3" w:name="Commission"/>
      <w:r w:rsidRPr="00247025">
        <w:rPr>
          <w:vanish/>
        </w:rPr>
        <w:t>Budjettivaliokunta</w:t>
      </w:r>
      <w:bookmarkEnd w:id="3"/>
    </w:p>
    <w:p w14:paraId="5F84601D" w14:textId="77777777" w:rsidR="00E24AF8" w:rsidRPr="00247025" w:rsidRDefault="00E24AF8" w:rsidP="00E24AF8">
      <w:pPr>
        <w:rPr>
          <w:vanish/>
        </w:rPr>
      </w:pPr>
      <w:bookmarkStart w:id="4" w:name="PE"/>
      <w:r w:rsidRPr="00247025">
        <w:rPr>
          <w:vanish/>
        </w:rPr>
        <w:t>PE779.349</w:t>
      </w:r>
      <w:bookmarkEnd w:id="4"/>
    </w:p>
    <w:p w14:paraId="74682BFF" w14:textId="5CBEE161" w:rsidR="00E24AF8" w:rsidRPr="00247025" w:rsidRDefault="00E24AF8" w:rsidP="00E24AF8">
      <w:pPr>
        <w:pStyle w:val="ATHeading3"/>
      </w:pPr>
      <w:bookmarkStart w:id="5" w:name="Sujet"/>
      <w:r w:rsidRPr="00247025">
        <w:t>Euroopan parlamentin päätös</w:t>
      </w:r>
      <w:r w:rsidR="002D4012">
        <w:t>lauselma</w:t>
      </w:r>
      <w:r w:rsidRPr="00247025">
        <w:t xml:space="preserve"> </w:t>
      </w:r>
      <w:r w:rsidR="00644209" w:rsidRPr="00247025">
        <w:t>16</w:t>
      </w:r>
      <w:r w:rsidRPr="00247025">
        <w:t>. joulukuuta 2025 ehdotuksesta Euroopan parlamentin ja neuvoston päätökseksi työttömiksi jääneitä työntekijöitä tukevan Euroopan globalisaatiorahaston varojen käyttöönotosta Ruotsin hakemuksen johdosta – EGF/2025/003 SE/</w:t>
      </w:r>
      <w:proofErr w:type="spellStart"/>
      <w:r w:rsidRPr="00247025">
        <w:t>Northvolt</w:t>
      </w:r>
      <w:bookmarkEnd w:id="5"/>
      <w:proofErr w:type="spellEnd"/>
      <w:r w:rsidRPr="00247025">
        <w:t xml:space="preserve"> </w:t>
      </w:r>
      <w:bookmarkStart w:id="6" w:name="References"/>
      <w:r w:rsidRPr="00247025">
        <w:t>(</w:t>
      </w:r>
      <w:proofErr w:type="gramStart"/>
      <w:r w:rsidRPr="00247025">
        <w:t>COM(</w:t>
      </w:r>
      <w:proofErr w:type="gramEnd"/>
      <w:r w:rsidRPr="00247025">
        <w:t>2025)0621 – C10-0270/2025 – 2025/0326(BUD))</w:t>
      </w:r>
      <w:bookmarkEnd w:id="6"/>
    </w:p>
    <w:p w14:paraId="2FA3740A" w14:textId="77777777" w:rsidR="00443436" w:rsidRPr="00247025" w:rsidRDefault="00443436" w:rsidP="00443436">
      <w:pPr>
        <w:pStyle w:val="EPComma"/>
        <w:widowControl/>
        <w:rPr>
          <w:noProof/>
        </w:rPr>
      </w:pPr>
      <w:r w:rsidRPr="00247025">
        <w:rPr>
          <w:i/>
        </w:rPr>
        <w:t>Euroopan parlamentti</w:t>
      </w:r>
      <w:r w:rsidRPr="00247025">
        <w:t>, joka</w:t>
      </w:r>
    </w:p>
    <w:p w14:paraId="2CA770BC" w14:textId="77777777" w:rsidR="00443436" w:rsidRPr="00247025" w:rsidRDefault="00443436" w:rsidP="00443436">
      <w:pPr>
        <w:pStyle w:val="NormalHanging12a"/>
        <w:widowControl/>
        <w:rPr>
          <w:noProof/>
        </w:rPr>
      </w:pPr>
      <w:r w:rsidRPr="00247025">
        <w:t>–</w:t>
      </w:r>
      <w:r w:rsidRPr="00247025">
        <w:tab/>
        <w:t>ottaa huomioon komission ehdotuksen Euroopan parlamentille ja neuvostolle (COM(2025)0621 – C10</w:t>
      </w:r>
      <w:r w:rsidRPr="00247025">
        <w:noBreakHyphen/>
        <w:t>0270/2025),</w:t>
      </w:r>
    </w:p>
    <w:p w14:paraId="2E9CB29E" w14:textId="77777777" w:rsidR="00443436" w:rsidRPr="00247025" w:rsidRDefault="00443436" w:rsidP="00443436">
      <w:pPr>
        <w:pStyle w:val="NormalHanging12a"/>
        <w:widowControl/>
      </w:pPr>
      <w:r w:rsidRPr="00247025">
        <w:t>–</w:t>
      </w:r>
      <w:r w:rsidRPr="00247025">
        <w:tab/>
        <w:t>ottaa huomioon Euroopan globalisaatiorahastosta (EGR) työttömiksi jääneille työntekijöille ja asetuksen (EU) N:o 1309/2013 kumoamisesta 28. huhtikuuta 2021 annetun Euroopan parlamentin ja neuvoston asetuksen (EU) 2021/691</w:t>
      </w:r>
      <w:r w:rsidRPr="00247025">
        <w:rPr>
          <w:vertAlign w:val="superscript"/>
        </w:rPr>
        <w:footnoteReference w:id="1"/>
      </w:r>
      <w:r w:rsidRPr="00247025">
        <w:t xml:space="preserve">, jäljempänä ’EGR-asetus’, </w:t>
      </w:r>
    </w:p>
    <w:p w14:paraId="4C7D1477" w14:textId="33154910" w:rsidR="00443436" w:rsidRPr="00247025" w:rsidRDefault="00443436" w:rsidP="00443436">
      <w:pPr>
        <w:pStyle w:val="NormalHanging12a"/>
        <w:widowControl/>
        <w:rPr>
          <w:noProof/>
        </w:rPr>
      </w:pPr>
      <w:r w:rsidRPr="00247025">
        <w:t>–</w:t>
      </w:r>
      <w:r w:rsidRPr="00247025">
        <w:tab/>
        <w:t>ottaa huomioon vuosia 2021–2027 koskevan monivuotisen rahoituskehyksen vahvistamisesta 17. joulukuuta 2020 annetun neuvoston asetuksen (EU, Euratom) 2020/2093</w:t>
      </w:r>
      <w:r w:rsidRPr="00247025">
        <w:rPr>
          <w:noProof/>
          <w:vertAlign w:val="superscript"/>
        </w:rPr>
        <w:footnoteReference w:id="2"/>
      </w:r>
      <w:r w:rsidRPr="00247025">
        <w:t xml:space="preserve">, sellaisena kun se on muutettuna </w:t>
      </w:r>
      <w:r w:rsidR="003510D8" w:rsidRPr="00247025">
        <w:t xml:space="preserve">neuvoston </w:t>
      </w:r>
      <w:r w:rsidRPr="00247025">
        <w:t>asetuksella (EU, Euratom) 2024/765</w:t>
      </w:r>
      <w:r w:rsidRPr="00247025">
        <w:rPr>
          <w:noProof/>
          <w:vertAlign w:val="superscript"/>
        </w:rPr>
        <w:footnoteReference w:id="3"/>
      </w:r>
      <w:r w:rsidRPr="00247025">
        <w:t xml:space="preserve">, ja erityisesti sen 8 artiklan, </w:t>
      </w:r>
    </w:p>
    <w:p w14:paraId="7586F47D" w14:textId="77777777" w:rsidR="00443436" w:rsidRPr="00247025" w:rsidRDefault="00443436" w:rsidP="00443436">
      <w:pPr>
        <w:pStyle w:val="NormalHanging12a"/>
        <w:widowControl/>
        <w:rPr>
          <w:noProof/>
        </w:rPr>
      </w:pPr>
      <w:r w:rsidRPr="00247025">
        <w:t>–</w:t>
      </w:r>
      <w:r w:rsidRPr="00247025">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247025">
        <w:lastRenderedPageBreak/>
        <w:t>tehdyn Euroopan parlamentin, Euroopan unionin neuvoston ja Euroopan komission välisen toimielinten sopimuksen</w:t>
      </w:r>
      <w:r w:rsidRPr="00247025">
        <w:rPr>
          <w:rStyle w:val="FootnoteReference"/>
          <w:noProof/>
        </w:rPr>
        <w:footnoteReference w:id="4"/>
      </w:r>
      <w:r w:rsidRPr="00247025">
        <w:t xml:space="preserve"> ja erityisesti sen 9 kohdan,</w:t>
      </w:r>
    </w:p>
    <w:p w14:paraId="555E68C1" w14:textId="77777777" w:rsidR="00443436" w:rsidRPr="00247025" w:rsidRDefault="00443436" w:rsidP="00443436">
      <w:pPr>
        <w:pStyle w:val="NormalHanging12a"/>
        <w:widowControl/>
      </w:pPr>
      <w:r w:rsidRPr="00247025">
        <w:t>–</w:t>
      </w:r>
      <w:r w:rsidRPr="00247025">
        <w:tab/>
        <w:t>ottaa huomioon työllisyyden ja sosiaaliasioiden valiokunnan lausunnon,</w:t>
      </w:r>
    </w:p>
    <w:p w14:paraId="21E58C02" w14:textId="77777777" w:rsidR="00443436" w:rsidRPr="00247025" w:rsidRDefault="00443436" w:rsidP="00443436">
      <w:pPr>
        <w:pStyle w:val="NormalHanging12a"/>
        <w:widowControl/>
      </w:pPr>
      <w:r w:rsidRPr="00247025">
        <w:t>–</w:t>
      </w:r>
      <w:r w:rsidRPr="00247025">
        <w:tab/>
        <w:t>ottaa huomioon budjettivaliokunnan mietinnön (A10-0239/2025),</w:t>
      </w:r>
    </w:p>
    <w:p w14:paraId="7E38DEAC" w14:textId="77777777" w:rsidR="00443436" w:rsidRPr="00247025" w:rsidRDefault="00443436" w:rsidP="00443436">
      <w:pPr>
        <w:pStyle w:val="NormalHanging12a"/>
        <w:widowControl/>
        <w:rPr>
          <w:noProof/>
        </w:rPr>
      </w:pPr>
      <w:r w:rsidRPr="00247025">
        <w:t>A.</w:t>
      </w:r>
      <w:r w:rsidRPr="00247025">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14:paraId="66C3644B" w14:textId="0E91A6E5" w:rsidR="00443436" w:rsidRPr="00247025" w:rsidRDefault="00443436" w:rsidP="00443436">
      <w:pPr>
        <w:pStyle w:val="NormalHanging12a"/>
        <w:widowControl/>
      </w:pPr>
      <w:r w:rsidRPr="00247025">
        <w:t>B.</w:t>
      </w:r>
      <w:r w:rsidRPr="00247025">
        <w:tab/>
        <w:t>ottaa huomioon, että Ruotsi toimitti hakemuksen EGF/2025/003 SE/</w:t>
      </w:r>
      <w:proofErr w:type="spellStart"/>
      <w:r w:rsidRPr="00247025">
        <w:t>Northvolt</w:t>
      </w:r>
      <w:proofErr w:type="spellEnd"/>
      <w:r w:rsidRPr="00247025">
        <w:t xml:space="preserve"> rahoitustuen saamiseksi Euroopan globalisaatiorahastosta (EGR) 6 486 työntekijävähennyksen</w:t>
      </w:r>
      <w:r w:rsidRPr="00247025">
        <w:rPr>
          <w:vertAlign w:val="superscript"/>
        </w:rPr>
        <w:footnoteReference w:id="5"/>
      </w:r>
      <w:r w:rsidRPr="00247025">
        <w:t xml:space="preserve"> vuoksi NACE </w:t>
      </w:r>
      <w:proofErr w:type="spellStart"/>
      <w:r w:rsidRPr="00247025">
        <w:t>Rev</w:t>
      </w:r>
      <w:proofErr w:type="spellEnd"/>
      <w:r w:rsidRPr="00247025">
        <w:t xml:space="preserve">. 2:n kaksinumerotasoon 71 (Arkkitehti- ja insinööripalvelut; tekninen testaus ja analysointi) luokitellulla toimialalla Ylä-Norlannin (SE33), Tukholman (SE11) ja Itäisen Keski-Ruotsin (SE12) alueella, kun hakemuksen 28. marraskuuta 2024 alkaneella ja 28. maaliskuuta 2025 päättyneellä viiteajanjaksolla työttömäksi jäi 5 829 työntekijää ja ennen viiteajanjaksoa tai sen jälkeen 657 työntekijää; </w:t>
      </w:r>
    </w:p>
    <w:p w14:paraId="70EB7C2B" w14:textId="5E17512C" w:rsidR="00443436" w:rsidRPr="00247025" w:rsidRDefault="00443436" w:rsidP="00443436">
      <w:pPr>
        <w:pStyle w:val="NormalHanging12a"/>
        <w:widowControl/>
      </w:pPr>
      <w:r w:rsidRPr="00247025">
        <w:t>C.</w:t>
      </w:r>
      <w:r w:rsidRPr="00247025">
        <w:tab/>
        <w:t xml:space="preserve">ottaa huomioon, että hakemuksen kattaman viiteajanjakson aikana työntekijävähennysten kokonaismäärä oli 5 829, joista 5 561 oli työttömäksi jääneitä työntekijöitä </w:t>
      </w:r>
      <w:proofErr w:type="spellStart"/>
      <w:r w:rsidRPr="00247025">
        <w:t>Northvolt</w:t>
      </w:r>
      <w:proofErr w:type="spellEnd"/>
      <w:r w:rsidRPr="00247025">
        <w:t xml:space="preserve"> AB:ssä (</w:t>
      </w:r>
      <w:proofErr w:type="spellStart"/>
      <w:r w:rsidRPr="00247025">
        <w:t>Northvolt</w:t>
      </w:r>
      <w:proofErr w:type="spellEnd"/>
      <w:r w:rsidRPr="00247025">
        <w:t>) ja sen tytäryhtiöissä</w:t>
      </w:r>
      <w:r w:rsidRPr="00247025">
        <w:rPr>
          <w:vertAlign w:val="superscript"/>
        </w:rPr>
        <w:footnoteReference w:id="6"/>
      </w:r>
      <w:r w:rsidRPr="00247025">
        <w:t xml:space="preserve">, ja 268 oli työttömäksi jääneitä työntekijöitä kahdeksassa </w:t>
      </w:r>
      <w:proofErr w:type="spellStart"/>
      <w:r w:rsidRPr="00247025">
        <w:t>Northvoltin</w:t>
      </w:r>
      <w:proofErr w:type="spellEnd"/>
      <w:r w:rsidRPr="00247025">
        <w:t xml:space="preserve"> alihankkija-, toimittaja- ja jatkojalostajayrityksessä;</w:t>
      </w:r>
    </w:p>
    <w:p w14:paraId="15075F2E" w14:textId="77777777" w:rsidR="00443436" w:rsidRPr="00247025" w:rsidRDefault="00443436" w:rsidP="00443436">
      <w:pPr>
        <w:pStyle w:val="NormalHanging12a"/>
        <w:widowControl/>
      </w:pPr>
      <w:r w:rsidRPr="00247025">
        <w:t>D.</w:t>
      </w:r>
      <w:r w:rsidRPr="00247025">
        <w:tab/>
        <w:t>ottaa huomioon, että hakemus perustuu EGR-asetuksen 4 artiklan 2 kohdan a alakohdan toimintakriteeriin; ottaa huomioon, että niiden 657:n työttömäksi jääneen työntekijän osalta, joiden työskentely loppui ennen neljän kuukauden viiteajanjaksoa tai sen jälkeen, voidaan osoittaa selkeä syy-yhteys tapahtumaan, joka aiheutti työttömäksi jääneiden työntekijöiden työskentelyn loppumisen viiteajanjakson aikana, kuten EGR</w:t>
      </w:r>
      <w:r w:rsidRPr="00247025">
        <w:noBreakHyphen/>
        <w:t xml:space="preserve">asetuksen 6 artiklan toisessa kohdassa edellytetään; </w:t>
      </w:r>
    </w:p>
    <w:p w14:paraId="56DB2E5E" w14:textId="76D2B672" w:rsidR="00443436" w:rsidRPr="00247025" w:rsidRDefault="00443436" w:rsidP="00443436">
      <w:pPr>
        <w:pStyle w:val="NormalHanging12a"/>
        <w:widowControl/>
      </w:pPr>
      <w:r w:rsidRPr="00247025">
        <w:t>E.</w:t>
      </w:r>
      <w:r w:rsidRPr="00247025">
        <w:tab/>
        <w:t xml:space="preserve">ottaa huomioon, että </w:t>
      </w:r>
      <w:proofErr w:type="spellStart"/>
      <w:r w:rsidRPr="00247025">
        <w:t>Northvolt</w:t>
      </w:r>
      <w:proofErr w:type="spellEnd"/>
      <w:r w:rsidRPr="00247025">
        <w:t xml:space="preserve"> oli erikoistunut arkkitehti- ja insinööripalveluihin, tekniseen testaukseen ja akkujen valmistukseen; ottaa huomioon, että yritys hakeutui konkurssiin 12. maaliskuuta 2025 tuotantoon liittyvien vaikeuksien vuoksi, jotka johtuivat Kiinasta pääosin peräisin olevan tuonnin aiheuttamasta kovasta kilpailusta ja sen seurauksena syntyneestä ylitarjonnasta, sillä Kiina hallitsee akkujen tuotannon maailmanlaajuisia markkinoita, joista sen osuus on yli 80 prosenttia; </w:t>
      </w:r>
    </w:p>
    <w:p w14:paraId="318EB101" w14:textId="77777777" w:rsidR="00443436" w:rsidRPr="00247025" w:rsidRDefault="00443436" w:rsidP="00443436">
      <w:pPr>
        <w:pStyle w:val="NormalHanging12a"/>
        <w:widowControl/>
      </w:pPr>
      <w:r w:rsidRPr="00247025">
        <w:t>F.</w:t>
      </w:r>
      <w:r w:rsidRPr="00247025">
        <w:tab/>
        <w:t xml:space="preserve">ottaa huomioon, että Euroopassa tarvitaan vahvaa ja kilpailukykyistä akkuteollisuutta, jotta voidaan vähentää haitallisia strategisia riippuvuuksia, vahvistaa teollisuuden riippumattomuutta ja saavuttaa asetetut ilmasto- ja energiasiirtymätavoitteet; ottaa huomioon, että akkuteollisuuden ja sen alihankintateollisuuden energia- ja pääomakustannukset ovat korkeat, tuotannossa on viivästyksiä ja maailmanmarkkinoilla </w:t>
      </w:r>
      <w:r w:rsidRPr="00247025">
        <w:lastRenderedPageBreak/>
        <w:t>on vääristymiä ja että kolmansien maiden tuottajat, erityisesti Kiina</w:t>
      </w:r>
      <w:r w:rsidRPr="00247025">
        <w:rPr>
          <w:vertAlign w:val="superscript"/>
        </w:rPr>
        <w:footnoteReference w:id="7"/>
      </w:r>
      <w:r w:rsidRPr="00247025">
        <w:t>, aiheuttavat lisääntyviä kilpailupaineita;</w:t>
      </w:r>
    </w:p>
    <w:p w14:paraId="4A293992" w14:textId="77777777" w:rsidR="00443436" w:rsidRPr="00247025" w:rsidRDefault="00443436" w:rsidP="00443436">
      <w:pPr>
        <w:pStyle w:val="NormalHanging12a"/>
        <w:widowControl/>
      </w:pPr>
      <w:r w:rsidRPr="00247025">
        <w:t>G.</w:t>
      </w:r>
      <w:r w:rsidRPr="00247025">
        <w:tab/>
        <w:t xml:space="preserve">ottaa huomioon, että Ruotsin julkinen työvoimapalvelu </w:t>
      </w:r>
      <w:proofErr w:type="spellStart"/>
      <w:r w:rsidRPr="00247025">
        <w:t>Arbetsförmedlingen</w:t>
      </w:r>
      <w:proofErr w:type="spellEnd"/>
      <w:r w:rsidRPr="00247025">
        <w:t xml:space="preserve"> myöntää toimenpiteitä koskevaa kansallista ennakko- ja yhteisrahoitusta;</w:t>
      </w:r>
    </w:p>
    <w:p w14:paraId="2A927773" w14:textId="77777777" w:rsidR="00443436" w:rsidRPr="00247025" w:rsidRDefault="00443436" w:rsidP="00443436">
      <w:pPr>
        <w:pStyle w:val="NormalHanging12a"/>
        <w:widowControl/>
      </w:pPr>
      <w:r w:rsidRPr="00247025">
        <w:t>H.</w:t>
      </w:r>
      <w:r w:rsidRPr="00247025">
        <w:tab/>
        <w:t>ottaa huomioon, että kansallisessa ja unionin lainsäädännössä joukkovähentämisistä säädettyjä vaatimuksia on noudatettu;</w:t>
      </w:r>
    </w:p>
    <w:p w14:paraId="4FFD2F59" w14:textId="77777777" w:rsidR="00443436" w:rsidRPr="00247025" w:rsidRDefault="00443436" w:rsidP="00443436">
      <w:pPr>
        <w:pStyle w:val="NormalHanging12a"/>
        <w:widowControl/>
      </w:pPr>
      <w:r w:rsidRPr="00247025">
        <w:t>I.</w:t>
      </w:r>
      <w:r w:rsidRPr="00247025">
        <w:tab/>
        <w:t xml:space="preserve">toteaa, että </w:t>
      </w:r>
      <w:proofErr w:type="spellStart"/>
      <w:r w:rsidRPr="00247025">
        <w:t>EGR:n</w:t>
      </w:r>
      <w:proofErr w:type="spellEnd"/>
      <w:r w:rsidRPr="00247025">
        <w:t xml:space="preserve"> rahoitustuki olisi keskitettävä ensisijaisesti aktiivisiin työvoimapoliittisiin toimenpiteisiin ja yksilöllisiin palveluihin, joilla pyritään integroimaan edunsaajat nopeasti takaisin ihmisarvoisiin ja kestäviin työpaikkoihin joko entisellä toimialalla tai sen ulkopuolella samalla, kun heitä valmistellaan vihreämpään ja digitaalisempaan eurooppalaiseen talouteen;</w:t>
      </w:r>
    </w:p>
    <w:p w14:paraId="3F0E487E" w14:textId="65DBE46C" w:rsidR="00443436" w:rsidRPr="00247025" w:rsidRDefault="00443436" w:rsidP="00443436">
      <w:pPr>
        <w:pStyle w:val="NormalHanging12a"/>
        <w:widowControl/>
      </w:pPr>
      <w:r w:rsidRPr="00247025">
        <w:t>J.</w:t>
      </w:r>
      <w:r w:rsidRPr="00247025">
        <w:tab/>
        <w:t xml:space="preserve">ottaa huomioon, että EGR ei saa ylittää 30 miljoonan euron vuotuista enimmäismäärää (vuoden 2018 hintoina), kuten asetuksen (EU, Euratom) 2020/2093 8 artiklassa, sellaisena kuin se on muutettuna asetuksella (EU, Euratom) 2024/765, säädetään; </w:t>
      </w:r>
    </w:p>
    <w:p w14:paraId="21FFD77A" w14:textId="77777777" w:rsidR="00443436" w:rsidRPr="00247025" w:rsidRDefault="00443436" w:rsidP="00443436">
      <w:pPr>
        <w:pStyle w:val="NormalHanging12a"/>
        <w:widowControl/>
      </w:pPr>
      <w:r w:rsidRPr="00247025">
        <w:t>1.</w:t>
      </w:r>
      <w:r w:rsidRPr="00247025">
        <w:tab/>
        <w:t>on yhtä mieltä komission kanssa siitä, että EGR-asetuksen 4 artiklan 2 kohdan a alakohdassa säädetyt edellytykset täyttyvät ja että Ruotsi on oikeutettu saamaan kyseisen asetuksen mukaista rahoitustukea 8 526 322 euroa eli 60 prosenttia 14 210 537 euron kokonaiskustannuksista, joista yksilöllisten palvelujen osuus on 13 663 977 euroa ja valmistelu-, hallinnointi-, tiedotus- ja mainonta-, valvonta- ja raportointitoimien osuus 546 560 euroa;</w:t>
      </w:r>
    </w:p>
    <w:p w14:paraId="6EFA24A8" w14:textId="6806FAE1" w:rsidR="00443436" w:rsidRPr="00247025" w:rsidRDefault="00443436" w:rsidP="00443436">
      <w:pPr>
        <w:pStyle w:val="NormalHanging12a"/>
        <w:widowControl/>
      </w:pPr>
      <w:r w:rsidRPr="00247025">
        <w:t>2.</w:t>
      </w:r>
      <w:r w:rsidRPr="00247025">
        <w:tab/>
        <w:t>toteaa, että Ruotsin viranomaiset toimittivat hakemuksen 16. kesäkuuta 2025 ja että Ruotsin toimitettua hakemusta koskevia lisätietoja komissio sai sitä koskevan arvionsa valmiiksi 28. lokakuuta 2025, eli yli neljä kuukautta myöhemmin, ja ilmoitti asiasta parlamentille samana päivänä; korostaa, että on tärkeää lyhentää huomattavasti harkinta-aikaa EGR-tukihakemuksen jättämisen ja rahoituspäätöksen tekemisen välillä, jotta varmistetaan, että rahoitustuki voidaan ottaa käyttöön viipymättä; korostaa, että sisäisiä menettelyjä on yksinkertaistettava ja nopeutettava siten, että toimielinten välinen tasapaino, erityisesti parlamentin oikeudet budjettivallan käyttäjänä, suojataan kaikilta osin;</w:t>
      </w:r>
    </w:p>
    <w:p w14:paraId="0D5D29DC" w14:textId="77777777" w:rsidR="00443436" w:rsidRPr="00247025" w:rsidRDefault="00443436" w:rsidP="00443436">
      <w:pPr>
        <w:pStyle w:val="NormalHanging12a"/>
        <w:widowControl/>
      </w:pPr>
      <w:r w:rsidRPr="00247025">
        <w:t>3.</w:t>
      </w:r>
      <w:r w:rsidRPr="00247025">
        <w:tab/>
        <w:t xml:space="preserve">panee merkille, että hakemus koskee 6 486:a työntekijää, jotka jäivät työttömäksi </w:t>
      </w:r>
      <w:proofErr w:type="spellStart"/>
      <w:r w:rsidRPr="00247025">
        <w:t>Northvoltin</w:t>
      </w:r>
      <w:proofErr w:type="spellEnd"/>
      <w:r w:rsidRPr="00247025">
        <w:t xml:space="preserve"> toteutettua laajamittaisen rakenneuudistuksen, joka johti Ruotsin nykyhistorian suurimpaan konkurssiin; toteaa lisäksi, että kohteena olevia edunsaajia on yhteensä 5 800 työttömäksi jäänyttä työntekijää, joiden odotetaan osallistuvan toimenpiteisiin;</w:t>
      </w:r>
    </w:p>
    <w:p w14:paraId="4A1B94E5" w14:textId="77777777" w:rsidR="00443436" w:rsidRPr="00247025" w:rsidRDefault="00443436" w:rsidP="00443436">
      <w:pPr>
        <w:pStyle w:val="NormalHanging12a"/>
        <w:widowControl/>
      </w:pPr>
      <w:r w:rsidRPr="00247025">
        <w:t>4.</w:t>
      </w:r>
      <w:r w:rsidRPr="00247025">
        <w:tab/>
        <w:t xml:space="preserve">panee merkille, että </w:t>
      </w:r>
      <w:proofErr w:type="spellStart"/>
      <w:r w:rsidRPr="00247025">
        <w:t>Skellefteån</w:t>
      </w:r>
      <w:proofErr w:type="spellEnd"/>
      <w:r w:rsidRPr="00247025">
        <w:t xml:space="preserve"> kaupunkikunnassa työpaikkojen menetysten vaikutukset ovat vakavia, sillä työttömyysaste nousi siellä 8,2 prosenttiin; panee merkille, että useimmat työttömiksi jääneet työntekijät ovat korkeasti koulutettuja ja alle 54-vuotiaita; korostaa, että tarvitaan nopeita toimia rakenteellisen alueellisen taantuman estämiseksi ja painottaa, että on tärkeää edistää laadukkaita ja tulevaisuuteen suuntautuvia </w:t>
      </w:r>
      <w:r w:rsidRPr="00247025">
        <w:lastRenderedPageBreak/>
        <w:t>työpaikkoja pitkän aikavälin taloudellisen ja sosiaalisen palautumiskyvyn varmistamiseksi;</w:t>
      </w:r>
    </w:p>
    <w:p w14:paraId="1F2BE2F8" w14:textId="77777777" w:rsidR="00443436" w:rsidRPr="00247025" w:rsidRDefault="00443436" w:rsidP="00443436">
      <w:pPr>
        <w:pStyle w:val="NormalHanging12a"/>
        <w:widowControl/>
        <w:rPr>
          <w:bCs/>
          <w:iCs/>
        </w:rPr>
      </w:pPr>
      <w:r w:rsidRPr="00247025">
        <w:t>5.</w:t>
      </w:r>
      <w:r w:rsidRPr="00247025">
        <w:tab/>
        <w:t>panee merkille, että elokuussa 2025 astui voimaan maailman johtavan litium</w:t>
      </w:r>
      <w:r w:rsidRPr="00247025">
        <w:noBreakHyphen/>
        <w:t xml:space="preserve">rikkiakkujen valmistajan, amerikkalaisen startup-yritys </w:t>
      </w:r>
      <w:proofErr w:type="spellStart"/>
      <w:r w:rsidRPr="00247025">
        <w:t>Lytenin</w:t>
      </w:r>
      <w:proofErr w:type="spellEnd"/>
      <w:r w:rsidRPr="00247025">
        <w:t xml:space="preserve">, sitova sopimus </w:t>
      </w:r>
      <w:proofErr w:type="spellStart"/>
      <w:r w:rsidRPr="00247025">
        <w:t>Northvoltin</w:t>
      </w:r>
      <w:proofErr w:type="spellEnd"/>
      <w:r w:rsidRPr="00247025">
        <w:t xml:space="preserve"> Ruotsissa, Saksassa ja Puolassa jäljellä olevien omaisuuserien hankkimisesta vuoden 2025 loppuun mennessä ja panee merkille, että </w:t>
      </w:r>
      <w:proofErr w:type="spellStart"/>
      <w:r w:rsidRPr="00247025">
        <w:t>Lyten</w:t>
      </w:r>
      <w:proofErr w:type="spellEnd"/>
      <w:r w:rsidRPr="00247025">
        <w:t xml:space="preserve"> suunnittelee irtisanotun työvoiman palkkaamista uudelleen siinä laajuudessa kuin se pystyy tarjoamaan vastaavia tehtäviä alueella;</w:t>
      </w:r>
      <w:r w:rsidRPr="00247025">
        <w:rPr>
          <w:b/>
          <w:i/>
        </w:rPr>
        <w:t xml:space="preserve"> </w:t>
      </w:r>
      <w:r w:rsidRPr="00247025">
        <w:t>korostaa, että uudelleentyöllistämistä olisi pidettävä ensisijaisena vaihtoehtona ja että yritysoston tapauksessa kaikki käyttämättömät määrät olisi maksettava takaisin komissiolle;</w:t>
      </w:r>
    </w:p>
    <w:p w14:paraId="71AF0C66" w14:textId="77777777" w:rsidR="00443436" w:rsidRPr="00247025" w:rsidRDefault="00443436" w:rsidP="00443436">
      <w:pPr>
        <w:pStyle w:val="NormalHanging12a"/>
        <w:widowControl/>
        <w:rPr>
          <w:bCs/>
          <w:iCs/>
        </w:rPr>
      </w:pPr>
      <w:r w:rsidRPr="00247025">
        <w:t>6.</w:t>
      </w:r>
      <w:r w:rsidRPr="00247025">
        <w:tab/>
        <w:t>muistuttaa, että kaikille työntekijöille on tarjottava ammattiliittojen ja työmarkkinaosapuolten kanssa sovitun mukaisesti yksilöllisten palvelujen paketti, joka koostuu seuraavista toimenpiteistä: yksityiskohtainen arviointi ja yksilöllinen suunnittelu, työnhaku ja valmennus, tuki oman yrityksen perustamiseen ja investointituki, työmarkkinakoulutus, koulutuskurssit, erityinen tuki työmarkkinoille pääsemiseen tai koulutukseen, avustukset ja digitaitokoulutukset; korostaa, että Ruotsin viranomaisten on ilmaistava rahoituksen alkuperä, varmistettava unionin rahoituksen näkyvyys ja korostettava toimenpiteen tuomaa unionin lisäarvoa tarjoamalla johdonmukaista, vaikuttavaa ja kohdennettua tietoa eri kohderyhmille, mukaan lukien kohdennettu tiedottaminen edunsaajille, paikallis- ja alueviranomaisille, työmarkkinaosapuolille, tiedotusvälineille ja suurelle yleisölle;</w:t>
      </w:r>
    </w:p>
    <w:p w14:paraId="637B89C2" w14:textId="77777777" w:rsidR="00443436" w:rsidRPr="00247025" w:rsidRDefault="00443436" w:rsidP="00443436">
      <w:pPr>
        <w:pStyle w:val="NormalHanging12a"/>
        <w:widowControl/>
        <w:rPr>
          <w:bCs/>
          <w:iCs/>
        </w:rPr>
      </w:pPr>
      <w:r w:rsidRPr="00247025">
        <w:t>7.</w:t>
      </w:r>
      <w:r w:rsidRPr="00247025">
        <w:tab/>
        <w:t xml:space="preserve">korostaa, että irtisanottujen työntekijöiden pätevyys ja osaaminen ovat edelleen avainasemassa vihreän siirtymän toteuttavan tulevaisuudenkestävän eurooppalaisen talouden kannalta; katsoo siksi, että </w:t>
      </w:r>
      <w:proofErr w:type="spellStart"/>
      <w:r w:rsidRPr="00247025">
        <w:t>EGR:n</w:t>
      </w:r>
      <w:proofErr w:type="spellEnd"/>
      <w:r w:rsidRPr="00247025">
        <w:t xml:space="preserve"> varojen käyttöönotto on sisällytettävä laajempiin toimintapoliittisiin toimiin sen varmistamiseksi, että asianomaisilla työntekijöillä on pätevyyksiään ja taitojaan vastaavat mahdollisuudet;</w:t>
      </w:r>
    </w:p>
    <w:p w14:paraId="1560B61D" w14:textId="77777777" w:rsidR="00443436" w:rsidRPr="00247025" w:rsidRDefault="00443436" w:rsidP="00443436">
      <w:pPr>
        <w:pStyle w:val="NormalHanging12a"/>
        <w:widowControl/>
      </w:pPr>
      <w:r w:rsidRPr="00247025">
        <w:t>8.</w:t>
      </w:r>
      <w:r w:rsidRPr="00247025">
        <w:tab/>
        <w:t>kehottaa laatimaan toteutetuista toimenpiteistä perusteelliset loppuarvioinnit, joissa on selkeästi ilmoitettu, miten varat on käytetty ja käytettiinkö ne hyväksyttyjen suunnitelmien mukaisesti, erityisesti silloin, kun on kyse suorasta rahoitustuesta, kuten käynnistämis- ja investointituesta; pyytää lisäksi tiedot niiden työntekijöiden lukumäärästä, jotka on onnistuneesti integroitu uudelleen työelämään, sekä niiden työntekijöiden lukumäärästä, jotka ovat osallistuneet hyväksytysti koulutus- ja täydennyskoulutustoimenpiteisiin;</w:t>
      </w:r>
    </w:p>
    <w:p w14:paraId="3A3739D2" w14:textId="77777777" w:rsidR="00443436" w:rsidRPr="00247025" w:rsidRDefault="00443436" w:rsidP="00443436">
      <w:pPr>
        <w:pStyle w:val="NormalHanging12a"/>
        <w:widowControl/>
      </w:pPr>
      <w:r w:rsidRPr="00247025">
        <w:t>9.</w:t>
      </w:r>
      <w:r w:rsidRPr="00247025">
        <w:tab/>
        <w:t xml:space="preserve">panee merkille, että Ruotsi aloitti yksilöllisten palvelujen tarjoamisen kohteena oleville edunsaajille ja sille on aiheutunut hallinnollisia menoja </w:t>
      </w:r>
      <w:proofErr w:type="spellStart"/>
      <w:r w:rsidRPr="00247025">
        <w:t>EGR:n</w:t>
      </w:r>
      <w:proofErr w:type="spellEnd"/>
      <w:r w:rsidRPr="00247025">
        <w:t xml:space="preserve"> täytäntöönpanosta 25. lokakuuta 2024 alkaen ja näin ollen </w:t>
      </w:r>
      <w:proofErr w:type="spellStart"/>
      <w:r w:rsidRPr="00247025">
        <w:t>EGR:n</w:t>
      </w:r>
      <w:proofErr w:type="spellEnd"/>
      <w:r w:rsidRPr="00247025">
        <w:t xml:space="preserve"> rahoitustukea voidaan myöntää kaudella, joka alkaa kyseisenä päivänä ja päättyy 24 kuukauden kuluttua (yksilölliset palvelut) ja 31 kuukauden kuluttua (hallinnolliset menot) rahoituspäätöksen voimaantulopäivästä;</w:t>
      </w:r>
    </w:p>
    <w:p w14:paraId="73B20B79" w14:textId="77777777" w:rsidR="00443436" w:rsidRPr="00247025" w:rsidRDefault="00443436" w:rsidP="00443436">
      <w:pPr>
        <w:pStyle w:val="NormalHanging12a"/>
        <w:widowControl/>
      </w:pPr>
      <w:r w:rsidRPr="00247025">
        <w:t>10.</w:t>
      </w:r>
      <w:r w:rsidRPr="00247025">
        <w:tab/>
        <w:t>toteaa Ruotsin viranomaisten toimittaneen vakuutukset siitä, että suunniteltuihin toimiin osallistumisen ja niiden täytäntöönpanon osalta noudatetaan yhdenvertaisen kohtelun ja syrjimättömyyden periaatteita ja että kaksinkertainen rahoitus estetään;</w:t>
      </w:r>
    </w:p>
    <w:p w14:paraId="106F072A" w14:textId="77777777" w:rsidR="00443436" w:rsidRPr="00247025" w:rsidRDefault="00443436" w:rsidP="00443436">
      <w:pPr>
        <w:pStyle w:val="NormalHanging12a"/>
        <w:widowControl/>
      </w:pPr>
      <w:r w:rsidRPr="00247025">
        <w:t>11.</w:t>
      </w:r>
      <w:r w:rsidRPr="00247025">
        <w:tab/>
        <w:t xml:space="preserve">muistuttaa, että </w:t>
      </w:r>
      <w:proofErr w:type="spellStart"/>
      <w:r w:rsidRPr="00247025">
        <w:t>EGR:n</w:t>
      </w:r>
      <w:proofErr w:type="spellEnd"/>
      <w:r w:rsidRPr="00247025">
        <w:t xml:space="preserve"> tuki ei saa korvata toimenpiteitä, jotka kansallisen lainsäädännön tai työehtosopimusten mukaan kuuluvat yritysten vastuulle; </w:t>
      </w:r>
    </w:p>
    <w:p w14:paraId="0E728072" w14:textId="77777777" w:rsidR="00443436" w:rsidRPr="00247025" w:rsidRDefault="00443436" w:rsidP="00443436">
      <w:pPr>
        <w:pStyle w:val="NormalHanging12a"/>
        <w:widowControl/>
      </w:pPr>
      <w:r w:rsidRPr="00247025">
        <w:lastRenderedPageBreak/>
        <w:t>12.</w:t>
      </w:r>
      <w:r w:rsidRPr="00247025">
        <w:tab/>
        <w:t xml:space="preserve">korostaa, että tarvitaan kiireellisesti johdonmukaisia ja koordinoituja unionin toimia, joilla varmistetaan kilpailukyky ja strateginen riippumattomuus ja jotka on laadittu tiiviissä yhteistyössä jäsenvaltioiden ja alueiden kanssa, jotta voidaan turvata Euroopan teollisuuden tulevaisuudenkestävä työllisyyspohja, joka vastaa Euroopan teollisuuden riippumattomuuden vaatimuksia ja vahvistaa unionin asemaa strategisilla aloilla, kuten akku- ja toimittajateollisuudessa, samalla kun edistetään unionin vihreää ja digitaalista siirtymää; korostaa, että laajamittaiset työntekijävähennykset voidaan estää ainoastaan, jos Euroopan talous on vahva, häiriönsietokykyinen ja kestävä, mikä myös itsessään vähentää </w:t>
      </w:r>
      <w:proofErr w:type="spellStart"/>
      <w:r w:rsidRPr="00247025">
        <w:t>EGR:n</w:t>
      </w:r>
      <w:proofErr w:type="spellEnd"/>
      <w:r w:rsidRPr="00247025">
        <w:t xml:space="preserve"> tukitoimien tarvetta; korostaa tarvetta varmistaa unionin rahoituksen selkeä esiin tuominen ja näkyvyys sen lisäarvon ja </w:t>
      </w:r>
      <w:proofErr w:type="spellStart"/>
      <w:r w:rsidRPr="00247025">
        <w:t>EGR:n</w:t>
      </w:r>
      <w:proofErr w:type="spellEnd"/>
      <w:r w:rsidRPr="00247025">
        <w:t xml:space="preserve"> ilmentämän eurooppalaisen solidaarisuuden korostamiseksi; vaatii johdonmukaista ja hyvin kohdennettua viestintää edunsaajille, alue- ja paikallisviranomaisille, työmarkkinaosapuolille, tiedotusvälineille ja suurelle yleisölle; pitää valitettavana, että unionin akkuteollisuus kärsii Kiinan hallituksen omille tuottajilleen myöntämistä tuista, jotka vääristävät maailmanlaajuista kilpailua;</w:t>
      </w:r>
    </w:p>
    <w:p w14:paraId="59B65301" w14:textId="77777777" w:rsidR="00443436" w:rsidRPr="00247025" w:rsidRDefault="00443436" w:rsidP="00443436">
      <w:pPr>
        <w:pStyle w:val="NormalHanging12a"/>
        <w:widowControl/>
      </w:pPr>
      <w:r w:rsidRPr="00247025">
        <w:t>13.</w:t>
      </w:r>
      <w:r w:rsidRPr="00247025">
        <w:tab/>
        <w:t>hyväksyy tämän päätöslauselman liitteenä olevan päätöksen;</w:t>
      </w:r>
    </w:p>
    <w:p w14:paraId="429B330B" w14:textId="77777777" w:rsidR="00443436" w:rsidRPr="00247025" w:rsidRDefault="00443436" w:rsidP="00443436">
      <w:pPr>
        <w:pStyle w:val="NormalHanging12a"/>
        <w:widowControl/>
      </w:pPr>
      <w:r w:rsidRPr="00247025">
        <w:t>14.</w:t>
      </w:r>
      <w:r w:rsidRPr="00247025">
        <w:tab/>
        <w:t xml:space="preserve">kehottaa puhemiestä allekirjoittamaan päätöksen neuvoston puheenjohtajan kanssa ja huolehtimaan sen julkaisemisesta </w:t>
      </w:r>
      <w:r w:rsidRPr="00247025">
        <w:rPr>
          <w:i/>
        </w:rPr>
        <w:t>Euroopan unionin virallisessa lehdessä</w:t>
      </w:r>
      <w:r w:rsidRPr="00247025">
        <w:t>;</w:t>
      </w:r>
    </w:p>
    <w:p w14:paraId="5701F321" w14:textId="77777777" w:rsidR="00443436" w:rsidRPr="00247025" w:rsidRDefault="00443436" w:rsidP="00443436">
      <w:pPr>
        <w:pStyle w:val="NormalHanging12a"/>
        <w:widowControl/>
      </w:pPr>
      <w:r w:rsidRPr="00247025">
        <w:t>15.</w:t>
      </w:r>
      <w:r w:rsidRPr="00247025">
        <w:tab/>
        <w:t>kehottaa puhemiestä välittämään tämän päätöslauselman liitteineen neuvostolle ja komissiolle.</w:t>
      </w:r>
    </w:p>
    <w:p w14:paraId="00D9136E" w14:textId="77777777" w:rsidR="00443436" w:rsidRPr="00247025" w:rsidRDefault="00443436" w:rsidP="00443436">
      <w:pPr>
        <w:widowControl/>
        <w:rPr>
          <w:noProof/>
        </w:rPr>
      </w:pPr>
    </w:p>
    <w:p w14:paraId="22CB1FA8" w14:textId="77777777" w:rsidR="00443436" w:rsidRPr="00247025" w:rsidRDefault="00443436" w:rsidP="00443436">
      <w:pPr>
        <w:pStyle w:val="PageHeading"/>
        <w:widowControl/>
        <w:rPr>
          <w:noProof/>
        </w:rPr>
        <w:sectPr w:rsidR="00443436" w:rsidRPr="00247025" w:rsidSect="00D567C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667C6C" w14:textId="77777777" w:rsidR="00A912BD" w:rsidRPr="00A912BD" w:rsidRDefault="00443436" w:rsidP="00443436">
      <w:pPr>
        <w:pStyle w:val="PageHeading"/>
        <w:widowControl/>
        <w:rPr>
          <w:rFonts w:ascii="Times New Roman" w:hAnsi="Times New Roman" w:cs="Times New Roman"/>
        </w:rPr>
      </w:pPr>
      <w:bookmarkStart w:id="7" w:name="_Toc215739844"/>
      <w:r w:rsidRPr="00A912BD">
        <w:rPr>
          <w:rFonts w:ascii="Times New Roman" w:hAnsi="Times New Roman" w:cs="Times New Roman"/>
        </w:rPr>
        <w:lastRenderedPageBreak/>
        <w:t>LIITE</w:t>
      </w:r>
    </w:p>
    <w:p w14:paraId="658A2874" w14:textId="19BDA4C3" w:rsidR="00443436" w:rsidRPr="00A912BD" w:rsidRDefault="00443436" w:rsidP="00443436">
      <w:pPr>
        <w:pStyle w:val="PageHeading"/>
        <w:widowControl/>
        <w:rPr>
          <w:rFonts w:ascii="Times New Roman" w:hAnsi="Times New Roman" w:cs="Times New Roman"/>
          <w:noProof/>
        </w:rPr>
      </w:pPr>
      <w:r w:rsidRPr="00A912BD">
        <w:rPr>
          <w:rFonts w:ascii="Times New Roman" w:hAnsi="Times New Roman" w:cs="Times New Roman"/>
        </w:rPr>
        <w:t>EUROOPAN PARLAMENTIN JA NEUVOSTON PÄÄTÖS</w:t>
      </w:r>
      <w:bookmarkEnd w:id="7"/>
    </w:p>
    <w:p w14:paraId="003EC6DE" w14:textId="77777777" w:rsidR="00443436" w:rsidRDefault="00443436" w:rsidP="00443436">
      <w:pPr>
        <w:pStyle w:val="NormalBold24a"/>
        <w:widowControl/>
      </w:pPr>
      <w:r w:rsidRPr="00247025">
        <w:t xml:space="preserve">työttömiksi jääneitä työntekijöitä tukevan Euroopan globalisaatiorahaston varojen käyttöönotosta Ruotsin hakemuksen </w:t>
      </w:r>
      <w:proofErr w:type="gramStart"/>
      <w:r w:rsidRPr="00247025">
        <w:t>johdosta</w:t>
      </w:r>
      <w:proofErr w:type="gramEnd"/>
      <w:r w:rsidRPr="00247025">
        <w:t xml:space="preserve"> – EGF/2025/003 SE/</w:t>
      </w:r>
      <w:proofErr w:type="spellStart"/>
      <w:r w:rsidRPr="00247025">
        <w:t>Northvolt</w:t>
      </w:r>
      <w:proofErr w:type="spellEnd"/>
    </w:p>
    <w:p w14:paraId="7B7F07F4" w14:textId="7B2B0C6E" w:rsidR="005D7FEB" w:rsidRPr="006E0791" w:rsidRDefault="005D7FEB" w:rsidP="005D7FEB">
      <w:pPr>
        <w:rPr>
          <w:i/>
          <w:szCs w:val="24"/>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2025/2661</w:t>
      </w:r>
      <w:r w:rsidRPr="006E0791">
        <w:rPr>
          <w:i/>
          <w:szCs w:val="24"/>
        </w:rPr>
        <w:t>.)</w:t>
      </w:r>
    </w:p>
    <w:sectPr w:rsidR="005D7FEB" w:rsidRPr="006E0791" w:rsidSect="00D567C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6ABA2" w14:textId="77777777" w:rsidR="00E24AF8" w:rsidRPr="00D567C2" w:rsidRDefault="00E24AF8">
      <w:r w:rsidRPr="00D567C2">
        <w:separator/>
      </w:r>
    </w:p>
  </w:endnote>
  <w:endnote w:type="continuationSeparator" w:id="0">
    <w:p w14:paraId="7CFA0829" w14:textId="77777777" w:rsidR="00E24AF8" w:rsidRPr="00D567C2" w:rsidRDefault="00E24AF8">
      <w:r w:rsidRPr="00D56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978FD" w14:textId="77777777" w:rsidR="00443436" w:rsidRPr="00D567C2" w:rsidRDefault="00443436" w:rsidP="007A5B2C">
    <w:pPr>
      <w:pStyle w:val="EPFooter"/>
    </w:pPr>
    <w:r w:rsidRPr="00D567C2">
      <w:t>PE</w:t>
    </w:r>
    <w:r w:rsidRPr="00D567C2">
      <w:rPr>
        <w:rStyle w:val="HideTWBExt"/>
      </w:rPr>
      <w:t>&lt;NoPE&gt;</w:t>
    </w:r>
    <w:r w:rsidRPr="00D567C2">
      <w:t>779.349</w:t>
    </w:r>
    <w:r w:rsidRPr="00D567C2">
      <w:rPr>
        <w:rStyle w:val="HideTWBExt"/>
      </w:rPr>
      <w:t>&lt;/NoPE&gt;&lt;Version&gt;</w:t>
    </w:r>
    <w:r w:rsidRPr="00D567C2">
      <w:t>v03-00</w:t>
    </w:r>
    <w:r w:rsidRPr="00D567C2">
      <w:rPr>
        <w:rStyle w:val="HideTWBExt"/>
      </w:rPr>
      <w:t>&lt;/Version&gt;</w:t>
    </w:r>
    <w:r w:rsidRPr="00D567C2">
      <w:tab/>
    </w:r>
    <w:r w:rsidRPr="00D567C2">
      <w:fldChar w:fldCharType="begin"/>
    </w:r>
    <w:r w:rsidRPr="00D567C2">
      <w:instrText xml:space="preserve"> PAGE  \* MERGEFORMAT </w:instrText>
    </w:r>
    <w:r w:rsidRPr="00D567C2">
      <w:fldChar w:fldCharType="separate"/>
    </w:r>
    <w:r w:rsidRPr="00D567C2">
      <w:rPr>
        <w:noProof/>
      </w:rPr>
      <w:t>8</w:t>
    </w:r>
    <w:r w:rsidRPr="00D567C2">
      <w:fldChar w:fldCharType="end"/>
    </w:r>
    <w:r w:rsidRPr="00D567C2">
      <w:t>/</w:t>
    </w:r>
    <w:fldSimple w:instr=" NUMPAGES  \* MERGEFORMAT ">
      <w:r w:rsidRPr="00D567C2">
        <w:rPr>
          <w:noProof/>
        </w:rPr>
        <w:t>18</w:t>
      </w:r>
    </w:fldSimple>
    <w:r w:rsidRPr="00D567C2">
      <w:tab/>
    </w:r>
    <w:r w:rsidRPr="00D567C2">
      <w:rPr>
        <w:rStyle w:val="HideTWBExt"/>
      </w:rPr>
      <w:t>&lt;PathFdR&gt;</w:t>
    </w:r>
    <w:r w:rsidRPr="00D567C2">
      <w:t>RR\1332680FI.docx</w:t>
    </w:r>
    <w:r w:rsidRPr="00D567C2">
      <w:rPr>
        <w:rStyle w:val="HideTWBExt"/>
      </w:rPr>
      <w:t>&lt;/PathFdR&gt;</w:t>
    </w:r>
  </w:p>
  <w:p w14:paraId="49E35DB2" w14:textId="77777777" w:rsidR="00443436" w:rsidRPr="00D567C2" w:rsidRDefault="00443436" w:rsidP="007A5B2C">
    <w:pPr>
      <w:pStyle w:val="EPFooter2"/>
    </w:pPr>
    <w:r w:rsidRPr="00D567C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E8428" w14:textId="77777777" w:rsidR="00443436" w:rsidRPr="00D567C2" w:rsidRDefault="00443436" w:rsidP="007A5B2C">
    <w:pPr>
      <w:pStyle w:val="EPFooter"/>
    </w:pPr>
    <w:r w:rsidRPr="00D567C2">
      <w:rPr>
        <w:rStyle w:val="HideTWBExt"/>
      </w:rPr>
      <w:t>&lt;PathFdR&gt;</w:t>
    </w:r>
    <w:r w:rsidRPr="00D567C2">
      <w:t>RR\1332680FI.docx</w:t>
    </w:r>
    <w:r w:rsidRPr="00D567C2">
      <w:rPr>
        <w:rStyle w:val="HideTWBExt"/>
      </w:rPr>
      <w:t>&lt;/PathFdR&gt;</w:t>
    </w:r>
    <w:r w:rsidRPr="00D567C2">
      <w:tab/>
    </w:r>
    <w:r w:rsidRPr="00D567C2">
      <w:tab/>
      <w:t>PE</w:t>
    </w:r>
    <w:r w:rsidRPr="00D567C2">
      <w:rPr>
        <w:rStyle w:val="HideTWBExt"/>
      </w:rPr>
      <w:t>&lt;NoPE&gt;</w:t>
    </w:r>
    <w:r w:rsidRPr="00D567C2">
      <w:t>779.349</w:t>
    </w:r>
    <w:r w:rsidRPr="00D567C2">
      <w:rPr>
        <w:rStyle w:val="HideTWBExt"/>
      </w:rPr>
      <w:t>&lt;/NoPE&gt;&lt;Version&gt;</w:t>
    </w:r>
    <w:r w:rsidRPr="00D567C2">
      <w:t>v03-00</w:t>
    </w:r>
    <w:r w:rsidRPr="00D567C2">
      <w:rPr>
        <w:rStyle w:val="HideTWBExt"/>
      </w:rPr>
      <w:t>&lt;/Version&gt;</w:t>
    </w:r>
  </w:p>
  <w:p w14:paraId="5AA0CEEB" w14:textId="77777777" w:rsidR="00443436" w:rsidRPr="00D567C2" w:rsidRDefault="00443436" w:rsidP="007A5B2C">
    <w:pPr>
      <w:pStyle w:val="EPFooter2"/>
    </w:pPr>
    <w:r w:rsidRPr="00D567C2">
      <w:t>FI</w:t>
    </w:r>
    <w:r w:rsidRPr="00D567C2">
      <w:tab/>
    </w:r>
    <w:r w:rsidRPr="00D567C2">
      <w:rPr>
        <w:b w:val="0"/>
        <w:i/>
        <w:color w:val="C0C0C0"/>
        <w:sz w:val="22"/>
      </w:rPr>
      <w:t>Moninaisuudessaan yhtenäinen</w:t>
    </w:r>
    <w:r w:rsidRPr="00D567C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ACAEC" w14:textId="77777777" w:rsidR="00064002" w:rsidRPr="00D567C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38801" w14:textId="77777777" w:rsidR="00064002" w:rsidRPr="00D567C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68DED" w14:textId="77777777" w:rsidR="00064002" w:rsidRPr="00D567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84FA" w14:textId="77777777" w:rsidR="00E24AF8" w:rsidRPr="00D567C2" w:rsidRDefault="00E24AF8">
      <w:r w:rsidRPr="00D567C2">
        <w:separator/>
      </w:r>
    </w:p>
  </w:footnote>
  <w:footnote w:type="continuationSeparator" w:id="0">
    <w:p w14:paraId="01D578ED" w14:textId="77777777" w:rsidR="00E24AF8" w:rsidRPr="00D567C2" w:rsidRDefault="00E24AF8">
      <w:r w:rsidRPr="00D567C2">
        <w:continuationSeparator/>
      </w:r>
    </w:p>
  </w:footnote>
  <w:footnote w:id="1">
    <w:p w14:paraId="7F1D343A" w14:textId="013BDF8A"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Pr="00D567C2">
        <w:rPr>
          <w:sz w:val="24"/>
          <w:lang w:val="fi-FI"/>
        </w:rPr>
        <w:t xml:space="preserve">EUVL L 153, 3.5.2021, s. 48, ELI: </w:t>
      </w:r>
      <w:hyperlink r:id="rId1" w:history="1">
        <w:r w:rsidRPr="00D567C2">
          <w:rPr>
            <w:rStyle w:val="Hyperlink"/>
            <w:sz w:val="24"/>
            <w:lang w:val="fi-FI"/>
          </w:rPr>
          <w:t>http://data.europa.eu/eli/reg/2021/691/oj</w:t>
        </w:r>
      </w:hyperlink>
      <w:r w:rsidRPr="00D567C2">
        <w:rPr>
          <w:sz w:val="24"/>
          <w:lang w:val="fi-FI"/>
        </w:rPr>
        <w:t>.</w:t>
      </w:r>
    </w:p>
  </w:footnote>
  <w:footnote w:id="2">
    <w:p w14:paraId="1E699C65" w14:textId="7915B1E9"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Pr="00D567C2">
        <w:rPr>
          <w:sz w:val="24"/>
          <w:lang w:val="fi-FI"/>
        </w:rPr>
        <w:t xml:space="preserve">EUVL L 433 I, 22.12.2020, s. 11, ELI: </w:t>
      </w:r>
      <w:hyperlink r:id="rId2" w:history="1">
        <w:r w:rsidRPr="00D567C2">
          <w:rPr>
            <w:rStyle w:val="Hyperlink"/>
            <w:sz w:val="24"/>
            <w:lang w:val="fi-FI"/>
          </w:rPr>
          <w:t>http://data.europa.eu/eli/reg/2020/2093/oj</w:t>
        </w:r>
      </w:hyperlink>
      <w:r w:rsidRPr="00D567C2">
        <w:rPr>
          <w:sz w:val="24"/>
          <w:lang w:val="fi-FI"/>
        </w:rPr>
        <w:t>.</w:t>
      </w:r>
    </w:p>
  </w:footnote>
  <w:footnote w:id="3">
    <w:p w14:paraId="54A183F7" w14:textId="39183ED8"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shd w:val="clear" w:color="auto" w:fill="FFFFFF"/>
          <w:lang w:val="fi-FI"/>
        </w:rPr>
        <w:t xml:space="preserve"> </w:t>
      </w:r>
      <w:r w:rsidR="00D567C2" w:rsidRPr="00D567C2">
        <w:rPr>
          <w:sz w:val="24"/>
          <w:shd w:val="clear" w:color="auto" w:fill="FFFFFF"/>
          <w:lang w:val="fi-FI"/>
        </w:rPr>
        <w:tab/>
      </w:r>
      <w:r w:rsidRPr="00D567C2">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D567C2">
        <w:rPr>
          <w:color w:val="333333"/>
          <w:sz w:val="24"/>
          <w:shd w:val="clear" w:color="auto" w:fill="FFFFFF"/>
          <w:lang w:val="fi-FI"/>
        </w:rPr>
        <w:t xml:space="preserve"> </w:t>
      </w:r>
      <w:hyperlink r:id="rId3" w:history="1">
        <w:r w:rsidRPr="00D567C2">
          <w:rPr>
            <w:rStyle w:val="Hyperlink"/>
            <w:sz w:val="24"/>
            <w:shd w:val="clear" w:color="auto" w:fill="FFFFFF"/>
            <w:lang w:val="fi-FI"/>
          </w:rPr>
          <w:t>http://data.europa.eu/eli/reg/2024/765/oj</w:t>
        </w:r>
      </w:hyperlink>
      <w:r w:rsidRPr="00753966">
        <w:rPr>
          <w:iCs/>
          <w:color w:val="333333"/>
          <w:sz w:val="24"/>
          <w:shd w:val="clear" w:color="auto" w:fill="FFFFFF"/>
          <w:lang w:val="fi-FI"/>
        </w:rPr>
        <w:t>)</w:t>
      </w:r>
      <w:r w:rsidRPr="00D567C2">
        <w:rPr>
          <w:i/>
          <w:color w:val="333333"/>
          <w:sz w:val="24"/>
          <w:shd w:val="clear" w:color="auto" w:fill="FFFFFF"/>
          <w:lang w:val="fi-FI"/>
        </w:rPr>
        <w:t>.</w:t>
      </w:r>
    </w:p>
  </w:footnote>
  <w:footnote w:id="4">
    <w:p w14:paraId="53507A30" w14:textId="2B4E9DC3"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Pr="00D567C2">
        <w:rPr>
          <w:sz w:val="24"/>
          <w:lang w:val="fi-FI"/>
        </w:rPr>
        <w:t xml:space="preserve">EUVL L 433 I, 22.12.2020, s. 28, ELI: </w:t>
      </w:r>
      <w:hyperlink r:id="rId4" w:history="1">
        <w:r w:rsidRPr="00D567C2">
          <w:rPr>
            <w:rStyle w:val="Hyperlink"/>
            <w:sz w:val="24"/>
            <w:lang w:val="fi-FI"/>
          </w:rPr>
          <w:t>http://data.europa.eu/eli/agree_interinstit/2020/1222/oj</w:t>
        </w:r>
      </w:hyperlink>
      <w:r w:rsidRPr="00D567C2">
        <w:rPr>
          <w:sz w:val="24"/>
          <w:lang w:val="fi-FI"/>
        </w:rPr>
        <w:t>.</w:t>
      </w:r>
    </w:p>
  </w:footnote>
  <w:footnote w:id="5">
    <w:p w14:paraId="516C6D03" w14:textId="647042E2"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Pr="00D567C2">
        <w:rPr>
          <w:sz w:val="24"/>
          <w:lang w:val="fi-FI"/>
        </w:rPr>
        <w:t>EGR-asetuksen 3 artiklan mukaisessa merkityksessä.</w:t>
      </w:r>
    </w:p>
  </w:footnote>
  <w:footnote w:id="6">
    <w:p w14:paraId="479EE34E" w14:textId="463C33CD" w:rsidR="00443436" w:rsidRPr="00D567C2"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003510D8">
        <w:rPr>
          <w:sz w:val="24"/>
          <w:lang w:val="fi-FI"/>
        </w:rPr>
        <w:t>M</w:t>
      </w:r>
      <w:r w:rsidRPr="00D567C2">
        <w:rPr>
          <w:sz w:val="24"/>
          <w:lang w:val="fi-FI"/>
        </w:rPr>
        <w:t xml:space="preserve">ukaan lukien </w:t>
      </w:r>
      <w:proofErr w:type="spellStart"/>
      <w:r w:rsidRPr="00D567C2">
        <w:rPr>
          <w:sz w:val="24"/>
          <w:lang w:val="fi-FI"/>
        </w:rPr>
        <w:t>Northvoltin</w:t>
      </w:r>
      <w:proofErr w:type="spellEnd"/>
      <w:r w:rsidRPr="00D567C2">
        <w:rPr>
          <w:sz w:val="24"/>
          <w:lang w:val="fi-FI"/>
        </w:rPr>
        <w:t xml:space="preserve"> ja Volvo </w:t>
      </w:r>
      <w:proofErr w:type="spellStart"/>
      <w:r w:rsidRPr="00D567C2">
        <w:rPr>
          <w:sz w:val="24"/>
          <w:lang w:val="fi-FI"/>
        </w:rPr>
        <w:t>Carsin</w:t>
      </w:r>
      <w:proofErr w:type="spellEnd"/>
      <w:r w:rsidRPr="00D567C2">
        <w:rPr>
          <w:sz w:val="24"/>
          <w:lang w:val="fi-FI"/>
        </w:rPr>
        <w:t xml:space="preserve"> yhteisyritykset, joiden koko osakekannan Volvo </w:t>
      </w:r>
      <w:proofErr w:type="spellStart"/>
      <w:r w:rsidRPr="00D567C2">
        <w:rPr>
          <w:sz w:val="24"/>
          <w:lang w:val="fi-FI"/>
        </w:rPr>
        <w:t>Cars</w:t>
      </w:r>
      <w:proofErr w:type="spellEnd"/>
      <w:r w:rsidRPr="00D567C2">
        <w:rPr>
          <w:sz w:val="24"/>
          <w:lang w:val="fi-FI"/>
        </w:rPr>
        <w:t xml:space="preserve"> hankki vuoden 2025 alussa ollakseen </w:t>
      </w:r>
      <w:r w:rsidR="003510D8">
        <w:rPr>
          <w:sz w:val="24"/>
          <w:lang w:val="fi-FI"/>
        </w:rPr>
        <w:t>kyseisten yritysten</w:t>
      </w:r>
      <w:r w:rsidRPr="00D567C2">
        <w:rPr>
          <w:sz w:val="24"/>
          <w:lang w:val="fi-FI"/>
        </w:rPr>
        <w:t xml:space="preserve"> ainoa omistaja.</w:t>
      </w:r>
    </w:p>
  </w:footnote>
  <w:footnote w:id="7">
    <w:p w14:paraId="358311A9" w14:textId="06E8F860" w:rsidR="00443436" w:rsidRPr="00644209" w:rsidRDefault="00443436" w:rsidP="00D567C2">
      <w:pPr>
        <w:pStyle w:val="FootnoteText"/>
        <w:ind w:left="567" w:hanging="567"/>
        <w:rPr>
          <w:sz w:val="24"/>
          <w:lang w:val="fi-FI"/>
        </w:rPr>
      </w:pPr>
      <w:r w:rsidRPr="00D567C2">
        <w:rPr>
          <w:rStyle w:val="FootnoteReference"/>
          <w:sz w:val="24"/>
          <w:lang w:val="fi-FI"/>
        </w:rPr>
        <w:footnoteRef/>
      </w:r>
      <w:r w:rsidR="00D567C2" w:rsidRPr="00D567C2">
        <w:rPr>
          <w:sz w:val="24"/>
          <w:lang w:val="fi-FI"/>
        </w:rPr>
        <w:t xml:space="preserve"> </w:t>
      </w:r>
      <w:r w:rsidR="00D567C2" w:rsidRPr="00D567C2">
        <w:rPr>
          <w:sz w:val="24"/>
          <w:lang w:val="fi-FI"/>
        </w:rPr>
        <w:tab/>
      </w:r>
      <w:r w:rsidRPr="00D567C2">
        <w:rPr>
          <w:sz w:val="24"/>
          <w:lang w:val="fi-FI"/>
        </w:rPr>
        <w:t xml:space="preserve">Komission työohjelma vuodeksi 2026: Euroopan riippumattomuuden hetki </w:t>
      </w:r>
      <w:hyperlink r:id="rId5" w:history="1">
        <w:r w:rsidRPr="00D567C2">
          <w:rPr>
            <w:rStyle w:val="Hyperlink"/>
            <w:sz w:val="24"/>
            <w:lang w:val="fi-FI"/>
          </w:rPr>
          <w:t>https://commission.europa.eu/strategy-and-policy/strategy-documents/commission-work-programme/commission-work-programme-2026_en</w:t>
        </w:r>
      </w:hyperlink>
      <w:r w:rsidR="00644209" w:rsidRPr="00753966">
        <w:rPr>
          <w:rStyle w:val="Hyperlink"/>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CD72" w14:textId="77777777" w:rsidR="00064002" w:rsidRPr="00D567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9A974" w14:textId="77777777" w:rsidR="00064002" w:rsidRPr="004E0C74" w:rsidRDefault="00064002" w:rsidP="004E0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C88D4" w14:textId="77777777" w:rsidR="00064002" w:rsidRPr="00D567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5100444">
    <w:abstractNumId w:val="9"/>
  </w:num>
  <w:num w:numId="2" w16cid:durableId="422654888">
    <w:abstractNumId w:val="9"/>
  </w:num>
  <w:num w:numId="3" w16cid:durableId="1583031310">
    <w:abstractNumId w:val="7"/>
  </w:num>
  <w:num w:numId="4" w16cid:durableId="1254049418">
    <w:abstractNumId w:val="7"/>
  </w:num>
  <w:num w:numId="5" w16cid:durableId="1597441926">
    <w:abstractNumId w:val="6"/>
  </w:num>
  <w:num w:numId="6" w16cid:durableId="1943293098">
    <w:abstractNumId w:val="6"/>
  </w:num>
  <w:num w:numId="7" w16cid:durableId="28578843">
    <w:abstractNumId w:val="5"/>
  </w:num>
  <w:num w:numId="8" w16cid:durableId="168912821">
    <w:abstractNumId w:val="5"/>
  </w:num>
  <w:num w:numId="9" w16cid:durableId="1529640564">
    <w:abstractNumId w:val="4"/>
  </w:num>
  <w:num w:numId="10" w16cid:durableId="1509060917">
    <w:abstractNumId w:val="4"/>
  </w:num>
  <w:num w:numId="11" w16cid:durableId="1552770912">
    <w:abstractNumId w:val="8"/>
  </w:num>
  <w:num w:numId="12" w16cid:durableId="502280657">
    <w:abstractNumId w:val="8"/>
  </w:num>
  <w:num w:numId="13" w16cid:durableId="792406315">
    <w:abstractNumId w:val="3"/>
  </w:num>
  <w:num w:numId="14" w16cid:durableId="829712821">
    <w:abstractNumId w:val="3"/>
  </w:num>
  <w:num w:numId="15" w16cid:durableId="1105420403">
    <w:abstractNumId w:val="2"/>
  </w:num>
  <w:num w:numId="16" w16cid:durableId="236869625">
    <w:abstractNumId w:val="2"/>
  </w:num>
  <w:num w:numId="17" w16cid:durableId="200214843">
    <w:abstractNumId w:val="1"/>
  </w:num>
  <w:num w:numId="18" w16cid:durableId="268392948">
    <w:abstractNumId w:val="1"/>
  </w:num>
  <w:num w:numId="19" w16cid:durableId="1565870647">
    <w:abstractNumId w:val="0"/>
  </w:num>
  <w:num w:numId="20" w16cid:durableId="1847018925">
    <w:abstractNumId w:val="0"/>
  </w:num>
  <w:num w:numId="21" w16cid:durableId="2038583410">
    <w:abstractNumId w:val="9"/>
  </w:num>
  <w:num w:numId="22" w16cid:durableId="1503079484">
    <w:abstractNumId w:val="7"/>
  </w:num>
  <w:num w:numId="23" w16cid:durableId="253128220">
    <w:abstractNumId w:val="6"/>
  </w:num>
  <w:num w:numId="24" w16cid:durableId="1102191933">
    <w:abstractNumId w:val="5"/>
  </w:num>
  <w:num w:numId="25" w16cid:durableId="1462769553">
    <w:abstractNumId w:val="4"/>
  </w:num>
  <w:num w:numId="26" w16cid:durableId="342250070">
    <w:abstractNumId w:val="8"/>
  </w:num>
  <w:num w:numId="27" w16cid:durableId="647830264">
    <w:abstractNumId w:val="3"/>
  </w:num>
  <w:num w:numId="28" w16cid:durableId="1799378821">
    <w:abstractNumId w:val="2"/>
  </w:num>
  <w:num w:numId="29" w16cid:durableId="936525245">
    <w:abstractNumId w:val="1"/>
  </w:num>
  <w:num w:numId="30" w16cid:durableId="414938474">
    <w:abstractNumId w:val="0"/>
  </w:num>
  <w:num w:numId="31" w16cid:durableId="1075662000">
    <w:abstractNumId w:val="9"/>
  </w:num>
  <w:num w:numId="32" w16cid:durableId="178551214">
    <w:abstractNumId w:val="7"/>
  </w:num>
  <w:num w:numId="33" w16cid:durableId="1952474019">
    <w:abstractNumId w:val="6"/>
  </w:num>
  <w:num w:numId="34" w16cid:durableId="1219902767">
    <w:abstractNumId w:val="5"/>
  </w:num>
  <w:num w:numId="35" w16cid:durableId="962006335">
    <w:abstractNumId w:val="4"/>
  </w:num>
  <w:num w:numId="36" w16cid:durableId="546449799">
    <w:abstractNumId w:val="8"/>
  </w:num>
  <w:num w:numId="37" w16cid:durableId="1802922599">
    <w:abstractNumId w:val="3"/>
  </w:num>
  <w:num w:numId="38" w16cid:durableId="1296788556">
    <w:abstractNumId w:val="2"/>
  </w:num>
  <w:num w:numId="39" w16cid:durableId="1964655267">
    <w:abstractNumId w:val="1"/>
  </w:num>
  <w:num w:numId="40" w16cid:durableId="1517618947">
    <w:abstractNumId w:val="0"/>
  </w:num>
  <w:num w:numId="41" w16cid:durableId="1149395089">
    <w:abstractNumId w:val="10"/>
  </w:num>
  <w:num w:numId="42" w16cid:durableId="48111891">
    <w:abstractNumId w:val="10"/>
  </w:num>
  <w:num w:numId="43" w16cid:durableId="2114593992">
    <w:abstractNumId w:val="10"/>
  </w:num>
  <w:num w:numId="44" w16cid:durableId="192807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FI"/>
    <w:docVar w:name="dvnumam" w:val="0"/>
    <w:docVar w:name="dvpe" w:val="779.349"/>
    <w:docVar w:name="dvrapporteur" w:val="Esittelijä: "/>
    <w:docVar w:name="dvtitre" w:val="Euroopan parlamentin päätös xx. joulukuuta 2025 ehdotuksesta Euroopan parlamentin ja neuvoston päätökseksi työttömiksi jääneitä työntekijöitä tukevan Euroopan globalisaatiorahaston varojen käyttöönotosta Ruotsin hakemuksen johdosta – EGF/2025/003 SE/Northvolt(COM(2025)0621 – C10-0270/2025 – 2025/0326(BUD))"/>
  </w:docVars>
  <w:rsids>
    <w:rsidRoot w:val="00E24AF8"/>
    <w:rsid w:val="00002272"/>
    <w:rsid w:val="00064002"/>
    <w:rsid w:val="000677B9"/>
    <w:rsid w:val="000831BA"/>
    <w:rsid w:val="000A42CC"/>
    <w:rsid w:val="000E7DD9"/>
    <w:rsid w:val="0010095E"/>
    <w:rsid w:val="00125B37"/>
    <w:rsid w:val="00187494"/>
    <w:rsid w:val="001F32AE"/>
    <w:rsid w:val="00247025"/>
    <w:rsid w:val="002767FF"/>
    <w:rsid w:val="002B18FE"/>
    <w:rsid w:val="002B5493"/>
    <w:rsid w:val="002D4012"/>
    <w:rsid w:val="002E5DC1"/>
    <w:rsid w:val="00343214"/>
    <w:rsid w:val="003510D8"/>
    <w:rsid w:val="00361C00"/>
    <w:rsid w:val="00395FA1"/>
    <w:rsid w:val="003E15D4"/>
    <w:rsid w:val="00411CCE"/>
    <w:rsid w:val="0041666E"/>
    <w:rsid w:val="00421060"/>
    <w:rsid w:val="00443436"/>
    <w:rsid w:val="00471C19"/>
    <w:rsid w:val="004867E3"/>
    <w:rsid w:val="00494A28"/>
    <w:rsid w:val="004C0004"/>
    <w:rsid w:val="004C5D52"/>
    <w:rsid w:val="004E0C74"/>
    <w:rsid w:val="0050519A"/>
    <w:rsid w:val="005072A1"/>
    <w:rsid w:val="00514517"/>
    <w:rsid w:val="00545827"/>
    <w:rsid w:val="00560270"/>
    <w:rsid w:val="005C2568"/>
    <w:rsid w:val="005D7FEB"/>
    <w:rsid w:val="005F1B17"/>
    <w:rsid w:val="006037C0"/>
    <w:rsid w:val="00644209"/>
    <w:rsid w:val="006631B6"/>
    <w:rsid w:val="00680577"/>
    <w:rsid w:val="006F74FA"/>
    <w:rsid w:val="007039B2"/>
    <w:rsid w:val="00731ADD"/>
    <w:rsid w:val="00734777"/>
    <w:rsid w:val="00747932"/>
    <w:rsid w:val="00751A4A"/>
    <w:rsid w:val="00753966"/>
    <w:rsid w:val="00756632"/>
    <w:rsid w:val="00762C74"/>
    <w:rsid w:val="00786EC0"/>
    <w:rsid w:val="007D1690"/>
    <w:rsid w:val="007E22AD"/>
    <w:rsid w:val="00817416"/>
    <w:rsid w:val="00842779"/>
    <w:rsid w:val="00865F67"/>
    <w:rsid w:val="00881A7B"/>
    <w:rsid w:val="008840E5"/>
    <w:rsid w:val="00887B3E"/>
    <w:rsid w:val="008C2AC6"/>
    <w:rsid w:val="008C48B0"/>
    <w:rsid w:val="008C60E3"/>
    <w:rsid w:val="00930C23"/>
    <w:rsid w:val="0093193B"/>
    <w:rsid w:val="009509D8"/>
    <w:rsid w:val="00950B64"/>
    <w:rsid w:val="0097568B"/>
    <w:rsid w:val="00981893"/>
    <w:rsid w:val="00A1687D"/>
    <w:rsid w:val="00A43E52"/>
    <w:rsid w:val="00A4678D"/>
    <w:rsid w:val="00A778C7"/>
    <w:rsid w:val="00A912BD"/>
    <w:rsid w:val="00AB441E"/>
    <w:rsid w:val="00AB6293"/>
    <w:rsid w:val="00AE0928"/>
    <w:rsid w:val="00AF3B82"/>
    <w:rsid w:val="00B12E95"/>
    <w:rsid w:val="00B22876"/>
    <w:rsid w:val="00B558F0"/>
    <w:rsid w:val="00BD48FE"/>
    <w:rsid w:val="00BD7BD8"/>
    <w:rsid w:val="00BE6ADC"/>
    <w:rsid w:val="00C05BFE"/>
    <w:rsid w:val="00C23CD4"/>
    <w:rsid w:val="00C61C0C"/>
    <w:rsid w:val="00C85D1C"/>
    <w:rsid w:val="00C941CB"/>
    <w:rsid w:val="00CB1421"/>
    <w:rsid w:val="00CC2357"/>
    <w:rsid w:val="00CE7E16"/>
    <w:rsid w:val="00CF071A"/>
    <w:rsid w:val="00D058B8"/>
    <w:rsid w:val="00D567C2"/>
    <w:rsid w:val="00D56C11"/>
    <w:rsid w:val="00D67656"/>
    <w:rsid w:val="00D834A0"/>
    <w:rsid w:val="00D872DF"/>
    <w:rsid w:val="00D91E21"/>
    <w:rsid w:val="00DA7FCD"/>
    <w:rsid w:val="00E24AF8"/>
    <w:rsid w:val="00E365E1"/>
    <w:rsid w:val="00E820A4"/>
    <w:rsid w:val="00EB006A"/>
    <w:rsid w:val="00EB4772"/>
    <w:rsid w:val="00ED169E"/>
    <w:rsid w:val="00ED4235"/>
    <w:rsid w:val="00ED718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B450B"/>
  <w15:chartTrackingRefBased/>
  <w15:docId w15:val="{581F513C-B6E0-4A02-8898-4E88DD56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4343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43436"/>
    <w:pPr>
      <w:keepNext/>
      <w:spacing w:after="480"/>
      <w:jc w:val="center"/>
    </w:pPr>
    <w:rPr>
      <w:rFonts w:ascii="Arial" w:hAnsi="Arial" w:cs="Arial"/>
      <w:b/>
    </w:rPr>
  </w:style>
  <w:style w:type="paragraph" w:customStyle="1" w:styleId="NormalHanging12a">
    <w:name w:val="NormalHanging12a"/>
    <w:basedOn w:val="Normal"/>
    <w:rsid w:val="00443436"/>
    <w:pPr>
      <w:spacing w:after="240"/>
      <w:ind w:left="567" w:hanging="567"/>
    </w:pPr>
  </w:style>
  <w:style w:type="paragraph" w:styleId="Header">
    <w:name w:val="header"/>
    <w:basedOn w:val="Normal"/>
    <w:link w:val="HeaderChar"/>
    <w:rsid w:val="00443436"/>
    <w:pPr>
      <w:tabs>
        <w:tab w:val="center" w:pos="4513"/>
        <w:tab w:val="right" w:pos="9026"/>
      </w:tabs>
    </w:pPr>
  </w:style>
  <w:style w:type="character" w:customStyle="1" w:styleId="HeaderChar">
    <w:name w:val="Header Char"/>
    <w:basedOn w:val="DefaultParagraphFont"/>
    <w:link w:val="Header"/>
    <w:rsid w:val="00443436"/>
    <w:rPr>
      <w:sz w:val="24"/>
      <w:lang w:val="fi-FI"/>
    </w:rPr>
  </w:style>
  <w:style w:type="paragraph" w:customStyle="1" w:styleId="NormalBold24a">
    <w:name w:val="NormalBold24a"/>
    <w:basedOn w:val="Normal"/>
    <w:rsid w:val="00443436"/>
    <w:pPr>
      <w:spacing w:after="480"/>
    </w:pPr>
    <w:rPr>
      <w:b/>
      <w:bCs/>
    </w:rPr>
  </w:style>
  <w:style w:type="paragraph" w:customStyle="1" w:styleId="EPFooter">
    <w:name w:val="EPFooter"/>
    <w:basedOn w:val="Normal"/>
    <w:rsid w:val="00443436"/>
    <w:pPr>
      <w:tabs>
        <w:tab w:val="center" w:pos="4535"/>
        <w:tab w:val="right" w:pos="9071"/>
      </w:tabs>
      <w:spacing w:before="240" w:after="240"/>
    </w:pPr>
    <w:rPr>
      <w:color w:val="010000"/>
      <w:sz w:val="22"/>
    </w:rPr>
  </w:style>
  <w:style w:type="paragraph" w:customStyle="1" w:styleId="EPComma">
    <w:name w:val="EPComma"/>
    <w:basedOn w:val="Normal"/>
    <w:rsid w:val="00443436"/>
    <w:pPr>
      <w:spacing w:before="480" w:after="240"/>
    </w:pPr>
  </w:style>
  <w:style w:type="character" w:styleId="Hyperlink">
    <w:name w:val="Hyperlink"/>
    <w:basedOn w:val="DefaultParagraphFont"/>
    <w:rsid w:val="00443436"/>
    <w:rPr>
      <w:color w:val="0563C1" w:themeColor="hyperlink"/>
      <w:u w:val="single"/>
    </w:rPr>
  </w:style>
  <w:style w:type="paragraph" w:customStyle="1" w:styleId="Institutionquisigne">
    <w:name w:val="Institution qui signe"/>
    <w:basedOn w:val="Normal"/>
    <w:next w:val="Personnequisigne"/>
    <w:rsid w:val="0044343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4343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4343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4343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4343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43436"/>
    <w:pPr>
      <w:widowControl/>
      <w:tabs>
        <w:tab w:val="left" w:pos="4252"/>
      </w:tabs>
    </w:pPr>
    <w:rPr>
      <w:rFonts w:eastAsiaTheme="minorHAnsi"/>
      <w:i/>
      <w:szCs w:val="22"/>
      <w:lang w:eastAsia="en-US"/>
    </w:rPr>
  </w:style>
  <w:style w:type="paragraph" w:customStyle="1" w:styleId="ManualConsidrant">
    <w:name w:val="Manual Considérant"/>
    <w:basedOn w:val="Normal"/>
    <w:rsid w:val="00443436"/>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43436"/>
    <w:rPr>
      <w:rFonts w:ascii="Arial" w:hAnsi="Arial" w:cs="Arial"/>
      <w:b/>
      <w:sz w:val="24"/>
      <w:lang w:val="fi-FI"/>
    </w:rPr>
  </w:style>
  <w:style w:type="paragraph" w:styleId="Footer">
    <w:name w:val="footer"/>
    <w:basedOn w:val="Normal"/>
    <w:link w:val="FooterChar"/>
    <w:rsid w:val="004E0C74"/>
    <w:pPr>
      <w:tabs>
        <w:tab w:val="center" w:pos="4513"/>
        <w:tab w:val="right" w:pos="9026"/>
      </w:tabs>
    </w:pPr>
  </w:style>
  <w:style w:type="character" w:customStyle="1" w:styleId="FooterChar">
    <w:name w:val="Footer Char"/>
    <w:basedOn w:val="DefaultParagraphFont"/>
    <w:link w:val="Footer"/>
    <w:rsid w:val="004E0C74"/>
    <w:rPr>
      <w:sz w:val="24"/>
      <w:lang w:val="fi-FI"/>
    </w:rPr>
  </w:style>
  <w:style w:type="paragraph" w:styleId="Revision">
    <w:name w:val="Revision"/>
    <w:hidden/>
    <w:uiPriority w:val="99"/>
    <w:semiHidden/>
    <w:rsid w:val="00644209"/>
    <w:rPr>
      <w:sz w:val="24"/>
      <w:lang w:val="fi-FI"/>
    </w:rPr>
  </w:style>
  <w:style w:type="character" w:styleId="UnresolvedMention">
    <w:name w:val="Unresolved Mention"/>
    <w:basedOn w:val="DefaultParagraphFont"/>
    <w:uiPriority w:val="99"/>
    <w:semiHidden/>
    <w:unhideWhenUsed/>
    <w:rsid w:val="00644209"/>
    <w:rPr>
      <w:color w:val="605E5C"/>
      <w:shd w:val="clear" w:color="auto" w:fill="E1DFDD"/>
    </w:rPr>
  </w:style>
  <w:style w:type="character" w:styleId="CommentReference">
    <w:name w:val="annotation reference"/>
    <w:basedOn w:val="DefaultParagraphFont"/>
    <w:rsid w:val="00ED718E"/>
    <w:rPr>
      <w:sz w:val="16"/>
      <w:szCs w:val="16"/>
    </w:rPr>
  </w:style>
  <w:style w:type="paragraph" w:styleId="CommentText">
    <w:name w:val="annotation text"/>
    <w:basedOn w:val="Normal"/>
    <w:link w:val="CommentTextChar"/>
    <w:rsid w:val="00ED718E"/>
    <w:rPr>
      <w:sz w:val="20"/>
    </w:rPr>
  </w:style>
  <w:style w:type="character" w:customStyle="1" w:styleId="CommentTextChar">
    <w:name w:val="Comment Text Char"/>
    <w:basedOn w:val="DefaultParagraphFont"/>
    <w:link w:val="CommentText"/>
    <w:rsid w:val="00ED718E"/>
    <w:rPr>
      <w:lang w:val="fi-FI"/>
    </w:rPr>
  </w:style>
  <w:style w:type="paragraph" w:styleId="CommentSubject">
    <w:name w:val="annotation subject"/>
    <w:basedOn w:val="CommentText"/>
    <w:next w:val="CommentText"/>
    <w:link w:val="CommentSubjectChar"/>
    <w:rsid w:val="00ED718E"/>
    <w:rPr>
      <w:b/>
      <w:bCs/>
    </w:rPr>
  </w:style>
  <w:style w:type="character" w:customStyle="1" w:styleId="CommentSubjectChar">
    <w:name w:val="Comment Subject Char"/>
    <w:basedOn w:val="CommentTextChar"/>
    <w:link w:val="CommentSubject"/>
    <w:rsid w:val="00ED718E"/>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11382</Characters>
  <Application>Microsoft Office Word</Application>
  <DocSecurity>4</DocSecurity>
  <Lines>94</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GIRGINOV Kiril</cp:lastModifiedBy>
  <cp:revision>2</cp:revision>
  <cp:lastPrinted>2004-11-19T15:42:00Z</cp:lastPrinted>
  <dcterms:created xsi:type="dcterms:W3CDTF">2026-03-23T15:20:00Z</dcterms:created>
  <dcterms:modified xsi:type="dcterms:W3CDTF">2026-03-23T15:20:00Z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P10_TA(2025)0325_</vt:lpwstr>
  </property>
  <property fmtid="{D5CDD505-2E9C-101B-9397-08002B2CF9AE}" pid="4" name="&lt;Type&gt;">
    <vt:lpwstr>RR</vt:lpwstr>
  </property>
</Properties>
</file>