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E62" w14:paraId="129C2AD0" w14:textId="77777777" w:rsidTr="0010095E">
        <w:trPr>
          <w:trHeight w:hRule="exact" w:val="1418"/>
        </w:trPr>
        <w:tc>
          <w:tcPr>
            <w:tcW w:w="6804" w:type="dxa"/>
            <w:shd w:val="clear" w:color="auto" w:fill="auto"/>
            <w:vAlign w:val="center"/>
          </w:tcPr>
          <w:p w14:paraId="1E044D10" w14:textId="77777777" w:rsidR="00751A4A" w:rsidRPr="00DA6E62" w:rsidRDefault="00D5189D" w:rsidP="0010095E">
            <w:pPr>
              <w:pStyle w:val="EPName"/>
            </w:pPr>
            <w:r w:rsidRPr="00DA6E62">
              <w:t>Európai Parlament</w:t>
            </w:r>
          </w:p>
          <w:p w14:paraId="260D1AD6" w14:textId="77777777" w:rsidR="00751A4A" w:rsidRPr="00DA6E62" w:rsidRDefault="005F1B17" w:rsidP="005F1B17">
            <w:pPr>
              <w:pStyle w:val="EPTerm"/>
              <w:rPr>
                <w:rStyle w:val="HideTWBExt"/>
                <w:noProof w:val="0"/>
                <w:vanish w:val="0"/>
                <w:color w:val="auto"/>
              </w:rPr>
            </w:pPr>
            <w:r w:rsidRPr="00DA6E62">
              <w:t>2024</w:t>
            </w:r>
            <w:r w:rsidR="00817416" w:rsidRPr="00DA6E62">
              <w:t>-202</w:t>
            </w:r>
            <w:r w:rsidRPr="00DA6E62">
              <w:t>9</w:t>
            </w:r>
          </w:p>
        </w:tc>
        <w:tc>
          <w:tcPr>
            <w:tcW w:w="2268" w:type="dxa"/>
            <w:shd w:val="clear" w:color="auto" w:fill="auto"/>
          </w:tcPr>
          <w:p w14:paraId="5FCB3AD0" w14:textId="77777777" w:rsidR="00751A4A" w:rsidRPr="00DA6E62" w:rsidRDefault="00187494" w:rsidP="0010095E">
            <w:pPr>
              <w:pStyle w:val="EPLogo"/>
            </w:pPr>
            <w:r w:rsidRPr="00DA6E62">
              <w:rPr>
                <w:noProof/>
                <w:lang w:eastAsia="ja-JP"/>
              </w:rPr>
              <w:drawing>
                <wp:inline distT="0" distB="0" distL="0" distR="0" wp14:anchorId="27BDB63A" wp14:editId="3404A8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231A99" w14:textId="77777777" w:rsidR="00D058B8" w:rsidRPr="00DA6E62" w:rsidRDefault="00D058B8" w:rsidP="004C5D52">
      <w:pPr>
        <w:pStyle w:val="LineTop"/>
      </w:pPr>
    </w:p>
    <w:p w14:paraId="39C0196D" w14:textId="77777777" w:rsidR="00680577" w:rsidRPr="00DA6E62" w:rsidRDefault="00D5189D" w:rsidP="00680577">
      <w:pPr>
        <w:pStyle w:val="EPBodyTA1"/>
      </w:pPr>
      <w:r w:rsidRPr="00DA6E62">
        <w:t>ELFOGADOTT SZÖVEGEK</w:t>
      </w:r>
    </w:p>
    <w:p w14:paraId="199C4D22" w14:textId="77777777" w:rsidR="00D058B8" w:rsidRPr="00DA6E62" w:rsidRDefault="00D058B8" w:rsidP="00D058B8">
      <w:pPr>
        <w:pStyle w:val="LineBottom"/>
      </w:pPr>
    </w:p>
    <w:p w14:paraId="1C47BF5C" w14:textId="5FEB345B" w:rsidR="00D5189D" w:rsidRPr="00DA6E62" w:rsidRDefault="00D5189D" w:rsidP="00D5189D">
      <w:pPr>
        <w:pStyle w:val="ATHeading1"/>
      </w:pPr>
      <w:bookmarkStart w:id="0" w:name="TANumber"/>
      <w:r w:rsidRPr="00DA6E62">
        <w:t>P10_</w:t>
      </w:r>
      <w:proofErr w:type="gramStart"/>
      <w:r w:rsidRPr="00DA6E62">
        <w:t>TA(</w:t>
      </w:r>
      <w:proofErr w:type="gramEnd"/>
      <w:r w:rsidRPr="00DA6E62">
        <w:t>2025)0</w:t>
      </w:r>
      <w:r w:rsidR="00DA6E62">
        <w:t>325</w:t>
      </w:r>
      <w:bookmarkEnd w:id="0"/>
    </w:p>
    <w:p w14:paraId="0784F422" w14:textId="7E0A708B" w:rsidR="00D5189D" w:rsidRPr="00DA6E62" w:rsidRDefault="005B2F50" w:rsidP="005B2F50">
      <w:pPr>
        <w:pStyle w:val="ATHeading2"/>
      </w:pPr>
      <w:bookmarkStart w:id="1" w:name="title"/>
      <w:r w:rsidRPr="00DA6E62">
        <w:t xml:space="preserve">Az elbocsátott munkavállalók támogatását szolgáló Európai Globalizációs Alkalmazkodási Alap igénybevétele: </w:t>
      </w:r>
      <w:r w:rsidR="001E0A29" w:rsidRPr="00DA6E62">
        <w:t xml:space="preserve">Svédország </w:t>
      </w:r>
      <w:r w:rsidRPr="00DA6E62">
        <w:t>EGF/2025/003 SE/</w:t>
      </w:r>
      <w:proofErr w:type="spellStart"/>
      <w:r w:rsidRPr="00DA6E62">
        <w:t>Northvolt</w:t>
      </w:r>
      <w:proofErr w:type="spellEnd"/>
      <w:r w:rsidRPr="00DA6E62">
        <w:t xml:space="preserve"> referenciaszámú kérel</w:t>
      </w:r>
      <w:r w:rsidR="001E0A29" w:rsidRPr="00DA6E62">
        <w:t>m</w:t>
      </w:r>
      <w:r w:rsidRPr="00DA6E62">
        <w:t>e</w:t>
      </w:r>
      <w:bookmarkEnd w:id="1"/>
    </w:p>
    <w:p w14:paraId="12966950" w14:textId="77777777" w:rsidR="00D5189D" w:rsidRPr="00DA6E62" w:rsidRDefault="00D5189D" w:rsidP="00D5189D">
      <w:pPr>
        <w:rPr>
          <w:i/>
          <w:vanish/>
        </w:rPr>
      </w:pPr>
      <w:r w:rsidRPr="00DA6E62">
        <w:rPr>
          <w:i/>
        </w:rPr>
        <w:fldChar w:fldCharType="begin"/>
      </w:r>
      <w:r w:rsidRPr="00DA6E62">
        <w:rPr>
          <w:i/>
        </w:rPr>
        <w:instrText xml:space="preserve"> TC"(</w:instrText>
      </w:r>
      <w:bookmarkStart w:id="2" w:name="DocNumber"/>
      <w:r w:rsidRPr="00DA6E62">
        <w:rPr>
          <w:i/>
        </w:rPr>
        <w:instrText>A10-0239/2025</w:instrText>
      </w:r>
      <w:bookmarkEnd w:id="2"/>
      <w:r w:rsidRPr="00DA6E62">
        <w:rPr>
          <w:i/>
        </w:rPr>
        <w:instrText xml:space="preserve"> - Előadó: Aura </w:instrText>
      </w:r>
      <w:proofErr w:type="spellStart"/>
      <w:r w:rsidRPr="00DA6E62">
        <w:rPr>
          <w:i/>
        </w:rPr>
        <w:instrText>Salla</w:instrText>
      </w:r>
      <w:proofErr w:type="spellEnd"/>
      <w:r w:rsidRPr="00DA6E62">
        <w:rPr>
          <w:i/>
        </w:rPr>
        <w:instrText xml:space="preserve">)"\l3 \n&gt; \* MERGEFORMAT </w:instrText>
      </w:r>
      <w:r w:rsidRPr="00DA6E62">
        <w:rPr>
          <w:i/>
        </w:rPr>
        <w:fldChar w:fldCharType="end"/>
      </w:r>
    </w:p>
    <w:p w14:paraId="2F52D4F1" w14:textId="77777777" w:rsidR="00D5189D" w:rsidRPr="00DA6E62" w:rsidRDefault="00D5189D" w:rsidP="00D5189D">
      <w:pPr>
        <w:rPr>
          <w:vanish/>
        </w:rPr>
      </w:pPr>
      <w:bookmarkStart w:id="3" w:name="Commission"/>
      <w:r w:rsidRPr="00DA6E62">
        <w:rPr>
          <w:vanish/>
        </w:rPr>
        <w:t>Költségvetési Bizottság</w:t>
      </w:r>
      <w:bookmarkEnd w:id="3"/>
    </w:p>
    <w:p w14:paraId="17BFE1D8" w14:textId="77777777" w:rsidR="00D5189D" w:rsidRPr="00DA6E62" w:rsidRDefault="00D5189D" w:rsidP="00D5189D">
      <w:pPr>
        <w:rPr>
          <w:vanish/>
        </w:rPr>
      </w:pPr>
      <w:bookmarkStart w:id="4" w:name="PE"/>
      <w:r w:rsidRPr="00DA6E62">
        <w:rPr>
          <w:vanish/>
        </w:rPr>
        <w:t>PE779.349</w:t>
      </w:r>
      <w:bookmarkEnd w:id="4"/>
    </w:p>
    <w:p w14:paraId="3747C91A" w14:textId="3F01DE57" w:rsidR="00D5189D" w:rsidRPr="00DA6E62" w:rsidRDefault="00D5189D" w:rsidP="00D5189D">
      <w:pPr>
        <w:pStyle w:val="ATHeading3"/>
      </w:pPr>
      <w:bookmarkStart w:id="5" w:name="Sujet"/>
      <w:r w:rsidRPr="00DA6E62">
        <w:t xml:space="preserve">Az Európai Parlament 2025. </w:t>
      </w:r>
      <w:r w:rsidR="00C9395A" w:rsidRPr="00DA6E62">
        <w:t>december</w:t>
      </w:r>
      <w:r w:rsidRPr="00DA6E62">
        <w:t xml:space="preserve"> </w:t>
      </w:r>
      <w:r w:rsidR="001E0A29" w:rsidRPr="00DA6E62">
        <w:t>16-</w:t>
      </w:r>
      <w:r w:rsidRPr="00DA6E62">
        <w:t>i állásfoglalása az elbocsátott munkavállalók támogatását szolgáló Európai Globalizációs Alkalmazkodási Alapnak Svédország EGF/2025/003 SE/</w:t>
      </w:r>
      <w:proofErr w:type="spellStart"/>
      <w:r w:rsidRPr="00DA6E62">
        <w:t>Northvolt</w:t>
      </w:r>
      <w:proofErr w:type="spellEnd"/>
      <w:r w:rsidRPr="00DA6E62">
        <w:t xml:space="preserve"> referenciaszámú kérelme nyomán történő igénybevételéről szóló európai parlamenti és tanácsi határozatra irányuló javaslatról</w:t>
      </w:r>
      <w:bookmarkEnd w:id="5"/>
      <w:r w:rsidRPr="00DA6E62">
        <w:t xml:space="preserve"> </w:t>
      </w:r>
      <w:bookmarkStart w:id="6" w:name="References"/>
      <w:r w:rsidRPr="00DA6E62">
        <w:t>(</w:t>
      </w:r>
      <w:proofErr w:type="gramStart"/>
      <w:r w:rsidRPr="00DA6E62">
        <w:t>COM(</w:t>
      </w:r>
      <w:proofErr w:type="gramEnd"/>
      <w:r w:rsidRPr="00DA6E62">
        <w:t>2025)0621 – C10-0270/2025 – 2025/0326(BUD))</w:t>
      </w:r>
      <w:bookmarkEnd w:id="6"/>
    </w:p>
    <w:p w14:paraId="1660B9AD" w14:textId="77777777" w:rsidR="00452A33" w:rsidRPr="00DA6E62" w:rsidRDefault="00452A33" w:rsidP="00452A33">
      <w:pPr>
        <w:pStyle w:val="EPComma"/>
        <w:rPr>
          <w:noProof/>
        </w:rPr>
      </w:pPr>
      <w:r w:rsidRPr="00DA6E62">
        <w:rPr>
          <w:i/>
        </w:rPr>
        <w:t>Az Európai Parlament</w:t>
      </w:r>
      <w:r w:rsidRPr="00DA6E62">
        <w:t>,</w:t>
      </w:r>
    </w:p>
    <w:p w14:paraId="17BFD7B9" w14:textId="77777777" w:rsidR="00452A33" w:rsidRPr="00DA6E62" w:rsidRDefault="00452A33" w:rsidP="00C9395A">
      <w:pPr>
        <w:pStyle w:val="NormalHanging12a"/>
        <w:widowControl/>
        <w:rPr>
          <w:noProof/>
        </w:rPr>
      </w:pPr>
      <w:r w:rsidRPr="00DA6E62">
        <w:t>–</w:t>
      </w:r>
      <w:r w:rsidRPr="00DA6E62">
        <w:tab/>
        <w:t>tekintettel a Bizottságnak az Európai Parlamenthez és a Tanácshoz intézett javaslatára (</w:t>
      </w:r>
      <w:proofErr w:type="gramStart"/>
      <w:r w:rsidRPr="00DA6E62">
        <w:t>COM(</w:t>
      </w:r>
      <w:proofErr w:type="gramEnd"/>
      <w:r w:rsidRPr="00DA6E62">
        <w:t>2025)0621 – C10</w:t>
      </w:r>
      <w:r w:rsidRPr="00DA6E62">
        <w:noBreakHyphen/>
        <w:t>0270/2025),</w:t>
      </w:r>
    </w:p>
    <w:p w14:paraId="35C39EB0" w14:textId="77777777" w:rsidR="00452A33" w:rsidRPr="00DA6E62" w:rsidRDefault="00452A33" w:rsidP="00C9395A">
      <w:pPr>
        <w:pStyle w:val="NormalHanging12a"/>
        <w:widowControl/>
      </w:pPr>
      <w:r w:rsidRPr="00DA6E62">
        <w:t>–</w:t>
      </w:r>
      <w:r w:rsidRPr="00DA6E62">
        <w:tab/>
        <w:t>tekintettel az elbocsátott munkavállalók támogatását szolgáló Európai Globalizációs Alkalmazkodási Alapról (EGAA) és az 1309/2013/EU rendelet hatályon kívül helyezéséről szóló, 2021. április 28-i (EU) 2021/691 európai parlamenti és tanácsi rendeletre</w:t>
      </w:r>
      <w:r w:rsidRPr="00DA6E62">
        <w:rPr>
          <w:vertAlign w:val="superscript"/>
        </w:rPr>
        <w:footnoteReference w:id="1"/>
      </w:r>
      <w:r w:rsidRPr="00DA6E62">
        <w:t xml:space="preserve"> (a továbbiakban: EGAA-rendelet), </w:t>
      </w:r>
    </w:p>
    <w:p w14:paraId="2CAB8E8B" w14:textId="21F27E89" w:rsidR="00452A33" w:rsidRPr="00DA6E62" w:rsidRDefault="00452A33" w:rsidP="00C9395A">
      <w:pPr>
        <w:pStyle w:val="NormalHanging12a"/>
        <w:widowControl/>
        <w:rPr>
          <w:noProof/>
        </w:rPr>
      </w:pPr>
      <w:r w:rsidRPr="00DA6E62">
        <w:t>–</w:t>
      </w:r>
      <w:r w:rsidRPr="00DA6E62">
        <w:tab/>
        <w:t xml:space="preserve">tekintettel az (EU, Euratom) 2024/765 </w:t>
      </w:r>
      <w:r w:rsidR="000A3B7E" w:rsidRPr="00DA6E62">
        <w:t xml:space="preserve">tanácsi </w:t>
      </w:r>
      <w:r w:rsidRPr="00DA6E62">
        <w:t>rendelettel</w:t>
      </w:r>
      <w:r w:rsidRPr="00DA6E62">
        <w:rPr>
          <w:noProof/>
          <w:vertAlign w:val="superscript"/>
        </w:rPr>
        <w:footnoteReference w:id="2"/>
      </w:r>
      <w:r w:rsidRPr="00DA6E62">
        <w:t xml:space="preserve"> módosított, a 2021–2027-es időszakra vonatkozó többéves pénzügyi keretről szóló, 2020. december 17-i (EU, Euratom) 2020/2093 tanácsi rendeletre</w:t>
      </w:r>
      <w:r w:rsidRPr="00DA6E62">
        <w:rPr>
          <w:noProof/>
          <w:vertAlign w:val="superscript"/>
        </w:rPr>
        <w:footnoteReference w:id="3"/>
      </w:r>
      <w:r w:rsidRPr="00DA6E62">
        <w:t xml:space="preserve"> és különösen annak 8. cikkére, </w:t>
      </w:r>
    </w:p>
    <w:p w14:paraId="4C8844B6" w14:textId="77777777" w:rsidR="00452A33" w:rsidRPr="00DA6E62" w:rsidRDefault="00452A33" w:rsidP="00C9395A">
      <w:pPr>
        <w:pStyle w:val="NormalHanging12a"/>
        <w:widowControl/>
        <w:rPr>
          <w:noProof/>
        </w:rPr>
      </w:pPr>
      <w:r w:rsidRPr="00DA6E62">
        <w:t>–</w:t>
      </w:r>
      <w:r w:rsidRPr="00DA6E62">
        <w:tab/>
        <w:t xml:space="preserve">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w:t>
      </w:r>
      <w:r w:rsidRPr="00DA6E62">
        <w:lastRenderedPageBreak/>
        <w:t>saját források bevezetésére irányuló ütemtervről szóló, 2020. december 16-i intézményközi megállapodásra</w:t>
      </w:r>
      <w:r w:rsidRPr="00DA6E62">
        <w:rPr>
          <w:rStyle w:val="FootnoteReference"/>
          <w:noProof/>
        </w:rPr>
        <w:footnoteReference w:id="4"/>
      </w:r>
      <w:r w:rsidRPr="00DA6E62">
        <w:t xml:space="preserve"> és különösen annak 9. pontjára,</w:t>
      </w:r>
    </w:p>
    <w:p w14:paraId="22C0C845" w14:textId="77777777" w:rsidR="00452A33" w:rsidRPr="00DA6E62" w:rsidRDefault="00452A33" w:rsidP="00C9395A">
      <w:pPr>
        <w:pStyle w:val="NormalHanging12a"/>
        <w:widowControl/>
      </w:pPr>
      <w:r w:rsidRPr="00DA6E62">
        <w:t>–</w:t>
      </w:r>
      <w:r w:rsidRPr="00DA6E62">
        <w:tab/>
        <w:t>tekintettel a Foglalkoztatási és Szociális Bizottság véleményére,</w:t>
      </w:r>
    </w:p>
    <w:p w14:paraId="58CFC3D9" w14:textId="77777777" w:rsidR="00452A33" w:rsidRPr="00DA6E62" w:rsidRDefault="00452A33" w:rsidP="00C9395A">
      <w:pPr>
        <w:pStyle w:val="NormalHanging12a"/>
        <w:widowControl/>
      </w:pPr>
      <w:r w:rsidRPr="00DA6E62">
        <w:t>–</w:t>
      </w:r>
      <w:r w:rsidRPr="00DA6E62">
        <w:tab/>
        <w:t>tekintettel a Költségvetési Bizottság jelentésére (A10-0239/2025),</w:t>
      </w:r>
    </w:p>
    <w:p w14:paraId="3599524B" w14:textId="77777777" w:rsidR="00452A33" w:rsidRPr="00DA6E62" w:rsidRDefault="00452A33" w:rsidP="00C9395A">
      <w:pPr>
        <w:pStyle w:val="NormalHanging12a"/>
        <w:widowControl/>
        <w:rPr>
          <w:noProof/>
        </w:rPr>
      </w:pPr>
      <w:r w:rsidRPr="00DA6E62">
        <w:t>A.</w:t>
      </w:r>
      <w:r w:rsidRPr="00DA6E62">
        <w:tab/>
        <w:t>mivel az Unió jogalkotási és költségvetési eszközöket hozott létre ahhoz, hogy további támogatást nyújtson a világkereskedelem fő strukturális változásainak következményei által sújtott vagy a globális pénzügyi és gazdasági válság következtében elbocsátott munkavállalóknak, és támogassa újbóli munkaerőpiaci beilleszkedésüket; mivel ez a támogatás a munkavállalóknak és azoknak a vállalatoknak nyújtott pénzügyi támogatáson keresztül valósul meg, amelyeknek dolgoztak;</w:t>
      </w:r>
    </w:p>
    <w:p w14:paraId="55F6E7C1" w14:textId="41E18484" w:rsidR="00452A33" w:rsidRPr="00DA6E62" w:rsidRDefault="00452A33" w:rsidP="00C9395A">
      <w:pPr>
        <w:pStyle w:val="NormalHanging12a"/>
        <w:widowControl/>
      </w:pPr>
      <w:r w:rsidRPr="00DA6E62">
        <w:t xml:space="preserve">B. </w:t>
      </w:r>
      <w:r w:rsidRPr="00DA6E62">
        <w:tab/>
        <w:t xml:space="preserve">mivel Svédország a 2024. november 28. és 2025. március 28. közötti referencia-időszakban a NACE </w:t>
      </w:r>
      <w:proofErr w:type="spellStart"/>
      <w:r w:rsidRPr="00DA6E62">
        <w:t>Rev</w:t>
      </w:r>
      <w:proofErr w:type="spellEnd"/>
      <w:r w:rsidRPr="00DA6E62">
        <w:t>. 2. rendszer szerinti 71. ágazatba („Építészmérnöki és mérnöki tevékenység; műszaki vizsgálat és elemzés”) sorolt gazdasági ágazatban Felső-</w:t>
      </w:r>
      <w:proofErr w:type="spellStart"/>
      <w:r w:rsidRPr="00DA6E62">
        <w:t>Norrland</w:t>
      </w:r>
      <w:proofErr w:type="spellEnd"/>
      <w:r w:rsidRPr="00DA6E62">
        <w:t xml:space="preserve"> (SE33), Stockholm (SE11) és Kelet-Közép-Svédország (SE12) régióban 5</w:t>
      </w:r>
      <w:r w:rsidR="001E0A29" w:rsidRPr="00DA6E62">
        <w:t> </w:t>
      </w:r>
      <w:r w:rsidRPr="00DA6E62">
        <w:t>829 elbocsátást, valamint referencia-időszak előtt vagy után 657 elbocsátást, azaz összesen 6</w:t>
      </w:r>
      <w:r w:rsidR="001E0A29" w:rsidRPr="00DA6E62">
        <w:t> </w:t>
      </w:r>
      <w:r w:rsidRPr="00DA6E62">
        <w:t>486 elbocsátást</w:t>
      </w:r>
      <w:r w:rsidRPr="00DA6E62">
        <w:rPr>
          <w:vertAlign w:val="superscript"/>
        </w:rPr>
        <w:footnoteReference w:id="5"/>
      </w:r>
      <w:r w:rsidRPr="00DA6E62">
        <w:t xml:space="preserve"> követően EGF/2025/003 SE/</w:t>
      </w:r>
      <w:proofErr w:type="spellStart"/>
      <w:r w:rsidRPr="00DA6E62">
        <w:t>Northvolt</w:t>
      </w:r>
      <w:proofErr w:type="spellEnd"/>
      <w:r w:rsidRPr="00DA6E62">
        <w:t xml:space="preserve"> referenciaszámmal az Európai Globalizációs Alkalmazkodási Alapból (EGAA) nyújtandó pénzügyi hozzájárulás iránti kérelmet nyújtott be; </w:t>
      </w:r>
    </w:p>
    <w:p w14:paraId="7C25AF27" w14:textId="5D447799" w:rsidR="00452A33" w:rsidRPr="00DA6E62" w:rsidRDefault="00452A33" w:rsidP="00C9395A">
      <w:pPr>
        <w:pStyle w:val="NormalHanging12a"/>
        <w:widowControl/>
      </w:pPr>
      <w:r w:rsidRPr="00DA6E62">
        <w:t xml:space="preserve">C. </w:t>
      </w:r>
      <w:r w:rsidRPr="00DA6E62">
        <w:tab/>
        <w:t>mivel a kérelem által lefedett referencia-időszakban összesen 5</w:t>
      </w:r>
      <w:r w:rsidR="001E0A29" w:rsidRPr="00DA6E62">
        <w:t> </w:t>
      </w:r>
      <w:r w:rsidRPr="00DA6E62">
        <w:t>829 elbocsátást azonosítottak, és ebből 5</w:t>
      </w:r>
      <w:r w:rsidR="00B057A8">
        <w:t> </w:t>
      </w:r>
      <w:r w:rsidRPr="00DA6E62">
        <w:t xml:space="preserve">561 elbocsátott munkavállaló tevékenysége a </w:t>
      </w:r>
      <w:proofErr w:type="spellStart"/>
      <w:r w:rsidRPr="00DA6E62">
        <w:t>Northvolt</w:t>
      </w:r>
      <w:proofErr w:type="spellEnd"/>
      <w:r w:rsidRPr="00DA6E62">
        <w:t xml:space="preserve"> AB-nél (</w:t>
      </w:r>
      <w:proofErr w:type="spellStart"/>
      <w:r w:rsidRPr="00DA6E62">
        <w:t>Northvolt</w:t>
      </w:r>
      <w:proofErr w:type="spellEnd"/>
      <w:r w:rsidRPr="00DA6E62">
        <w:t>) és leányvállalatainál</w:t>
      </w:r>
      <w:r w:rsidRPr="00DA6E62">
        <w:rPr>
          <w:vertAlign w:val="superscript"/>
        </w:rPr>
        <w:footnoteReference w:id="6"/>
      </w:r>
      <w:r w:rsidRPr="00DA6E62">
        <w:t xml:space="preserve">, 268 munkavállalóé pedig a </w:t>
      </w:r>
      <w:proofErr w:type="spellStart"/>
      <w:r w:rsidRPr="00DA6E62">
        <w:t>Northvolt</w:t>
      </w:r>
      <w:proofErr w:type="spellEnd"/>
      <w:r w:rsidRPr="00DA6E62">
        <w:t xml:space="preserve"> nyolc beszállítójánál és </w:t>
      </w:r>
      <w:proofErr w:type="spellStart"/>
      <w:r w:rsidRPr="00DA6E62">
        <w:t>továbbfeldolgozó</w:t>
      </w:r>
      <w:proofErr w:type="spellEnd"/>
      <w:r w:rsidRPr="00DA6E62">
        <w:t xml:space="preserve"> vállalatánál szűnt meg;</w:t>
      </w:r>
    </w:p>
    <w:p w14:paraId="4CBD556A" w14:textId="40298027" w:rsidR="00452A33" w:rsidRPr="00DA6E62" w:rsidRDefault="00452A33" w:rsidP="00C9395A">
      <w:pPr>
        <w:pStyle w:val="NormalHanging12a"/>
        <w:widowControl/>
      </w:pPr>
      <w:r w:rsidRPr="00DA6E62">
        <w:t>D.</w:t>
      </w:r>
      <w:r w:rsidRPr="00DA6E62">
        <w:tab/>
        <w:t>mivel a kérelem az EGAA-rendelet 4. cikke (2) bekezdésének a) pontjában meghatározott beavatkozási kritériumokon alapul;</w:t>
      </w:r>
      <w:r w:rsidR="001E0A29" w:rsidRPr="00DA6E62">
        <w:t xml:space="preserve"> </w:t>
      </w:r>
      <w:r w:rsidRPr="00DA6E62">
        <w:t xml:space="preserve">mivel 657 olyan további elbocsátottra vonatkozóan, akiknek a tevékenysége a négy hónapos referencia-időszak előtt vagy után szűnt meg, egyértelmű ok-okozati összefüggés mutatható ki azzal az eseménnyel, amely a referencia-időszak alatt az elbocsátott munkavállalók tevékenységének megszűnéséhez vezetett, ahogyan azt az EGAA-rendelet 6. cikke (2) bekezdése megköveteli; </w:t>
      </w:r>
    </w:p>
    <w:p w14:paraId="1682B33B" w14:textId="77777777" w:rsidR="00452A33" w:rsidRPr="00DA6E62" w:rsidRDefault="00452A33" w:rsidP="00C9395A">
      <w:pPr>
        <w:pStyle w:val="NormalHanging12a"/>
        <w:widowControl/>
      </w:pPr>
      <w:r w:rsidRPr="00DA6E62">
        <w:t xml:space="preserve">E. </w:t>
      </w:r>
      <w:r w:rsidRPr="00DA6E62">
        <w:tab/>
        <w:t xml:space="preserve">mivel a </w:t>
      </w:r>
      <w:proofErr w:type="spellStart"/>
      <w:r w:rsidRPr="00DA6E62">
        <w:t>Northvolt</w:t>
      </w:r>
      <w:proofErr w:type="spellEnd"/>
      <w:r w:rsidRPr="00DA6E62">
        <w:t xml:space="preserve"> építészeti és mérnöki tevékenységekre, műszaki tesztelésre és akkumulátorgyártásra specializálódott; mivel a termeléssel kapcsolatos nehézségek miatt, konkrétabban a főként a globális akkumulátorgyártás több mint 80%-</w:t>
      </w:r>
      <w:proofErr w:type="spellStart"/>
      <w:r w:rsidRPr="00DA6E62">
        <w:t>áért</w:t>
      </w:r>
      <w:proofErr w:type="spellEnd"/>
      <w:r w:rsidRPr="00DA6E62">
        <w:t xml:space="preserve"> felelős és ezzel a globális piacot uraló Kínából származó behozatalból eredő intenzív verseny által okozott túlkínálat következtében a vállalat 2025. március 12-én csődöt jelentett; </w:t>
      </w:r>
    </w:p>
    <w:p w14:paraId="2F228B3E" w14:textId="77777777" w:rsidR="00452A33" w:rsidRPr="00DA6E62" w:rsidRDefault="00452A33" w:rsidP="00C9395A">
      <w:pPr>
        <w:pStyle w:val="NormalHanging12a"/>
        <w:widowControl/>
      </w:pPr>
      <w:r w:rsidRPr="00DA6E62">
        <w:t>F.</w:t>
      </w:r>
      <w:r w:rsidRPr="00DA6E62">
        <w:tab/>
        <w:t xml:space="preserve">mivel a káros stratégiai függőségek csökkentése és az ipari autonómia megerősítése, valamint az éghajlattal kapcsolatos és az energetikai átállásra vonatkozó célok elérése érdekében Európának erős és versenyképes akkumulátoriparra van szüksége; mivel az akkumulátor- és beszállítói ágazat magas energia- és tőkeköltségekkel, termelési </w:t>
      </w:r>
      <w:r w:rsidRPr="00DA6E62">
        <w:lastRenderedPageBreak/>
        <w:t>késedelmekkel, globális piaci torzulásokkal, valamint a harmadik országbeli, különösen kínai gyártók által gyakorolt növekvő versenynyomással néz szembe</w:t>
      </w:r>
      <w:r w:rsidRPr="00DA6E62">
        <w:rPr>
          <w:vertAlign w:val="superscript"/>
        </w:rPr>
        <w:footnoteReference w:id="7"/>
      </w:r>
      <w:r w:rsidRPr="00DA6E62">
        <w:t>;</w:t>
      </w:r>
    </w:p>
    <w:p w14:paraId="5B4494D3" w14:textId="77777777" w:rsidR="00452A33" w:rsidRPr="00DA6E62" w:rsidRDefault="00452A33" w:rsidP="00C9395A">
      <w:pPr>
        <w:pStyle w:val="NormalHanging12a"/>
        <w:widowControl/>
      </w:pPr>
      <w:r w:rsidRPr="00DA6E62">
        <w:t>G.</w:t>
      </w:r>
      <w:r w:rsidRPr="00DA6E62">
        <w:tab/>
        <w:t xml:space="preserve">mivel a svéd állami foglalkoztatási szolgálat (a </w:t>
      </w:r>
      <w:proofErr w:type="spellStart"/>
      <w:r w:rsidRPr="00DA6E62">
        <w:t>Arbetsförmedlingen</w:t>
      </w:r>
      <w:proofErr w:type="spellEnd"/>
      <w:r w:rsidRPr="00DA6E62">
        <w:t>) biztosítja az intézkedések nemzeti előfinanszírozását és társfinanszírozását;</w:t>
      </w:r>
    </w:p>
    <w:p w14:paraId="710E518B" w14:textId="56111286" w:rsidR="00452A33" w:rsidRPr="00DA6E62" w:rsidRDefault="00452A33" w:rsidP="00C9395A">
      <w:pPr>
        <w:pStyle w:val="NormalHanging12a"/>
        <w:widowControl/>
      </w:pPr>
      <w:r w:rsidRPr="00DA6E62">
        <w:t>H.</w:t>
      </w:r>
      <w:r w:rsidRPr="00DA6E62">
        <w:tab/>
        <w:t>mivel az uniós és nemzeti jogban a csoportos létszámleépítésekre vonatkozóan előírt követelményeket tiszteletben tartották;</w:t>
      </w:r>
    </w:p>
    <w:p w14:paraId="4D5B3B1B" w14:textId="77777777" w:rsidR="00452A33" w:rsidRPr="00DA6E62" w:rsidRDefault="00452A33" w:rsidP="00C9395A">
      <w:pPr>
        <w:pStyle w:val="NormalHanging12a"/>
        <w:widowControl/>
      </w:pPr>
      <w:r w:rsidRPr="00DA6E62">
        <w:t>I.</w:t>
      </w:r>
      <w:r w:rsidRPr="00DA6E62">
        <w:tab/>
        <w:t>mivel az EGAA-</w:t>
      </w:r>
      <w:proofErr w:type="spellStart"/>
      <w:r w:rsidRPr="00DA6E62">
        <w:t>ból</w:t>
      </w:r>
      <w:proofErr w:type="spellEnd"/>
      <w:r w:rsidRPr="00DA6E62">
        <w:t xml:space="preserve"> nyújtott pénzügyi hozzájárulásoknak elsősorban olyan aktív munkaerőpiaci szakpolitikai intézkedésekre és személyre szabott szolgáltatásokra kell irányulniuk, amelyek célja a kedvezményezettek tisztességes és fenntartható foglalkoztatásba való gyors visszailleszkedése az eredeti tevékenységi ágazatukon belül vagy azon kívül, miközben felkészítik őket a zöldebb és digitálisabb európai gazdaságra;</w:t>
      </w:r>
    </w:p>
    <w:p w14:paraId="3FF74D28" w14:textId="680086AE" w:rsidR="00452A33" w:rsidRPr="00DA6E62" w:rsidRDefault="00452A33" w:rsidP="00C9395A">
      <w:pPr>
        <w:pStyle w:val="NormalHanging12a"/>
        <w:widowControl/>
      </w:pPr>
      <w:r w:rsidRPr="00DA6E62">
        <w:t>J.</w:t>
      </w:r>
      <w:r w:rsidRPr="00DA6E62">
        <w:tab/>
        <w:t xml:space="preserve">mivel az EGAA éves maximális összege (2018-as árakon számítva) az (EU, Euratom) 2024/765 rendelettel módosított (EU, Euratom) 2020/2093 rendelet 8. cikkében meghatározottaknak megfelelően nem haladhatja meg a 30 millió EUR-t; </w:t>
      </w:r>
    </w:p>
    <w:p w14:paraId="0D57C2EA" w14:textId="77777777" w:rsidR="00452A33" w:rsidRPr="00DA6E62" w:rsidRDefault="00452A33" w:rsidP="00C9395A">
      <w:pPr>
        <w:pStyle w:val="NormalHanging12a"/>
        <w:widowControl/>
      </w:pPr>
      <w:r w:rsidRPr="00DA6E62">
        <w:t>1.</w:t>
      </w:r>
      <w:r w:rsidRPr="00DA6E62">
        <w:tab/>
        <w:t>egyetért a Bizottsággal abban, hogy az EGAA-rendelet 4. cikke (2) bekezdésének a) pontjában meghatározott feltételek teljesülnek, és hogy ezért Svédország jogosult az említett rendelet értelmében nyújtandó 8 526 322 EUR összegű pénzügyi hozzájárulásra, ami a 14 210 537 EUR-t kitevő összes kiadás 60%-a, amely 13 663 977 EUR összegű személyre szabott szolgáltatásokra fordított kiadásokból, továbbá előkészítő, irányítási, tájékoztatási és nyilvánossággal kapcsolatos, valamint az ellenőrzési és beszámolási tevékenységekre szánt 546 560 EUR összegű kiadásokból áll;</w:t>
      </w:r>
    </w:p>
    <w:p w14:paraId="7ADD3424" w14:textId="45648BA3" w:rsidR="00452A33" w:rsidRPr="00DA6E62" w:rsidRDefault="00452A33" w:rsidP="00C9395A">
      <w:pPr>
        <w:pStyle w:val="NormalHanging12a"/>
        <w:widowControl/>
      </w:pPr>
      <w:r w:rsidRPr="00DA6E62">
        <w:t xml:space="preserve">2. </w:t>
      </w:r>
      <w:r w:rsidRPr="00DA6E62">
        <w:tab/>
        <w:t>megállapítja, hogy a svéd hatóságok 2025. június 16-án nyújtották be a kérelmet, és hogy a kiegészítő információk Svédország általi benyújtását követően az értékelést a Bizottság több mint négy hónappal később, 2025. október 28-án fejezte be, és erről még aznap értesítette a Parlamentet; hangsúlyozza, hogy annak biztosítása érdekében, hogy a pénzügyi támogatást késedelem nélkül igénybe lehessen venni, jelentősen le kellene rövidíteni az EGAA-támogatás iránti kérelem benyújtása és a finanszírozási határozat közötti mérlegelési időt; hangsúlyozza, hogy a belső eljárásokat egyszerűsíteni kell és fel kell gyorsítani, teljes mértékben védve ugyanakkor az intézményi egyensúlyt, különösen a Parlamentet költségvetési hatóságként megillető jogokat;</w:t>
      </w:r>
    </w:p>
    <w:p w14:paraId="13263E92" w14:textId="61427F28" w:rsidR="00452A33" w:rsidRPr="00DA6E62" w:rsidRDefault="00452A33" w:rsidP="00C9395A">
      <w:pPr>
        <w:pStyle w:val="NormalHanging12a"/>
        <w:widowControl/>
      </w:pPr>
      <w:r w:rsidRPr="00DA6E62">
        <w:t>3.</w:t>
      </w:r>
      <w:r w:rsidRPr="00DA6E62">
        <w:tab/>
        <w:t xml:space="preserve">megjegyzi, hogy a kérelem a </w:t>
      </w:r>
      <w:proofErr w:type="spellStart"/>
      <w:r w:rsidRPr="00DA6E62">
        <w:t>Northvoltot</w:t>
      </w:r>
      <w:proofErr w:type="spellEnd"/>
      <w:r w:rsidRPr="00DA6E62">
        <w:t xml:space="preserve"> érintő jelentős, a modern kor legnagyobb svédországi csődjéhez vezető szerkezetátalakítási esemény miatt elbocsátott 6</w:t>
      </w:r>
      <w:r w:rsidR="001E0A29" w:rsidRPr="00DA6E62">
        <w:t> </w:t>
      </w:r>
      <w:r w:rsidRPr="00DA6E62">
        <w:t>486 munkavállalóra vonatkozik; megállapítja továbbá, hogy a megcélzott kedvezményezettek köre összesen 5</w:t>
      </w:r>
      <w:r w:rsidR="001E0A29" w:rsidRPr="00DA6E62">
        <w:t> </w:t>
      </w:r>
      <w:r w:rsidRPr="00DA6E62">
        <w:t>800 elbocsátott munkavállalót foglal magában, akik várhatóan részt vesznek az intézkedésekben;</w:t>
      </w:r>
    </w:p>
    <w:p w14:paraId="3D3B1352" w14:textId="77777777" w:rsidR="00452A33" w:rsidRPr="00DA6E62" w:rsidRDefault="00452A33" w:rsidP="00C9395A">
      <w:pPr>
        <w:pStyle w:val="NormalHanging12a"/>
        <w:widowControl/>
      </w:pPr>
      <w:r w:rsidRPr="00DA6E62">
        <w:t>4.</w:t>
      </w:r>
      <w:r w:rsidRPr="00DA6E62">
        <w:tab/>
        <w:t xml:space="preserve">megjegyzi, hogy </w:t>
      </w:r>
      <w:proofErr w:type="spellStart"/>
      <w:r w:rsidRPr="00DA6E62">
        <w:t>Skellefteå</w:t>
      </w:r>
      <w:proofErr w:type="spellEnd"/>
      <w:r w:rsidRPr="00DA6E62">
        <w:t xml:space="preserve"> városában az elbocsátások súlyos jelentőséggel bírnak, ugyanis a munkanélküliségi ráta az előző évben elérte a 8,2%-ot; megállapítja, hogy az elbocsátott munkavállalók többsége magas iskolai végzettségű, 54 évesnél fiatalabb, és </w:t>
      </w:r>
      <w:r w:rsidRPr="00DA6E62">
        <w:lastRenderedPageBreak/>
        <w:t xml:space="preserve">az akkumulátorgyártás és -tervezés terén különleges készségekkel rendelkezik; hangsúlyozza, hogy gyors fellépésre van szükség a strukturális regionális hanyatlás megelőzése érdekében, és kiemeli a magas színvonalú, jövőorientált munkahelyek előmozdításának fontosságát a hosszú távú gazdasági és társadalmi </w:t>
      </w:r>
      <w:proofErr w:type="spellStart"/>
      <w:r w:rsidRPr="00DA6E62">
        <w:t>reziliencia</w:t>
      </w:r>
      <w:proofErr w:type="spellEnd"/>
      <w:r w:rsidRPr="00DA6E62">
        <w:t xml:space="preserve"> biztosítása érdekében;</w:t>
      </w:r>
    </w:p>
    <w:p w14:paraId="1E61180B" w14:textId="77777777" w:rsidR="00452A33" w:rsidRPr="00DA6E62" w:rsidRDefault="00452A33" w:rsidP="00C9395A">
      <w:pPr>
        <w:pStyle w:val="NormalHanging12a"/>
        <w:widowControl/>
        <w:rPr>
          <w:bCs/>
          <w:iCs/>
        </w:rPr>
      </w:pPr>
      <w:r w:rsidRPr="00DA6E62">
        <w:t>5.</w:t>
      </w:r>
      <w:r w:rsidRPr="00DA6E62">
        <w:tab/>
        <w:t xml:space="preserve">megjegyzi, hogy 2025 augusztusától a lítium-kén akkumulátorok terén globális vezető szerepet betöltő, </w:t>
      </w:r>
      <w:proofErr w:type="spellStart"/>
      <w:r w:rsidRPr="00DA6E62">
        <w:t>Lyten</w:t>
      </w:r>
      <w:proofErr w:type="spellEnd"/>
      <w:r w:rsidRPr="00DA6E62">
        <w:t xml:space="preserve"> nevű amerikai induló vállalkozás kötelező erejű megállapodást kötött arról, hogy 2025 végéig megvásárolja a </w:t>
      </w:r>
      <w:proofErr w:type="spellStart"/>
      <w:r w:rsidRPr="00DA6E62">
        <w:t>Northvolt</w:t>
      </w:r>
      <w:proofErr w:type="spellEnd"/>
      <w:r w:rsidRPr="00DA6E62">
        <w:t xml:space="preserve"> Svédországban, Németországban és Lengyelországban fennmaradó eszközeit, és az elbocsátott munkaerő újbóli felvételét tervezi, már amennyiben képes egyenértékű pozíciókat kínálni számukra a régióban;</w:t>
      </w:r>
      <w:r w:rsidRPr="00DA6E62">
        <w:rPr>
          <w:b/>
          <w:i/>
        </w:rPr>
        <w:t xml:space="preserve"> </w:t>
      </w:r>
      <w:r w:rsidRPr="00DA6E62">
        <w:t xml:space="preserve">hangsúlyozza, hogy az </w:t>
      </w:r>
      <w:proofErr w:type="spellStart"/>
      <w:r w:rsidRPr="00DA6E62">
        <w:t>újrafoglalkoztatást</w:t>
      </w:r>
      <w:proofErr w:type="spellEnd"/>
      <w:r w:rsidRPr="00DA6E62">
        <w:t xml:space="preserve"> elsődleges lehetőségnek kell tekinteni, és átvétel esetén minden fel nem használt összeget vissza kell fizetni a Bizottságnak;</w:t>
      </w:r>
    </w:p>
    <w:p w14:paraId="0DE41D04" w14:textId="77777777" w:rsidR="00452A33" w:rsidRPr="00DA6E62" w:rsidRDefault="00452A33" w:rsidP="00C9395A">
      <w:pPr>
        <w:pStyle w:val="NormalHanging12a"/>
        <w:widowControl/>
        <w:rPr>
          <w:bCs/>
          <w:iCs/>
        </w:rPr>
      </w:pPr>
      <w:r w:rsidRPr="00DA6E62">
        <w:t>6.</w:t>
      </w:r>
      <w:r w:rsidRPr="00DA6E62">
        <w:tab/>
        <w:t>emlékeztet arra, hogy a szakszervezetekkel és a szociális partnerekkel egyetértésben a valamennyi munkavállalónak nyújtandó, személyre szabott szolgáltatások a következő intézkedésekből állnak: részletes értékelés és személyre szabott tervezés, álláskeresési tevékenységek és tanácsadás (</w:t>
      </w:r>
      <w:proofErr w:type="spellStart"/>
      <w:r w:rsidRPr="00DA6E62">
        <w:t>coaching</w:t>
      </w:r>
      <w:proofErr w:type="spellEnd"/>
      <w:r w:rsidRPr="00DA6E62">
        <w:t>), saját vállalkozás indításának támogatása és beruházástámogatás, munkaerőpiaci képzés, tanfolyamok, a munkaerőpiacra való belépéshez vagy az oktatásban való részvételhez nyújtott különleges támogatás, juttatások és digitális készségekkel kapcsolatos képzések; hangsúlyozza, hogy a svéd hatóságoknak el kell ismerniük az uniós finanszírozás eredetét, biztosítaniuk kell annak láthatóságát, és ki kell emelniük a beavatkozás uniós hozzáadott értékét azáltal, hogy következetes, hatékony és célzott tájékoztatást nyújtanak többféle közönségnek, beleértve a kedvezményezetteknek, a helyi és regionális hatóságoknak, a szociális partnereknek, a médiának és a nyilvánosságnak nyújtott célzott információkat is;</w:t>
      </w:r>
    </w:p>
    <w:p w14:paraId="0339CCB7" w14:textId="77777777" w:rsidR="00452A33" w:rsidRPr="00DA6E62" w:rsidRDefault="00452A33" w:rsidP="00C9395A">
      <w:pPr>
        <w:pStyle w:val="NormalHanging12a"/>
        <w:widowControl/>
        <w:rPr>
          <w:bCs/>
          <w:iCs/>
        </w:rPr>
      </w:pPr>
      <w:r w:rsidRPr="00DA6E62">
        <w:t>7.</w:t>
      </w:r>
      <w:r w:rsidRPr="00DA6E62">
        <w:tab/>
        <w:t>hangsúlyozza, hogy az elbocsátott munkavállalók képesítései és készségei továbbra is kulcsfontosságúak a zöld átállást megvalósító, időtálló európai gazdaság szempontjából; ezért úgy véli, hogy az EGAA igénybevételét egy nagyobb szakpolitikai válaszba kell ágyazni annak biztosítása érdekében, hogy az érintett munkavállalók a képesítéseiknek és készségeiknek megfelelő lehetőségeket találjanak;</w:t>
      </w:r>
    </w:p>
    <w:p w14:paraId="5B6F4D0A" w14:textId="77777777" w:rsidR="00452A33" w:rsidRPr="00DA6E62" w:rsidRDefault="00452A33" w:rsidP="00C9395A">
      <w:pPr>
        <w:pStyle w:val="NormalHanging12a"/>
        <w:widowControl/>
      </w:pPr>
      <w:r w:rsidRPr="00DA6E62">
        <w:t>8.</w:t>
      </w:r>
      <w:r w:rsidRPr="00DA6E62">
        <w:tab/>
        <w:t>felszólít a végrehajtott intézkedések alapos végső értékelésére, többek között egyértelmű információkkal arra vonatkozóan, hogy a forrásokat hogyan használták fel, és hogy azokat a jóváhagyott tervekkel összhangban költötték-e el, különösen az olyan közvetlen pénzügyi támogatások esetében, mint az induló vállalkozások és a beruházások támogatása; adatokat kér továbbá azon munkavállalók számáról, akik sikeresen visszailleszkedtek a foglalkoztatásba, illetve akik képzésben és továbbképzésben vettek részt;</w:t>
      </w:r>
    </w:p>
    <w:p w14:paraId="57EB5A31" w14:textId="77777777" w:rsidR="00452A33" w:rsidRPr="00DA6E62" w:rsidRDefault="00452A33" w:rsidP="00C9395A">
      <w:pPr>
        <w:pStyle w:val="NormalHanging12a"/>
        <w:widowControl/>
      </w:pPr>
      <w:r w:rsidRPr="00DA6E62">
        <w:t>9.</w:t>
      </w:r>
      <w:r w:rsidRPr="00DA6E62">
        <w:tab/>
        <w:t xml:space="preserve">megjegyzi, hogy Svédország 2024. október 25-jén kezdte meg a személyre szabott szolgáltatások nyújtását a célzott kedvezményezetteknek, </w:t>
      </w:r>
      <w:proofErr w:type="gramStart"/>
      <w:r w:rsidRPr="00DA6E62">
        <w:t>valamint</w:t>
      </w:r>
      <w:proofErr w:type="gramEnd"/>
      <w:r w:rsidRPr="00DA6E62">
        <w:t xml:space="preserve"> hogy az EGAA végrehajtásával összefüggésben is ettől a naptól kezdődően merültek fel igazgatási kiadások, és hogy az EGAA-</w:t>
      </w:r>
      <w:proofErr w:type="spellStart"/>
      <w:r w:rsidRPr="00DA6E62">
        <w:t>ból</w:t>
      </w:r>
      <w:proofErr w:type="spellEnd"/>
      <w:r w:rsidRPr="00DA6E62">
        <w:t xml:space="preserve"> igénybe vehető pénzügyi hozzájárulásra való jogosultság időszaka ezért ettől az időponttól kezdődően a finanszírozási határozat hatálybalépésétől számított 24. hónap és 31. hónap végéig fog tartani;</w:t>
      </w:r>
    </w:p>
    <w:p w14:paraId="7AEFE74F" w14:textId="77777777" w:rsidR="00452A33" w:rsidRPr="00DA6E62" w:rsidRDefault="00452A33" w:rsidP="00C9395A">
      <w:pPr>
        <w:pStyle w:val="NormalHanging12a"/>
        <w:widowControl/>
      </w:pPr>
      <w:r w:rsidRPr="00DA6E62">
        <w:t>10.</w:t>
      </w:r>
      <w:r w:rsidRPr="00DA6E62">
        <w:tab/>
        <w:t xml:space="preserve">megállapítja, hogy a svéd hatóságok megerősítették, hogy a javasolt intézkedésekhez való hozzáférés és azok végrehajtása során tiszteletben fogják tartani az egyenlő </w:t>
      </w:r>
      <w:r w:rsidRPr="00DA6E62">
        <w:lastRenderedPageBreak/>
        <w:t>bánásmód és a megkülönböztetésmentesség elvét, és hogy megakadályozzák a kettős finanszírozást;</w:t>
      </w:r>
    </w:p>
    <w:p w14:paraId="6089B5E9" w14:textId="77777777" w:rsidR="00452A33" w:rsidRPr="00DA6E62" w:rsidRDefault="00452A33" w:rsidP="00C9395A">
      <w:pPr>
        <w:pStyle w:val="NormalHanging12a"/>
        <w:widowControl/>
      </w:pPr>
      <w:r w:rsidRPr="00DA6E62">
        <w:t>11.</w:t>
      </w:r>
      <w:r w:rsidRPr="00DA6E62">
        <w:tab/>
        <w:t>ismételten hangsúlyozza, hogy az EGAA-</w:t>
      </w:r>
      <w:proofErr w:type="spellStart"/>
      <w:r w:rsidRPr="00DA6E62">
        <w:t>ból</w:t>
      </w:r>
      <w:proofErr w:type="spellEnd"/>
      <w:r w:rsidRPr="00DA6E62">
        <w:t xml:space="preserve"> nyújtott támogatás nem léphet azon intézkedések helyébe, amelyek a nemzeti jog vagy a kollektív szerződések értelmében a vállalkozások felelősségi körébe tartoznak; </w:t>
      </w:r>
    </w:p>
    <w:p w14:paraId="1E14A15C" w14:textId="77777777" w:rsidR="00452A33" w:rsidRPr="00DA6E62" w:rsidRDefault="00452A33" w:rsidP="00C9395A">
      <w:pPr>
        <w:pStyle w:val="NormalHanging12a"/>
        <w:widowControl/>
      </w:pPr>
      <w:r w:rsidRPr="00DA6E62">
        <w:t>12.</w:t>
      </w:r>
      <w:r w:rsidRPr="00DA6E62">
        <w:tab/>
        <w:t xml:space="preserve">hangsúlyozza, hogy sürgősen koherens és összehangolt, a tagállamokkal és a régiókkal szoros partnerségben kidolgozott, az Unió versenyképességét és stratégiai autonómiáját biztosító erőfeszítésekre van szükség Európa olyan, időtálló ipari foglalkoztatási bázisának megőrzése érdekében, amely megfelel az európai ipari autonómia követelményeinek és megerősíti az Unió pozícióját a stratégiai ágazatokban, például az akkumulátor- és beszállítói iparban, miközben előmozdítja az Unió zöld és digitális átállását; hangsúlyozza, hogy csak egy szilárd, </w:t>
      </w:r>
      <w:proofErr w:type="spellStart"/>
      <w:r w:rsidRPr="00DA6E62">
        <w:t>reziliens</w:t>
      </w:r>
      <w:proofErr w:type="spellEnd"/>
      <w:r w:rsidRPr="00DA6E62">
        <w:t xml:space="preserve"> és fenntartható európai gazdaság képes hatékonyan megelőzni a tömeges elbocsátásokat, ezáltal elsősorban csökkentve az EGAA-beavatkozás szükségességét; hangsúlyozza, hogy biztosítani kell az uniós finanszírozás egyértelmű felismerhetőségét és láthatóságát, ily módon kiemelve annak hozzáadott értékét és az EGAA által megtestesülő európai szolidaritást; szorgalmazza a kedvezményezettek, a regionális és helyi hatóságok, a szociális partnerek, a média és a szélesebb nyilvánosság irányába történő következetes és jól célzott kommunikációt; sajnálja, hogy az uniós akkumulátorágazat a kínai kormány által a gyártóinak nyújtott, a globális versenyt torzító támogatások miatt szenved;</w:t>
      </w:r>
    </w:p>
    <w:p w14:paraId="187F079D" w14:textId="77777777" w:rsidR="00452A33" w:rsidRPr="00DA6E62" w:rsidRDefault="00452A33" w:rsidP="00C9395A">
      <w:pPr>
        <w:pStyle w:val="NormalHanging12a"/>
        <w:widowControl/>
      </w:pPr>
      <w:r w:rsidRPr="00DA6E62">
        <w:t>13.</w:t>
      </w:r>
      <w:r w:rsidRPr="00DA6E62">
        <w:tab/>
        <w:t>jóváhagyja a jelen állásfoglaláshoz mellékelt határozatot;</w:t>
      </w:r>
    </w:p>
    <w:p w14:paraId="5C53C68F" w14:textId="77777777" w:rsidR="00452A33" w:rsidRPr="00DA6E62" w:rsidRDefault="00452A33" w:rsidP="00C9395A">
      <w:pPr>
        <w:pStyle w:val="NormalHanging12a"/>
        <w:widowControl/>
      </w:pPr>
      <w:r w:rsidRPr="00DA6E62">
        <w:t>14.</w:t>
      </w:r>
      <w:r w:rsidRPr="00DA6E62">
        <w:tab/>
        <w:t xml:space="preserve">utasítja elnökét, hogy a Tanács elnökével együtt írja alá ezt a határozatot, valamint gondoskodjon közzétételéről az </w:t>
      </w:r>
      <w:r w:rsidRPr="00B057A8">
        <w:rPr>
          <w:i/>
          <w:iCs/>
        </w:rPr>
        <w:t>Európai Unió Hivatalos Lapjában</w:t>
      </w:r>
      <w:r w:rsidRPr="00DA6E62">
        <w:t>;</w:t>
      </w:r>
    </w:p>
    <w:p w14:paraId="14F54274" w14:textId="77777777" w:rsidR="00452A33" w:rsidRPr="00DA6E62" w:rsidRDefault="00452A33" w:rsidP="00C9395A">
      <w:pPr>
        <w:pStyle w:val="NormalHanging12a"/>
        <w:widowControl/>
      </w:pPr>
      <w:r w:rsidRPr="00DA6E62">
        <w:t>15.</w:t>
      </w:r>
      <w:r w:rsidRPr="00DA6E62">
        <w:tab/>
        <w:t>utasítja elnökét, hogy továbbítsa ezt az állásfoglalást és annak mellékletét a Tanácsnak és a Bizottságnak.</w:t>
      </w:r>
    </w:p>
    <w:p w14:paraId="20032233" w14:textId="77777777" w:rsidR="00452A33" w:rsidRPr="00DA6E62" w:rsidRDefault="00452A33" w:rsidP="00452A33">
      <w:pPr>
        <w:rPr>
          <w:noProof/>
        </w:rPr>
      </w:pPr>
    </w:p>
    <w:p w14:paraId="3343D200" w14:textId="77777777" w:rsidR="00452A33" w:rsidRPr="00DA6E62" w:rsidRDefault="00452A33" w:rsidP="00452A33">
      <w:pPr>
        <w:pStyle w:val="PageHeading"/>
        <w:rPr>
          <w:noProof/>
        </w:rPr>
        <w:sectPr w:rsidR="00452A33" w:rsidRPr="00DA6E62" w:rsidSect="00D6378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6E8543" w14:textId="77777777" w:rsidR="00EC0EEF" w:rsidRPr="00EC0EEF" w:rsidRDefault="00452A33" w:rsidP="00452A33">
      <w:pPr>
        <w:pStyle w:val="PageHeading"/>
        <w:rPr>
          <w:rFonts w:ascii="Times New Roman" w:hAnsi="Times New Roman" w:cs="Times New Roman"/>
        </w:rPr>
      </w:pPr>
      <w:bookmarkStart w:id="7" w:name="_Toc215582157"/>
      <w:r w:rsidRPr="00EC0EEF">
        <w:rPr>
          <w:rFonts w:ascii="Times New Roman" w:hAnsi="Times New Roman" w:cs="Times New Roman"/>
        </w:rPr>
        <w:lastRenderedPageBreak/>
        <w:t>MELLÉKLET</w:t>
      </w:r>
    </w:p>
    <w:p w14:paraId="4BDC0AD0" w14:textId="4505CDF1" w:rsidR="00452A33" w:rsidRPr="00EC0EEF" w:rsidRDefault="00452A33" w:rsidP="00452A33">
      <w:pPr>
        <w:pStyle w:val="PageHeading"/>
        <w:rPr>
          <w:rFonts w:ascii="Times New Roman" w:hAnsi="Times New Roman" w:cs="Times New Roman"/>
          <w:noProof/>
        </w:rPr>
      </w:pPr>
      <w:r w:rsidRPr="00EC0EEF">
        <w:rPr>
          <w:rFonts w:ascii="Times New Roman" w:hAnsi="Times New Roman" w:cs="Times New Roman"/>
        </w:rPr>
        <w:t>AZ EURÓPAI PARLAMENT ÉS A TANÁCS HATÁROZATA</w:t>
      </w:r>
      <w:bookmarkEnd w:id="7"/>
    </w:p>
    <w:p w14:paraId="2A617D1D" w14:textId="77777777" w:rsidR="00EC0EEF" w:rsidRDefault="00EC0EEF" w:rsidP="00DA6E62">
      <w:pPr>
        <w:pStyle w:val="NormalBold24a"/>
        <w:jc w:val="center"/>
      </w:pPr>
      <w:r w:rsidRPr="00EC0EEF">
        <w:t>az elbocsátott munkavállalók támogatását szolgáló Európai Globalizációs Alkalmazkodási Alapnak Svédország EGF/2025/003 SE/</w:t>
      </w:r>
      <w:proofErr w:type="spellStart"/>
      <w:r w:rsidRPr="00EC0EEF">
        <w:t>Northvolt</w:t>
      </w:r>
      <w:proofErr w:type="spellEnd"/>
      <w:r w:rsidRPr="00EC0EEF">
        <w:t xml:space="preserve"> referenciaszámú kérelme nyomán történő igénybevételéről</w:t>
      </w:r>
    </w:p>
    <w:p w14:paraId="1E1E4314" w14:textId="304F65E1" w:rsidR="00452A33" w:rsidRPr="00EC0EEF" w:rsidRDefault="00EC0EEF" w:rsidP="00EC0EEF">
      <w:pPr>
        <w:spacing w:before="360"/>
        <w:rPr>
          <w:i/>
          <w:iCs/>
          <w:noProof/>
        </w:rPr>
      </w:pPr>
      <w:bookmarkStart w:id="8" w:name="_Hlk212804598"/>
      <w:r w:rsidRPr="00EC0EEF">
        <w:rPr>
          <w:i/>
          <w:iCs/>
          <w:noProof/>
        </w:rPr>
        <w:t>(</w:t>
      </w:r>
      <w:r w:rsidRPr="00EC0EEF">
        <w:rPr>
          <w:i/>
          <w:iCs/>
          <w:noProof/>
        </w:rPr>
        <w:t>E melléklet szövege itt nincs feltüntetve, mert az megegyezik a végleges jogi aktussal, az (EU) 2025/</w:t>
      </w:r>
      <w:r>
        <w:rPr>
          <w:i/>
          <w:iCs/>
          <w:noProof/>
        </w:rPr>
        <w:t>2661</w:t>
      </w:r>
      <w:r w:rsidRPr="00EC0EEF">
        <w:rPr>
          <w:i/>
          <w:iCs/>
          <w:noProof/>
        </w:rPr>
        <w:t xml:space="preserve"> határozattal.</w:t>
      </w:r>
      <w:r w:rsidRPr="00EC0EEF">
        <w:rPr>
          <w:i/>
          <w:iCs/>
          <w:noProof/>
        </w:rPr>
        <w:t>)</w:t>
      </w:r>
      <w:bookmarkEnd w:id="8"/>
    </w:p>
    <w:sectPr w:rsidR="00452A33" w:rsidRPr="00EC0EEF" w:rsidSect="00D6378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ED663" w14:textId="77777777" w:rsidR="00D5189D" w:rsidRPr="00D63786" w:rsidRDefault="00D5189D">
      <w:r w:rsidRPr="00D63786">
        <w:separator/>
      </w:r>
    </w:p>
  </w:endnote>
  <w:endnote w:type="continuationSeparator" w:id="0">
    <w:p w14:paraId="220AFFC5" w14:textId="77777777" w:rsidR="00D5189D" w:rsidRPr="00D63786" w:rsidRDefault="00D5189D">
      <w:r w:rsidRPr="00D637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CA2A1" w14:textId="77777777" w:rsidR="00452A33" w:rsidRPr="00D63786" w:rsidRDefault="00452A33" w:rsidP="00755784">
    <w:pPr>
      <w:pStyle w:val="EPFooter"/>
    </w:pPr>
    <w:r w:rsidRPr="00D63786">
      <w:t>PE</w:t>
    </w:r>
    <w:r w:rsidRPr="00D63786">
      <w:rPr>
        <w:rStyle w:val="HideTWBExt"/>
      </w:rPr>
      <w:t>&lt;</w:t>
    </w:r>
    <w:proofErr w:type="spellStart"/>
    <w:r w:rsidRPr="00D63786">
      <w:rPr>
        <w:rStyle w:val="HideTWBExt"/>
      </w:rPr>
      <w:t>NoPE</w:t>
    </w:r>
    <w:proofErr w:type="spellEnd"/>
    <w:r w:rsidRPr="00D63786">
      <w:rPr>
        <w:rStyle w:val="HideTWBExt"/>
      </w:rPr>
      <w:t>&gt;</w:t>
    </w:r>
    <w:r w:rsidRPr="00D63786">
      <w:t>779.349</w:t>
    </w:r>
    <w:r w:rsidRPr="00D63786">
      <w:rPr>
        <w:rStyle w:val="HideTWBExt"/>
      </w:rPr>
      <w:t>&lt;/</w:t>
    </w:r>
    <w:proofErr w:type="spellStart"/>
    <w:r w:rsidRPr="00D63786">
      <w:rPr>
        <w:rStyle w:val="HideTWBExt"/>
      </w:rPr>
      <w:t>NoPE</w:t>
    </w:r>
    <w:proofErr w:type="spellEnd"/>
    <w:r w:rsidRPr="00D63786">
      <w:rPr>
        <w:rStyle w:val="HideTWBExt"/>
      </w:rPr>
      <w:t>&gt;&lt;Version&gt;</w:t>
    </w:r>
    <w:r w:rsidRPr="00D63786">
      <w:t>v03-00</w:t>
    </w:r>
    <w:r w:rsidRPr="00D63786">
      <w:rPr>
        <w:rStyle w:val="HideTWBExt"/>
      </w:rPr>
      <w:t>&lt;/Version&gt;</w:t>
    </w:r>
    <w:r w:rsidRPr="00D63786">
      <w:tab/>
    </w:r>
    <w:r w:rsidRPr="00D63786">
      <w:fldChar w:fldCharType="begin"/>
    </w:r>
    <w:r w:rsidRPr="00D63786">
      <w:instrText xml:space="preserve"> PAGE  \* MERGEFORMAT </w:instrText>
    </w:r>
    <w:r w:rsidRPr="00D63786">
      <w:fldChar w:fldCharType="separate"/>
    </w:r>
    <w:r w:rsidRPr="00D63786">
      <w:rPr>
        <w:noProof/>
      </w:rPr>
      <w:t>1</w:t>
    </w:r>
    <w:r w:rsidRPr="00D63786">
      <w:fldChar w:fldCharType="end"/>
    </w:r>
    <w:r w:rsidRPr="00D63786">
      <w:t>/</w:t>
    </w:r>
    <w:fldSimple w:instr=" NUMPAGES  \* MERGEFORMAT ">
      <w:r w:rsidRPr="00D63786">
        <w:rPr>
          <w:noProof/>
        </w:rPr>
        <w:t>2</w:t>
      </w:r>
    </w:fldSimple>
    <w:r w:rsidRPr="00D63786">
      <w:tab/>
    </w:r>
    <w:r w:rsidRPr="00D63786">
      <w:rPr>
        <w:rStyle w:val="HideTWBExt"/>
      </w:rPr>
      <w:t>&lt;PathFdR&gt;</w:t>
    </w:r>
    <w:r w:rsidRPr="00D63786">
      <w:t>RR\1332680HU.docx</w:t>
    </w:r>
    <w:r w:rsidRPr="00D63786">
      <w:rPr>
        <w:rStyle w:val="HideTWBExt"/>
      </w:rPr>
      <w:t>&lt;/</w:t>
    </w:r>
    <w:proofErr w:type="spellStart"/>
    <w:r w:rsidRPr="00D63786">
      <w:rPr>
        <w:rStyle w:val="HideTWBExt"/>
      </w:rPr>
      <w:t>PathFdR</w:t>
    </w:r>
    <w:proofErr w:type="spellEnd"/>
    <w:r w:rsidRPr="00D63786">
      <w:rPr>
        <w:rStyle w:val="HideTWBExt"/>
      </w:rPr>
      <w:t>&gt;</w:t>
    </w:r>
  </w:p>
  <w:p w14:paraId="6AD7CF9B" w14:textId="77777777" w:rsidR="00452A33" w:rsidRPr="00D63786" w:rsidRDefault="00452A33" w:rsidP="00755784">
    <w:pPr>
      <w:pStyle w:val="EPFooter2"/>
    </w:pPr>
    <w:r w:rsidRPr="00D63786">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2609F" w14:textId="77777777" w:rsidR="00452A33" w:rsidRPr="00D63786" w:rsidRDefault="00452A33" w:rsidP="00755784">
    <w:pPr>
      <w:pStyle w:val="EPFooter"/>
    </w:pPr>
    <w:r w:rsidRPr="00D63786">
      <w:rPr>
        <w:rStyle w:val="HideTWBExt"/>
      </w:rPr>
      <w:t>&lt;PathFdR&gt;</w:t>
    </w:r>
    <w:r w:rsidRPr="00D63786">
      <w:t>RR\1332680HU.docx</w:t>
    </w:r>
    <w:r w:rsidRPr="00D63786">
      <w:rPr>
        <w:rStyle w:val="HideTWBExt"/>
      </w:rPr>
      <w:t>&lt;/</w:t>
    </w:r>
    <w:proofErr w:type="spellStart"/>
    <w:r w:rsidRPr="00D63786">
      <w:rPr>
        <w:rStyle w:val="HideTWBExt"/>
      </w:rPr>
      <w:t>PathFdR</w:t>
    </w:r>
    <w:proofErr w:type="spellEnd"/>
    <w:r w:rsidRPr="00D63786">
      <w:rPr>
        <w:rStyle w:val="HideTWBExt"/>
      </w:rPr>
      <w:t>&gt;</w:t>
    </w:r>
    <w:r w:rsidRPr="00D63786">
      <w:tab/>
    </w:r>
    <w:r w:rsidRPr="00D63786">
      <w:tab/>
      <w:t>PE</w:t>
    </w:r>
    <w:r w:rsidRPr="00D63786">
      <w:rPr>
        <w:rStyle w:val="HideTWBExt"/>
      </w:rPr>
      <w:t>&lt;</w:t>
    </w:r>
    <w:proofErr w:type="spellStart"/>
    <w:r w:rsidRPr="00D63786">
      <w:rPr>
        <w:rStyle w:val="HideTWBExt"/>
      </w:rPr>
      <w:t>NoPE</w:t>
    </w:r>
    <w:proofErr w:type="spellEnd"/>
    <w:r w:rsidRPr="00D63786">
      <w:rPr>
        <w:rStyle w:val="HideTWBExt"/>
      </w:rPr>
      <w:t>&gt;</w:t>
    </w:r>
    <w:r w:rsidRPr="00D63786">
      <w:t>779.349</w:t>
    </w:r>
    <w:r w:rsidRPr="00D63786">
      <w:rPr>
        <w:rStyle w:val="HideTWBExt"/>
      </w:rPr>
      <w:t>&lt;/</w:t>
    </w:r>
    <w:proofErr w:type="spellStart"/>
    <w:r w:rsidRPr="00D63786">
      <w:rPr>
        <w:rStyle w:val="HideTWBExt"/>
      </w:rPr>
      <w:t>NoPE</w:t>
    </w:r>
    <w:proofErr w:type="spellEnd"/>
    <w:r w:rsidRPr="00D63786">
      <w:rPr>
        <w:rStyle w:val="HideTWBExt"/>
      </w:rPr>
      <w:t>&gt;&lt;Version&gt;</w:t>
    </w:r>
    <w:r w:rsidRPr="00D63786">
      <w:t>v03-00</w:t>
    </w:r>
    <w:r w:rsidRPr="00D63786">
      <w:rPr>
        <w:rStyle w:val="HideTWBExt"/>
      </w:rPr>
      <w:t>&lt;/Version&gt;</w:t>
    </w:r>
  </w:p>
  <w:p w14:paraId="03617A6C" w14:textId="77777777" w:rsidR="00452A33" w:rsidRPr="00D63786" w:rsidRDefault="00452A33" w:rsidP="00755784">
    <w:pPr>
      <w:pStyle w:val="EPFooter2"/>
    </w:pPr>
    <w:r w:rsidRPr="00D63786">
      <w:t>HU</w:t>
    </w:r>
    <w:r w:rsidRPr="00D63786">
      <w:tab/>
    </w:r>
    <w:r w:rsidRPr="00D63786">
      <w:rPr>
        <w:b w:val="0"/>
        <w:i/>
        <w:color w:val="C0C0C0"/>
        <w:sz w:val="22"/>
      </w:rPr>
      <w:t>Egyesülve a sokféleségben</w:t>
    </w:r>
    <w:r w:rsidRPr="00D63786">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3598" w14:textId="77777777" w:rsidR="00064002" w:rsidRPr="00D6378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9812A" w14:textId="77777777" w:rsidR="00064002" w:rsidRPr="00D6378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B0E3" w14:textId="77777777" w:rsidR="00064002" w:rsidRPr="00D637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E8940" w14:textId="77777777" w:rsidR="00D5189D" w:rsidRPr="00D63786" w:rsidRDefault="00D5189D">
      <w:r w:rsidRPr="00D63786">
        <w:separator/>
      </w:r>
    </w:p>
  </w:footnote>
  <w:footnote w:type="continuationSeparator" w:id="0">
    <w:p w14:paraId="47349672" w14:textId="77777777" w:rsidR="00D5189D" w:rsidRPr="00D63786" w:rsidRDefault="00D5189D">
      <w:r w:rsidRPr="00D63786">
        <w:continuationSeparator/>
      </w:r>
    </w:p>
  </w:footnote>
  <w:footnote w:id="1">
    <w:p w14:paraId="7751A01D" w14:textId="2D892E08" w:rsidR="00452A33" w:rsidRPr="00D63786" w:rsidRDefault="00452A33" w:rsidP="00D63786">
      <w:pPr>
        <w:pStyle w:val="FootnoteText"/>
        <w:ind w:left="567" w:hanging="567"/>
        <w:rPr>
          <w:sz w:val="24"/>
          <w:lang w:val="hu-HU"/>
        </w:rPr>
      </w:pPr>
      <w:r w:rsidRPr="00D63786">
        <w:rPr>
          <w:rStyle w:val="FootnoteReference"/>
          <w:sz w:val="24"/>
          <w:lang w:val="hu-HU"/>
        </w:rPr>
        <w:footnoteRef/>
      </w:r>
      <w:r w:rsidR="00D63786" w:rsidRPr="00D63786">
        <w:rPr>
          <w:sz w:val="24"/>
          <w:lang w:val="hu-HU"/>
        </w:rPr>
        <w:t xml:space="preserve"> </w:t>
      </w:r>
      <w:r w:rsidR="00D63786" w:rsidRPr="00D63786">
        <w:rPr>
          <w:sz w:val="24"/>
          <w:lang w:val="hu-HU"/>
        </w:rPr>
        <w:tab/>
      </w:r>
      <w:r w:rsidRPr="00D63786">
        <w:rPr>
          <w:sz w:val="24"/>
          <w:lang w:val="hu-HU"/>
        </w:rPr>
        <w:t xml:space="preserve">HL L 153., 2021.5.3., 48. o., ELI: </w:t>
      </w:r>
      <w:hyperlink r:id="rId1" w:history="1">
        <w:r w:rsidRPr="00D63786">
          <w:rPr>
            <w:rStyle w:val="Hyperlink"/>
            <w:sz w:val="24"/>
            <w:lang w:val="hu-HU"/>
          </w:rPr>
          <w:t>http://data.europa.eu/eli/reg/2021/691/oj</w:t>
        </w:r>
      </w:hyperlink>
      <w:r w:rsidRPr="00D63786">
        <w:rPr>
          <w:sz w:val="24"/>
          <w:lang w:val="hu-HU"/>
        </w:rPr>
        <w:t>.</w:t>
      </w:r>
    </w:p>
  </w:footnote>
  <w:footnote w:id="2">
    <w:p w14:paraId="11787944" w14:textId="575C8C00" w:rsidR="00452A33" w:rsidRPr="00D63786" w:rsidRDefault="00452A33" w:rsidP="00D63786">
      <w:pPr>
        <w:pStyle w:val="FootnoteText"/>
        <w:ind w:left="567" w:hanging="567"/>
        <w:rPr>
          <w:sz w:val="24"/>
          <w:lang w:val="hu-HU"/>
        </w:rPr>
      </w:pPr>
      <w:r w:rsidRPr="00D63786">
        <w:rPr>
          <w:rStyle w:val="FootnoteReference"/>
          <w:sz w:val="24"/>
          <w:lang w:val="hu-HU"/>
        </w:rPr>
        <w:footnoteRef/>
      </w:r>
      <w:r w:rsidR="00D63786" w:rsidRPr="00D63786">
        <w:rPr>
          <w:sz w:val="24"/>
          <w:shd w:val="clear" w:color="auto" w:fill="FFFFFF"/>
          <w:lang w:val="hu-HU"/>
        </w:rPr>
        <w:t xml:space="preserve"> </w:t>
      </w:r>
      <w:r w:rsidR="00D63786" w:rsidRPr="00D63786">
        <w:rPr>
          <w:sz w:val="24"/>
          <w:shd w:val="clear" w:color="auto" w:fill="FFFFFF"/>
          <w:lang w:val="hu-HU"/>
        </w:rPr>
        <w:tab/>
      </w:r>
      <w:r w:rsidRPr="00D63786">
        <w:rPr>
          <w:sz w:val="24"/>
          <w:shd w:val="clear" w:color="auto" w:fill="FFFFFF"/>
          <w:lang w:val="hu-HU"/>
        </w:rPr>
        <w:t xml:space="preserve">A Tanács (EU, Euratom) 2024/765 rendelete (2024. február 29.) </w:t>
      </w:r>
      <w:r w:rsidRPr="00D63786">
        <w:rPr>
          <w:sz w:val="24"/>
          <w:shd w:val="clear" w:color="auto" w:fill="FFFFFF"/>
          <w:lang w:val="hu-HU"/>
        </w:rPr>
        <w:t xml:space="preserve">a 2021–2027-es időszakra vonatkozó többéves pénzügyi keretről szóló (EU, Euratom) 2020/2093 rendelet módosításáról (HL L, </w:t>
      </w:r>
      <w:r w:rsidRPr="00D63786">
        <w:rPr>
          <w:sz w:val="24"/>
          <w:shd w:val="clear" w:color="auto" w:fill="FFFFFF"/>
          <w:lang w:val="hu-HU"/>
        </w:rPr>
        <w:t>2024/765, 2024.2.29., ELI:</w:t>
      </w:r>
      <w:r w:rsidRPr="00D63786">
        <w:rPr>
          <w:color w:val="333333"/>
          <w:sz w:val="24"/>
          <w:shd w:val="clear" w:color="auto" w:fill="FFFFFF"/>
          <w:lang w:val="hu-HU"/>
        </w:rPr>
        <w:t xml:space="preserve"> </w:t>
      </w:r>
      <w:hyperlink r:id="rId2" w:history="1">
        <w:r w:rsidRPr="00D63786">
          <w:rPr>
            <w:rStyle w:val="Hyperlink"/>
            <w:sz w:val="24"/>
            <w:shd w:val="clear" w:color="auto" w:fill="FFFFFF"/>
            <w:lang w:val="hu-HU"/>
          </w:rPr>
          <w:t>http://data.europa.eu/eli/reg/2024/765/oj</w:t>
        </w:r>
      </w:hyperlink>
      <w:r w:rsidRPr="00DA6E62">
        <w:rPr>
          <w:iCs/>
          <w:color w:val="333333"/>
          <w:sz w:val="24"/>
          <w:shd w:val="clear" w:color="auto" w:fill="FFFFFF"/>
          <w:lang w:val="hu-HU"/>
        </w:rPr>
        <w:t>).</w:t>
      </w:r>
    </w:p>
  </w:footnote>
  <w:footnote w:id="3">
    <w:p w14:paraId="55D0DB93" w14:textId="29B6859B" w:rsidR="00452A33" w:rsidRPr="00D63786" w:rsidRDefault="00452A33" w:rsidP="00D63786">
      <w:pPr>
        <w:pStyle w:val="FootnoteText"/>
        <w:ind w:left="567" w:hanging="567"/>
        <w:rPr>
          <w:sz w:val="24"/>
          <w:lang w:val="hu-HU"/>
        </w:rPr>
      </w:pPr>
      <w:r w:rsidRPr="00D63786">
        <w:rPr>
          <w:rStyle w:val="FootnoteReference"/>
          <w:sz w:val="24"/>
          <w:lang w:val="hu-HU"/>
        </w:rPr>
        <w:footnoteRef/>
      </w:r>
      <w:r w:rsidR="00D63786" w:rsidRPr="00D63786">
        <w:rPr>
          <w:sz w:val="24"/>
          <w:lang w:val="hu-HU"/>
        </w:rPr>
        <w:t xml:space="preserve"> </w:t>
      </w:r>
      <w:r w:rsidR="00D63786" w:rsidRPr="00D63786">
        <w:rPr>
          <w:sz w:val="24"/>
          <w:lang w:val="hu-HU"/>
        </w:rPr>
        <w:tab/>
      </w:r>
      <w:r w:rsidRPr="00D63786">
        <w:rPr>
          <w:sz w:val="24"/>
          <w:lang w:val="hu-HU"/>
        </w:rPr>
        <w:t xml:space="preserve">HL L 433. I, 2020.12.22., 11. o., ELI: </w:t>
      </w:r>
      <w:hyperlink r:id="rId3" w:history="1">
        <w:r w:rsidRPr="00D63786">
          <w:rPr>
            <w:rStyle w:val="Hyperlink"/>
            <w:sz w:val="24"/>
            <w:lang w:val="hu-HU"/>
          </w:rPr>
          <w:t>http://data.europa.eu/eli/reg/2020/2093/oj</w:t>
        </w:r>
      </w:hyperlink>
      <w:r w:rsidRPr="00D63786">
        <w:rPr>
          <w:sz w:val="24"/>
          <w:lang w:val="hu-HU"/>
        </w:rPr>
        <w:t>.</w:t>
      </w:r>
    </w:p>
  </w:footnote>
  <w:footnote w:id="4">
    <w:p w14:paraId="4884873F" w14:textId="0CC7DE70" w:rsidR="00452A33" w:rsidRPr="00D63786" w:rsidRDefault="00452A33" w:rsidP="00D63786">
      <w:pPr>
        <w:pStyle w:val="FootnoteText"/>
        <w:ind w:left="567" w:hanging="567"/>
        <w:rPr>
          <w:sz w:val="24"/>
          <w:lang w:val="hu-HU"/>
        </w:rPr>
      </w:pPr>
      <w:r w:rsidRPr="00D63786">
        <w:rPr>
          <w:rStyle w:val="FootnoteReference"/>
          <w:sz w:val="24"/>
          <w:lang w:val="hu-HU"/>
        </w:rPr>
        <w:footnoteRef/>
      </w:r>
      <w:r w:rsidR="00D63786" w:rsidRPr="00D63786">
        <w:rPr>
          <w:sz w:val="24"/>
          <w:lang w:val="hu-HU"/>
        </w:rPr>
        <w:t xml:space="preserve"> </w:t>
      </w:r>
      <w:r w:rsidR="00D63786" w:rsidRPr="00D63786">
        <w:rPr>
          <w:sz w:val="24"/>
          <w:lang w:val="hu-HU"/>
        </w:rPr>
        <w:tab/>
      </w:r>
      <w:r w:rsidRPr="00D63786">
        <w:rPr>
          <w:sz w:val="24"/>
          <w:lang w:val="hu-HU"/>
        </w:rPr>
        <w:t xml:space="preserve">HL L 433. I, 2020.12.22., 28. o., ELI: </w:t>
      </w:r>
      <w:hyperlink r:id="rId4" w:history="1">
        <w:r w:rsidRPr="00D63786">
          <w:rPr>
            <w:rStyle w:val="Hyperlink"/>
            <w:sz w:val="24"/>
            <w:lang w:val="hu-HU"/>
          </w:rPr>
          <w:t>http://data.europa.eu/eli/agree_interinstit/2020/1222/oj</w:t>
        </w:r>
      </w:hyperlink>
      <w:r w:rsidRPr="00D63786">
        <w:rPr>
          <w:sz w:val="24"/>
          <w:lang w:val="hu-HU"/>
        </w:rPr>
        <w:t>.</w:t>
      </w:r>
    </w:p>
  </w:footnote>
  <w:footnote w:id="5">
    <w:p w14:paraId="1F45447F" w14:textId="1082C5BC" w:rsidR="00452A33" w:rsidRPr="00D63786" w:rsidRDefault="00452A33" w:rsidP="00D63786">
      <w:pPr>
        <w:pStyle w:val="FootnoteText"/>
        <w:ind w:left="567" w:hanging="567"/>
        <w:rPr>
          <w:sz w:val="24"/>
          <w:lang w:val="hu-HU"/>
        </w:rPr>
      </w:pPr>
      <w:r w:rsidRPr="00D63786">
        <w:rPr>
          <w:rStyle w:val="FootnoteReference"/>
          <w:sz w:val="24"/>
          <w:lang w:val="hu-HU"/>
        </w:rPr>
        <w:footnoteRef/>
      </w:r>
      <w:r w:rsidR="00D63786" w:rsidRPr="00D63786">
        <w:rPr>
          <w:sz w:val="24"/>
          <w:lang w:val="hu-HU"/>
        </w:rPr>
        <w:t xml:space="preserve"> </w:t>
      </w:r>
      <w:r w:rsidR="00D63786" w:rsidRPr="00D63786">
        <w:rPr>
          <w:sz w:val="24"/>
          <w:lang w:val="hu-HU"/>
        </w:rPr>
        <w:tab/>
      </w:r>
      <w:r w:rsidRPr="00D63786">
        <w:rPr>
          <w:sz w:val="24"/>
          <w:lang w:val="hu-HU"/>
        </w:rPr>
        <w:t>Az EGAA-rendelet 3. cikke értelmében.</w:t>
      </w:r>
    </w:p>
  </w:footnote>
  <w:footnote w:id="6">
    <w:p w14:paraId="3F616FFD" w14:textId="6245DEFB" w:rsidR="00452A33" w:rsidRPr="00D63786" w:rsidRDefault="00452A33" w:rsidP="00D63786">
      <w:pPr>
        <w:pStyle w:val="FootnoteText"/>
        <w:ind w:left="567" w:hanging="567"/>
        <w:rPr>
          <w:sz w:val="24"/>
          <w:lang w:val="hu-HU"/>
        </w:rPr>
      </w:pPr>
      <w:r w:rsidRPr="00D63786">
        <w:rPr>
          <w:rStyle w:val="FootnoteReference"/>
          <w:sz w:val="24"/>
          <w:lang w:val="hu-HU"/>
        </w:rPr>
        <w:footnoteRef/>
      </w:r>
      <w:r w:rsidR="00D63786" w:rsidRPr="00D63786">
        <w:rPr>
          <w:sz w:val="24"/>
          <w:lang w:val="hu-HU"/>
        </w:rPr>
        <w:t xml:space="preserve"> </w:t>
      </w:r>
      <w:r w:rsidR="00D63786" w:rsidRPr="00D63786">
        <w:rPr>
          <w:sz w:val="24"/>
          <w:lang w:val="hu-HU"/>
        </w:rPr>
        <w:tab/>
      </w:r>
      <w:r w:rsidRPr="00D63786">
        <w:rPr>
          <w:sz w:val="24"/>
          <w:lang w:val="hu-HU"/>
        </w:rPr>
        <w:t xml:space="preserve">Ebbe beletartoznak a </w:t>
      </w:r>
      <w:proofErr w:type="spellStart"/>
      <w:r w:rsidRPr="00D63786">
        <w:rPr>
          <w:sz w:val="24"/>
          <w:lang w:val="hu-HU"/>
        </w:rPr>
        <w:t>Northvolt</w:t>
      </w:r>
      <w:proofErr w:type="spellEnd"/>
      <w:r w:rsidRPr="00D63786">
        <w:rPr>
          <w:sz w:val="24"/>
          <w:lang w:val="hu-HU"/>
        </w:rPr>
        <w:t xml:space="preserve"> és a Volvo </w:t>
      </w:r>
      <w:proofErr w:type="spellStart"/>
      <w:r w:rsidRPr="00D63786">
        <w:rPr>
          <w:sz w:val="24"/>
          <w:lang w:val="hu-HU"/>
        </w:rPr>
        <w:t>Cars</w:t>
      </w:r>
      <w:proofErr w:type="spellEnd"/>
      <w:r w:rsidRPr="00D63786">
        <w:rPr>
          <w:sz w:val="24"/>
          <w:lang w:val="hu-HU"/>
        </w:rPr>
        <w:t xml:space="preserve"> közös vállalkozásai is. A Volvo </w:t>
      </w:r>
      <w:proofErr w:type="spellStart"/>
      <w:r w:rsidRPr="00D63786">
        <w:rPr>
          <w:sz w:val="24"/>
          <w:lang w:val="hu-HU"/>
        </w:rPr>
        <w:t>Cars</w:t>
      </w:r>
      <w:proofErr w:type="spellEnd"/>
      <w:r w:rsidRPr="00D63786">
        <w:rPr>
          <w:sz w:val="24"/>
          <w:lang w:val="hu-HU"/>
        </w:rPr>
        <w:t xml:space="preserve"> 2025 elején megszerezte </w:t>
      </w:r>
      <w:r w:rsidR="000A3B7E">
        <w:rPr>
          <w:sz w:val="24"/>
          <w:lang w:val="hu-HU"/>
        </w:rPr>
        <w:t>az említett</w:t>
      </w:r>
      <w:r w:rsidRPr="00D63786">
        <w:rPr>
          <w:sz w:val="24"/>
          <w:lang w:val="hu-HU"/>
        </w:rPr>
        <w:t xml:space="preserve"> vállalatok összes részvényét, hogy kizárólagos tulajdonosuk lehessen.</w:t>
      </w:r>
    </w:p>
  </w:footnote>
  <w:footnote w:id="7">
    <w:p w14:paraId="18120B10" w14:textId="386CEE22" w:rsidR="00452A33" w:rsidRPr="00D63786" w:rsidRDefault="00452A33" w:rsidP="00D63786">
      <w:pPr>
        <w:pStyle w:val="FootnoteText"/>
        <w:ind w:left="567" w:hanging="567"/>
        <w:rPr>
          <w:sz w:val="24"/>
          <w:lang w:val="hu-HU"/>
        </w:rPr>
      </w:pPr>
      <w:r w:rsidRPr="00D63786">
        <w:rPr>
          <w:rStyle w:val="FootnoteReference"/>
          <w:sz w:val="24"/>
          <w:lang w:val="hu-HU"/>
        </w:rPr>
        <w:footnoteRef/>
      </w:r>
      <w:r w:rsidR="00D63786" w:rsidRPr="00D63786">
        <w:rPr>
          <w:sz w:val="24"/>
          <w:lang w:val="hu-HU"/>
        </w:rPr>
        <w:t xml:space="preserve"> </w:t>
      </w:r>
      <w:r w:rsidR="00D63786" w:rsidRPr="00D63786">
        <w:rPr>
          <w:sz w:val="24"/>
          <w:lang w:val="hu-HU"/>
        </w:rPr>
        <w:tab/>
      </w:r>
      <w:r w:rsidRPr="00D63786">
        <w:rPr>
          <w:sz w:val="24"/>
          <w:lang w:val="hu-HU"/>
        </w:rPr>
        <w:t xml:space="preserve">A Bizottság 2026. évi munkaprogramja, Európa függetlenségének pillanata: </w:t>
      </w:r>
      <w:hyperlink r:id="rId5" w:history="1">
        <w:r w:rsidRPr="00D63786">
          <w:rPr>
            <w:rStyle w:val="Hyperlink"/>
            <w:sz w:val="24"/>
            <w:lang w:val="hu-HU"/>
          </w:rPr>
          <w:t>https://commission.europa.eu/strategy-and-policy/strategy-documents/commission-work-programme/commission-work-programme-2026_en?prefLang=hu</w:t>
        </w:r>
      </w:hyperlink>
      <w:r w:rsidR="00C9395A">
        <w:rPr>
          <w:rStyle w:val="Hyperlink"/>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C5961" w14:textId="77777777" w:rsidR="00064002" w:rsidRPr="00D637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921F" w14:textId="77777777" w:rsidR="00064002" w:rsidRPr="00D637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5D60" w14:textId="77777777" w:rsidR="00064002" w:rsidRPr="00D637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9236569">
    <w:abstractNumId w:val="9"/>
  </w:num>
  <w:num w:numId="2" w16cid:durableId="862399488">
    <w:abstractNumId w:val="9"/>
  </w:num>
  <w:num w:numId="3" w16cid:durableId="1595703253">
    <w:abstractNumId w:val="7"/>
  </w:num>
  <w:num w:numId="4" w16cid:durableId="1791123664">
    <w:abstractNumId w:val="7"/>
  </w:num>
  <w:num w:numId="5" w16cid:durableId="234707098">
    <w:abstractNumId w:val="6"/>
  </w:num>
  <w:num w:numId="6" w16cid:durableId="680814989">
    <w:abstractNumId w:val="6"/>
  </w:num>
  <w:num w:numId="7" w16cid:durableId="1482965457">
    <w:abstractNumId w:val="5"/>
  </w:num>
  <w:num w:numId="8" w16cid:durableId="1088309055">
    <w:abstractNumId w:val="5"/>
  </w:num>
  <w:num w:numId="9" w16cid:durableId="1805733553">
    <w:abstractNumId w:val="4"/>
  </w:num>
  <w:num w:numId="10" w16cid:durableId="77407751">
    <w:abstractNumId w:val="4"/>
  </w:num>
  <w:num w:numId="11" w16cid:durableId="1987733959">
    <w:abstractNumId w:val="8"/>
  </w:num>
  <w:num w:numId="12" w16cid:durableId="599798734">
    <w:abstractNumId w:val="8"/>
  </w:num>
  <w:num w:numId="13" w16cid:durableId="467094308">
    <w:abstractNumId w:val="3"/>
  </w:num>
  <w:num w:numId="14" w16cid:durableId="1123616000">
    <w:abstractNumId w:val="3"/>
  </w:num>
  <w:num w:numId="15" w16cid:durableId="153836182">
    <w:abstractNumId w:val="2"/>
  </w:num>
  <w:num w:numId="16" w16cid:durableId="1411780320">
    <w:abstractNumId w:val="2"/>
  </w:num>
  <w:num w:numId="17" w16cid:durableId="1862694511">
    <w:abstractNumId w:val="1"/>
  </w:num>
  <w:num w:numId="18" w16cid:durableId="642321226">
    <w:abstractNumId w:val="1"/>
  </w:num>
  <w:num w:numId="19" w16cid:durableId="1558783422">
    <w:abstractNumId w:val="0"/>
  </w:num>
  <w:num w:numId="20" w16cid:durableId="135606312">
    <w:abstractNumId w:val="0"/>
  </w:num>
  <w:num w:numId="21" w16cid:durableId="801970210">
    <w:abstractNumId w:val="9"/>
  </w:num>
  <w:num w:numId="22" w16cid:durableId="45422391">
    <w:abstractNumId w:val="7"/>
  </w:num>
  <w:num w:numId="23" w16cid:durableId="677006118">
    <w:abstractNumId w:val="6"/>
  </w:num>
  <w:num w:numId="24" w16cid:durableId="1519154661">
    <w:abstractNumId w:val="5"/>
  </w:num>
  <w:num w:numId="25" w16cid:durableId="1489438373">
    <w:abstractNumId w:val="4"/>
  </w:num>
  <w:num w:numId="26" w16cid:durableId="183834108">
    <w:abstractNumId w:val="8"/>
  </w:num>
  <w:num w:numId="27" w16cid:durableId="483859632">
    <w:abstractNumId w:val="3"/>
  </w:num>
  <w:num w:numId="28" w16cid:durableId="590625298">
    <w:abstractNumId w:val="2"/>
  </w:num>
  <w:num w:numId="29" w16cid:durableId="499859191">
    <w:abstractNumId w:val="1"/>
  </w:num>
  <w:num w:numId="30" w16cid:durableId="850028567">
    <w:abstractNumId w:val="0"/>
  </w:num>
  <w:num w:numId="31" w16cid:durableId="1749645808">
    <w:abstractNumId w:val="9"/>
  </w:num>
  <w:num w:numId="32" w16cid:durableId="37627980">
    <w:abstractNumId w:val="7"/>
  </w:num>
  <w:num w:numId="33" w16cid:durableId="1791391743">
    <w:abstractNumId w:val="6"/>
  </w:num>
  <w:num w:numId="34" w16cid:durableId="613825901">
    <w:abstractNumId w:val="5"/>
  </w:num>
  <w:num w:numId="35" w16cid:durableId="1437559111">
    <w:abstractNumId w:val="4"/>
  </w:num>
  <w:num w:numId="36" w16cid:durableId="1378506098">
    <w:abstractNumId w:val="8"/>
  </w:num>
  <w:num w:numId="37" w16cid:durableId="665476414">
    <w:abstractNumId w:val="3"/>
  </w:num>
  <w:num w:numId="38" w16cid:durableId="1077051337">
    <w:abstractNumId w:val="2"/>
  </w:num>
  <w:num w:numId="39" w16cid:durableId="2141263438">
    <w:abstractNumId w:val="1"/>
  </w:num>
  <w:num w:numId="40" w16cid:durableId="1705324502">
    <w:abstractNumId w:val="0"/>
  </w:num>
  <w:num w:numId="41" w16cid:durableId="1037244459">
    <w:abstractNumId w:val="10"/>
  </w:num>
  <w:num w:numId="42" w16cid:durableId="801849431">
    <w:abstractNumId w:val="10"/>
  </w:num>
  <w:num w:numId="43" w16cid:durableId="2035224075">
    <w:abstractNumId w:val="10"/>
  </w:num>
  <w:num w:numId="44" w16cid:durableId="15565516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HU"/>
    <w:docVar w:name="dvnumam" w:val="0"/>
    <w:docVar w:name="dvpe" w:val="779.349"/>
    <w:docVar w:name="dvrapporteur" w:val="Előadó: "/>
    <w:docVar w:name="dvtitre" w:val="Az Európai Parlament 2025.  ...-i állásfoglalása az elbocsátott munkavállalók támogatását szolgáló Európai Globalizációs Alkalmazkodási Alapnak Svédország EGF/2025/003 SE/Northvolt referenciaszámú kérelme nyomán történő igénybevételéről szóló európai parlamenti és tanácsi határozatra irányuló javaslatról(COM(2025)0621 – C10-0270/2025 – 2025/0326(BUD))"/>
  </w:docVars>
  <w:rsids>
    <w:rsidRoot w:val="00D5189D"/>
    <w:rsid w:val="00002272"/>
    <w:rsid w:val="00064002"/>
    <w:rsid w:val="000677B9"/>
    <w:rsid w:val="000831BA"/>
    <w:rsid w:val="000A3B7E"/>
    <w:rsid w:val="000A42CC"/>
    <w:rsid w:val="000E7DD9"/>
    <w:rsid w:val="0010095E"/>
    <w:rsid w:val="00125B37"/>
    <w:rsid w:val="00187494"/>
    <w:rsid w:val="001C4119"/>
    <w:rsid w:val="001E0A29"/>
    <w:rsid w:val="001F32AE"/>
    <w:rsid w:val="002767FF"/>
    <w:rsid w:val="002B18FE"/>
    <w:rsid w:val="002B5493"/>
    <w:rsid w:val="00343214"/>
    <w:rsid w:val="00361C00"/>
    <w:rsid w:val="00380645"/>
    <w:rsid w:val="00395FA1"/>
    <w:rsid w:val="003B05F6"/>
    <w:rsid w:val="003E15D4"/>
    <w:rsid w:val="00411CCE"/>
    <w:rsid w:val="0041666E"/>
    <w:rsid w:val="00421060"/>
    <w:rsid w:val="00452A33"/>
    <w:rsid w:val="00471C19"/>
    <w:rsid w:val="004867E3"/>
    <w:rsid w:val="00494A28"/>
    <w:rsid w:val="004C0004"/>
    <w:rsid w:val="004C5D52"/>
    <w:rsid w:val="0050519A"/>
    <w:rsid w:val="005072A1"/>
    <w:rsid w:val="00514517"/>
    <w:rsid w:val="00545827"/>
    <w:rsid w:val="00560270"/>
    <w:rsid w:val="005B2F5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3F0"/>
    <w:rsid w:val="00930C23"/>
    <w:rsid w:val="0093193B"/>
    <w:rsid w:val="009509D8"/>
    <w:rsid w:val="00950B64"/>
    <w:rsid w:val="00981893"/>
    <w:rsid w:val="00A1687D"/>
    <w:rsid w:val="00A43E52"/>
    <w:rsid w:val="00A4678D"/>
    <w:rsid w:val="00A778C7"/>
    <w:rsid w:val="00AB441E"/>
    <w:rsid w:val="00AB6293"/>
    <w:rsid w:val="00AE0928"/>
    <w:rsid w:val="00AF3B82"/>
    <w:rsid w:val="00B057A8"/>
    <w:rsid w:val="00B12E95"/>
    <w:rsid w:val="00B22876"/>
    <w:rsid w:val="00B558F0"/>
    <w:rsid w:val="00BD48FE"/>
    <w:rsid w:val="00BD7BD8"/>
    <w:rsid w:val="00BE6ADC"/>
    <w:rsid w:val="00C05BFE"/>
    <w:rsid w:val="00C23CD4"/>
    <w:rsid w:val="00C61C0C"/>
    <w:rsid w:val="00C9395A"/>
    <w:rsid w:val="00C941CB"/>
    <w:rsid w:val="00CC2357"/>
    <w:rsid w:val="00CF071A"/>
    <w:rsid w:val="00D058B8"/>
    <w:rsid w:val="00D22B5E"/>
    <w:rsid w:val="00D5189D"/>
    <w:rsid w:val="00D56C11"/>
    <w:rsid w:val="00D63786"/>
    <w:rsid w:val="00D833C3"/>
    <w:rsid w:val="00D834A0"/>
    <w:rsid w:val="00D872DF"/>
    <w:rsid w:val="00D91E21"/>
    <w:rsid w:val="00DA6E62"/>
    <w:rsid w:val="00DA7FCD"/>
    <w:rsid w:val="00E12DCF"/>
    <w:rsid w:val="00E365E1"/>
    <w:rsid w:val="00E820A4"/>
    <w:rsid w:val="00EB006A"/>
    <w:rsid w:val="00EB4772"/>
    <w:rsid w:val="00EC0EEF"/>
    <w:rsid w:val="00EC1A8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A3B76"/>
  <w15:chartTrackingRefBased/>
  <w15:docId w15:val="{04649F23-4A9C-47ED-BCB3-9FFE31A54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52A3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52A33"/>
    <w:pPr>
      <w:keepNext/>
      <w:spacing w:after="480"/>
      <w:jc w:val="center"/>
    </w:pPr>
    <w:rPr>
      <w:rFonts w:ascii="Arial" w:hAnsi="Arial" w:cs="Arial"/>
      <w:b/>
    </w:rPr>
  </w:style>
  <w:style w:type="paragraph" w:customStyle="1" w:styleId="NormalHanging12a">
    <w:name w:val="NormalHanging12a"/>
    <w:basedOn w:val="Normal"/>
    <w:rsid w:val="00452A33"/>
    <w:pPr>
      <w:spacing w:after="240"/>
      <w:ind w:left="567" w:hanging="567"/>
    </w:pPr>
  </w:style>
  <w:style w:type="paragraph" w:styleId="Header">
    <w:name w:val="header"/>
    <w:basedOn w:val="Normal"/>
    <w:link w:val="HeaderChar"/>
    <w:rsid w:val="00452A33"/>
    <w:pPr>
      <w:tabs>
        <w:tab w:val="center" w:pos="4513"/>
        <w:tab w:val="right" w:pos="9026"/>
      </w:tabs>
    </w:pPr>
  </w:style>
  <w:style w:type="character" w:customStyle="1" w:styleId="HeaderChar">
    <w:name w:val="Header Char"/>
    <w:basedOn w:val="DefaultParagraphFont"/>
    <w:link w:val="Header"/>
    <w:rsid w:val="00452A33"/>
    <w:rPr>
      <w:sz w:val="24"/>
      <w:lang w:val="hu-HU"/>
    </w:rPr>
  </w:style>
  <w:style w:type="paragraph" w:customStyle="1" w:styleId="NormalBold24a">
    <w:name w:val="NormalBold24a"/>
    <w:basedOn w:val="Normal"/>
    <w:rsid w:val="00452A33"/>
    <w:pPr>
      <w:spacing w:after="480"/>
    </w:pPr>
    <w:rPr>
      <w:b/>
      <w:bCs/>
    </w:rPr>
  </w:style>
  <w:style w:type="paragraph" w:customStyle="1" w:styleId="EPFooter">
    <w:name w:val="EPFooter"/>
    <w:basedOn w:val="Normal"/>
    <w:rsid w:val="00452A33"/>
    <w:pPr>
      <w:tabs>
        <w:tab w:val="center" w:pos="4535"/>
        <w:tab w:val="right" w:pos="9071"/>
      </w:tabs>
      <w:spacing w:before="240" w:after="240"/>
    </w:pPr>
    <w:rPr>
      <w:color w:val="010000"/>
      <w:sz w:val="22"/>
    </w:rPr>
  </w:style>
  <w:style w:type="paragraph" w:customStyle="1" w:styleId="EPComma">
    <w:name w:val="EPComma"/>
    <w:basedOn w:val="Normal"/>
    <w:rsid w:val="00452A33"/>
    <w:pPr>
      <w:spacing w:before="480" w:after="240"/>
    </w:pPr>
  </w:style>
  <w:style w:type="character" w:styleId="Hyperlink">
    <w:name w:val="Hyperlink"/>
    <w:basedOn w:val="DefaultParagraphFont"/>
    <w:rsid w:val="00452A33"/>
    <w:rPr>
      <w:color w:val="0563C1" w:themeColor="hyperlink"/>
      <w:u w:val="single"/>
    </w:rPr>
  </w:style>
  <w:style w:type="paragraph" w:customStyle="1" w:styleId="Institutionquisigne">
    <w:name w:val="Institution qui signe"/>
    <w:basedOn w:val="Normal"/>
    <w:next w:val="Personnequisigne"/>
    <w:rsid w:val="00452A3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52A3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52A3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52A3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52A3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52A33"/>
    <w:pPr>
      <w:widowControl/>
      <w:tabs>
        <w:tab w:val="left" w:pos="4252"/>
      </w:tabs>
    </w:pPr>
    <w:rPr>
      <w:rFonts w:eastAsiaTheme="minorHAnsi"/>
      <w:i/>
      <w:szCs w:val="22"/>
      <w:lang w:eastAsia="en-US"/>
    </w:rPr>
  </w:style>
  <w:style w:type="paragraph" w:customStyle="1" w:styleId="ManualConsidrant">
    <w:name w:val="Manual Considérant"/>
    <w:basedOn w:val="Normal"/>
    <w:rsid w:val="00452A33"/>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452A33"/>
    <w:rPr>
      <w:rFonts w:ascii="Arial" w:hAnsi="Arial" w:cs="Arial"/>
      <w:b/>
      <w:sz w:val="24"/>
      <w:lang w:val="hu-HU"/>
    </w:rPr>
  </w:style>
  <w:style w:type="paragraph" w:styleId="Footer">
    <w:name w:val="footer"/>
    <w:basedOn w:val="Normal"/>
    <w:link w:val="FooterChar"/>
    <w:rsid w:val="00C9395A"/>
    <w:pPr>
      <w:tabs>
        <w:tab w:val="center" w:pos="4513"/>
        <w:tab w:val="right" w:pos="9026"/>
      </w:tabs>
    </w:pPr>
  </w:style>
  <w:style w:type="character" w:customStyle="1" w:styleId="FooterChar">
    <w:name w:val="Footer Char"/>
    <w:basedOn w:val="DefaultParagraphFont"/>
    <w:link w:val="Footer"/>
    <w:rsid w:val="00C9395A"/>
    <w:rPr>
      <w:sz w:val="24"/>
      <w:lang w:val="hu-HU"/>
    </w:rPr>
  </w:style>
  <w:style w:type="paragraph" w:styleId="Revision">
    <w:name w:val="Revision"/>
    <w:hidden/>
    <w:uiPriority w:val="99"/>
    <w:semiHidden/>
    <w:rsid w:val="00C9395A"/>
    <w:rPr>
      <w:sz w:val="24"/>
      <w:lang w:val="hu-HU"/>
    </w:rPr>
  </w:style>
  <w:style w:type="character" w:styleId="UnresolvedMention">
    <w:name w:val="Unresolved Mention"/>
    <w:basedOn w:val="DefaultParagraphFont"/>
    <w:uiPriority w:val="99"/>
    <w:semiHidden/>
    <w:unhideWhenUsed/>
    <w:rsid w:val="00C9395A"/>
    <w:rPr>
      <w:color w:val="605E5C"/>
      <w:shd w:val="clear" w:color="auto" w:fill="E1DFDD"/>
    </w:rPr>
  </w:style>
  <w:style w:type="character" w:styleId="CommentReference">
    <w:name w:val="annotation reference"/>
    <w:basedOn w:val="DefaultParagraphFont"/>
    <w:rsid w:val="001E0A29"/>
    <w:rPr>
      <w:sz w:val="16"/>
      <w:szCs w:val="16"/>
    </w:rPr>
  </w:style>
  <w:style w:type="paragraph" w:styleId="CommentText">
    <w:name w:val="annotation text"/>
    <w:basedOn w:val="Normal"/>
    <w:link w:val="CommentTextChar"/>
    <w:rsid w:val="001E0A29"/>
    <w:rPr>
      <w:sz w:val="20"/>
    </w:rPr>
  </w:style>
  <w:style w:type="character" w:customStyle="1" w:styleId="CommentTextChar">
    <w:name w:val="Comment Text Char"/>
    <w:basedOn w:val="DefaultParagraphFont"/>
    <w:link w:val="CommentText"/>
    <w:rsid w:val="001E0A29"/>
    <w:rPr>
      <w:lang w:val="hu-HU"/>
    </w:rPr>
  </w:style>
  <w:style w:type="paragraph" w:styleId="CommentSubject">
    <w:name w:val="annotation subject"/>
    <w:basedOn w:val="CommentText"/>
    <w:next w:val="CommentText"/>
    <w:link w:val="CommentSubjectChar"/>
    <w:rsid w:val="001E0A29"/>
    <w:rPr>
      <w:b/>
      <w:bCs/>
    </w:rPr>
  </w:style>
  <w:style w:type="character" w:customStyle="1" w:styleId="CommentSubjectChar">
    <w:name w:val="Comment Subject Char"/>
    <w:basedOn w:val="CommentTextChar"/>
    <w:link w:val="CommentSubject"/>
    <w:rsid w:val="001E0A29"/>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reg/2024/765/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prefLang=hu"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1329</Words>
  <Characters>11992</Characters>
  <Application>Microsoft Office Word</Application>
  <DocSecurity>0</DocSecurity>
  <Lines>571</Lines>
  <Paragraphs>416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2026-03-04T12:45:00Z</dcterms:created>
  <dcterms:modified xsi:type="dcterms:W3CDTF">2026-03-04T12:45:00Z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P10_TA(2025)0325_</vt:lpwstr>
  </property>
  <property fmtid="{D5CDD505-2E9C-101B-9397-08002B2CF9AE}" pid="4" name="&lt;Type&gt;">
    <vt:lpwstr>RR</vt:lpwstr>
  </property>
</Properties>
</file>