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70F4" w14:paraId="1A37F7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BEA803" w14:textId="77777777" w:rsidR="00751A4A" w:rsidRPr="00B370F4" w:rsidRDefault="00682532" w:rsidP="0010095E">
            <w:pPr>
              <w:pStyle w:val="EPName"/>
            </w:pPr>
            <w:r w:rsidRPr="00B370F4">
              <w:t>Parlament Ewropew</w:t>
            </w:r>
          </w:p>
          <w:p w14:paraId="7A403994" w14:textId="77777777" w:rsidR="00751A4A" w:rsidRPr="00B370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70F4">
              <w:t>2024</w:t>
            </w:r>
            <w:r w:rsidR="00817416" w:rsidRPr="00B370F4">
              <w:t>-202</w:t>
            </w:r>
            <w:r w:rsidRPr="00B370F4">
              <w:t>9</w:t>
            </w:r>
          </w:p>
        </w:tc>
        <w:tc>
          <w:tcPr>
            <w:tcW w:w="2268" w:type="dxa"/>
            <w:shd w:val="clear" w:color="auto" w:fill="auto"/>
          </w:tcPr>
          <w:p w14:paraId="0CEDCF57" w14:textId="77777777" w:rsidR="00751A4A" w:rsidRPr="00B370F4" w:rsidRDefault="00187494" w:rsidP="0010095E">
            <w:pPr>
              <w:pStyle w:val="EPLogo"/>
            </w:pPr>
            <w:r w:rsidRPr="00B370F4">
              <w:rPr>
                <w:noProof/>
                <w:lang w:eastAsia="ja-JP"/>
              </w:rPr>
              <w:drawing>
                <wp:inline distT="0" distB="0" distL="0" distR="0" wp14:anchorId="1B5C271A" wp14:editId="3954CC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275A1B" w14:textId="77777777" w:rsidR="00D058B8" w:rsidRPr="00B370F4" w:rsidRDefault="00D058B8" w:rsidP="004C5D52">
      <w:pPr>
        <w:pStyle w:val="LineTop"/>
      </w:pPr>
    </w:p>
    <w:p w14:paraId="30B8BF36" w14:textId="77777777" w:rsidR="00680577" w:rsidRPr="00B370F4" w:rsidRDefault="00682532" w:rsidP="00680577">
      <w:pPr>
        <w:pStyle w:val="EPBodyTA1"/>
      </w:pPr>
      <w:r w:rsidRPr="00B370F4">
        <w:t>TESTI ADOTTATI</w:t>
      </w:r>
    </w:p>
    <w:p w14:paraId="3A8C48C5" w14:textId="77777777" w:rsidR="00D058B8" w:rsidRPr="00B370F4" w:rsidRDefault="00D058B8" w:rsidP="00D058B8">
      <w:pPr>
        <w:pStyle w:val="LineBottom"/>
      </w:pPr>
    </w:p>
    <w:p w14:paraId="32D0725A" w14:textId="1BFFC7B9" w:rsidR="00682532" w:rsidRPr="00B370F4" w:rsidRDefault="00682532" w:rsidP="00682532">
      <w:pPr>
        <w:pStyle w:val="ATHeading1"/>
      </w:pPr>
      <w:bookmarkStart w:id="0" w:name="TANumber"/>
      <w:r w:rsidRPr="00B370F4">
        <w:t>P10_TA(2025)0</w:t>
      </w:r>
      <w:r w:rsidR="00794B4A">
        <w:t>325</w:t>
      </w:r>
      <w:bookmarkEnd w:id="0"/>
    </w:p>
    <w:p w14:paraId="01BFB6CC" w14:textId="6EC0F201" w:rsidR="00682532" w:rsidRPr="00B370F4" w:rsidRDefault="00A727E7" w:rsidP="00A727E7">
      <w:pPr>
        <w:pStyle w:val="ATHeading2"/>
      </w:pPr>
      <w:proofErr w:type="spellStart"/>
      <w:r>
        <w:t>Mobilizzazzjoni</w:t>
      </w:r>
      <w:proofErr w:type="spellEnd"/>
      <w:r>
        <w:t xml:space="preserve"> tal-Fond Ewropew ta’ Aġġustament għall-Globalizzazzjoni għall-</w:t>
      </w:r>
      <w:r w:rsidR="002441A6">
        <w:t>Ħ</w:t>
      </w:r>
      <w:r>
        <w:t xml:space="preserve">addiema </w:t>
      </w:r>
      <w:proofErr w:type="spellStart"/>
      <w:r w:rsidR="002441A6">
        <w:t>S</w:t>
      </w:r>
      <w:r>
        <w:t>sensjati</w:t>
      </w:r>
      <w:proofErr w:type="spellEnd"/>
      <w:r>
        <w:t>: applikazzjoni EGF/2025/003 SE/Northvolt – L-Iżvezja</w:t>
      </w:r>
    </w:p>
    <w:p w14:paraId="32D46A41" w14:textId="77777777" w:rsidR="00682532" w:rsidRPr="00B370F4" w:rsidRDefault="00682532" w:rsidP="00682532">
      <w:pPr>
        <w:rPr>
          <w:i/>
          <w:vanish/>
        </w:rPr>
      </w:pPr>
      <w:r w:rsidRPr="00B370F4">
        <w:rPr>
          <w:i/>
        </w:rPr>
        <w:fldChar w:fldCharType="begin"/>
      </w:r>
      <w:r w:rsidRPr="00B370F4">
        <w:rPr>
          <w:i/>
        </w:rPr>
        <w:instrText xml:space="preserve"> TC"(</w:instrText>
      </w:r>
      <w:bookmarkStart w:id="1" w:name="DocNumber"/>
      <w:r w:rsidRPr="00B370F4">
        <w:rPr>
          <w:i/>
        </w:rPr>
        <w:instrText>A10-0239/2025</w:instrText>
      </w:r>
      <w:bookmarkEnd w:id="1"/>
      <w:r w:rsidRPr="00B370F4">
        <w:rPr>
          <w:i/>
        </w:rPr>
        <w:instrText xml:space="preserve"> - Rapporteur: Aura Salla)"\l3 \n&gt; \* MERGEFORMAT </w:instrText>
      </w:r>
      <w:r w:rsidRPr="00B370F4">
        <w:rPr>
          <w:i/>
        </w:rPr>
        <w:fldChar w:fldCharType="end"/>
      </w:r>
    </w:p>
    <w:p w14:paraId="19FD17A9" w14:textId="77777777" w:rsidR="00682532" w:rsidRPr="00B370F4" w:rsidRDefault="00682532" w:rsidP="00682532">
      <w:pPr>
        <w:rPr>
          <w:vanish/>
        </w:rPr>
      </w:pPr>
      <w:bookmarkStart w:id="2" w:name="Commission"/>
      <w:r w:rsidRPr="00B370F4">
        <w:rPr>
          <w:vanish/>
        </w:rPr>
        <w:t>Kumitat għall-Baġits</w:t>
      </w:r>
      <w:bookmarkEnd w:id="2"/>
    </w:p>
    <w:p w14:paraId="1D8162EC" w14:textId="77777777" w:rsidR="00682532" w:rsidRPr="00B370F4" w:rsidRDefault="00682532" w:rsidP="00682532">
      <w:pPr>
        <w:rPr>
          <w:vanish/>
        </w:rPr>
      </w:pPr>
      <w:bookmarkStart w:id="3" w:name="PE"/>
      <w:r w:rsidRPr="00B370F4">
        <w:rPr>
          <w:vanish/>
        </w:rPr>
        <w:t>PE779.349</w:t>
      </w:r>
      <w:bookmarkEnd w:id="3"/>
    </w:p>
    <w:p w14:paraId="07BCB7E0" w14:textId="715B0154" w:rsidR="00682532" w:rsidRPr="00B370F4" w:rsidRDefault="00682532" w:rsidP="00682532">
      <w:pPr>
        <w:pStyle w:val="ATHeading3"/>
      </w:pPr>
      <w:bookmarkStart w:id="4" w:name="Sujet"/>
      <w:r w:rsidRPr="00B370F4">
        <w:t>Riżoluzzjoni tal-Parlament Ewropew ta</w:t>
      </w:r>
      <w:r w:rsidR="00A727E7">
        <w:t>s-16</w:t>
      </w:r>
      <w:r w:rsidRPr="00B370F4">
        <w:t xml:space="preserve"> ta' Diċembru 2025 dwar il-proposta għal deċiżjoni tal-Parlament Ewropew u tal-Kunsill dwar il-mobilizzazzjoni tal-Fond Ewropew ta’ Aġġustament għall-Globalizzazzjoni għall-Ħaddiema Ssensjati wara applikazzjoni mill-Iżvezja – EGF/2025/003 SE/Northvolt</w:t>
      </w:r>
      <w:bookmarkEnd w:id="4"/>
      <w:r w:rsidRPr="00B370F4">
        <w:t xml:space="preserve"> </w:t>
      </w:r>
      <w:bookmarkStart w:id="5" w:name="References"/>
      <w:r w:rsidRPr="00B370F4">
        <w:t>(COM(2025)0621 – C10-0270/2025 – 2025/0326(BUD))</w:t>
      </w:r>
      <w:bookmarkEnd w:id="5"/>
    </w:p>
    <w:p w14:paraId="22B42338" w14:textId="77777777" w:rsidR="005C7349" w:rsidRPr="00B370F4" w:rsidRDefault="005C7349" w:rsidP="005C7349">
      <w:pPr>
        <w:pStyle w:val="EPComma"/>
        <w:rPr>
          <w:noProof/>
        </w:rPr>
      </w:pPr>
      <w:r w:rsidRPr="00B370F4">
        <w:rPr>
          <w:i/>
        </w:rPr>
        <w:t>Il-Parlament Ewropew</w:t>
      </w:r>
      <w:r w:rsidRPr="00B370F4">
        <w:t>,</w:t>
      </w:r>
    </w:p>
    <w:p w14:paraId="73B7D124" w14:textId="77777777" w:rsidR="005C7349" w:rsidRPr="00B370F4" w:rsidRDefault="005C7349" w:rsidP="005C7349">
      <w:pPr>
        <w:pStyle w:val="NormalHanging12a"/>
        <w:rPr>
          <w:noProof/>
        </w:rPr>
      </w:pPr>
      <w:r w:rsidRPr="00B370F4">
        <w:t>–</w:t>
      </w:r>
      <w:r w:rsidRPr="00B370F4">
        <w:tab/>
        <w:t>wara li kkunsidra l-proposta tal-Kummissjoni lill-Parlament Ewropew u lill-Kunsill (COM(2025)0621 – C10</w:t>
      </w:r>
      <w:r w:rsidRPr="00B370F4">
        <w:noBreakHyphen/>
        <w:t>0270/2025),</w:t>
      </w:r>
    </w:p>
    <w:p w14:paraId="6DDF3BF3" w14:textId="77777777" w:rsidR="005C7349" w:rsidRPr="00B370F4" w:rsidRDefault="005C7349" w:rsidP="005C7349">
      <w:pPr>
        <w:pStyle w:val="NormalHanging12a"/>
      </w:pPr>
      <w:r w:rsidRPr="00B370F4">
        <w:t>–</w:t>
      </w:r>
      <w:r w:rsidRPr="00B370F4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B370F4">
        <w:rPr>
          <w:vertAlign w:val="superscript"/>
        </w:rPr>
        <w:footnoteReference w:id="1"/>
      </w:r>
      <w:r w:rsidRPr="00B370F4">
        <w:t xml:space="preserve"> (“ir-Regolament dwar il-FEG”), </w:t>
      </w:r>
    </w:p>
    <w:p w14:paraId="280BCC72" w14:textId="36363850" w:rsidR="005C7349" w:rsidRPr="00B370F4" w:rsidRDefault="005C7349" w:rsidP="005C7349">
      <w:pPr>
        <w:pStyle w:val="NormalHanging12a"/>
        <w:rPr>
          <w:noProof/>
        </w:rPr>
      </w:pPr>
      <w:r w:rsidRPr="00B370F4">
        <w:t>–</w:t>
      </w:r>
      <w:r w:rsidRPr="00B370F4">
        <w:tab/>
        <w:t>wara li kkunsidra r-Regolament tal-Kunsill (UE, Euratom) 2020/2093 tas-17 ta’ Diċembru 2020 li jistabbilixxi l-qafas finanzjarju pluriennali għas-snin mill-2021 sal-2027</w:t>
      </w:r>
      <w:r w:rsidRPr="00B370F4">
        <w:rPr>
          <w:noProof/>
          <w:vertAlign w:val="superscript"/>
        </w:rPr>
        <w:footnoteReference w:id="2"/>
      </w:r>
      <w:r w:rsidRPr="00B370F4">
        <w:t xml:space="preserve">, kif emendat bir-Regolament </w:t>
      </w:r>
      <w:r w:rsidR="00A727E7">
        <w:t xml:space="preserve">tal-Kunsill </w:t>
      </w:r>
      <w:r w:rsidRPr="00B370F4">
        <w:t>(UE, Euratom) 2024/765</w:t>
      </w:r>
      <w:r w:rsidRPr="00B370F4">
        <w:rPr>
          <w:noProof/>
          <w:vertAlign w:val="superscript"/>
        </w:rPr>
        <w:footnoteReference w:id="3"/>
      </w:r>
      <w:r w:rsidRPr="00B370F4">
        <w:t xml:space="preserve">, u b’mod partikolari l-Artikolu 8 tiegħu, </w:t>
      </w:r>
    </w:p>
    <w:p w14:paraId="67AEEBEE" w14:textId="1040502F" w:rsidR="005C7349" w:rsidRPr="00B370F4" w:rsidRDefault="005C7349" w:rsidP="005C7349">
      <w:pPr>
        <w:pStyle w:val="NormalHanging12a"/>
        <w:rPr>
          <w:noProof/>
        </w:rPr>
      </w:pPr>
      <w:r w:rsidRPr="00B370F4">
        <w:t>–</w:t>
      </w:r>
      <w:r w:rsidRPr="00B370F4">
        <w:tab/>
        <w:t xml:space="preserve">wara li kkunsidra l-Ftehim Interistituzzjonali tas-16 ta’ Diċembru 2020 bejn il-Parlament Ewropew, il-Kunsill </w:t>
      </w:r>
      <w:r w:rsidR="002441A6">
        <w:t xml:space="preserve">tal-Unjoni Ewropea </w:t>
      </w:r>
      <w:r w:rsidRPr="00B370F4">
        <w:t xml:space="preserve">u l-Kummissjoni </w:t>
      </w:r>
      <w:r w:rsidR="002441A6">
        <w:t xml:space="preserve">Ewropea </w:t>
      </w:r>
      <w:r w:rsidRPr="00B370F4">
        <w:t xml:space="preserve">dwar dixxiplina baġitarja, dwar kooperazzjoni f’materji baġitarji u dwar ġestjoni finanzjarja tajba, kif ukoll dwar riżorsi proprji ġodda, inkluż pjan direzzjonali lejn l-introduzzjoni </w:t>
      </w:r>
      <w:r w:rsidRPr="00B370F4">
        <w:lastRenderedPageBreak/>
        <w:t>ta’ riżorsi proprji ġodda</w:t>
      </w:r>
      <w:r w:rsidRPr="00B370F4">
        <w:rPr>
          <w:rStyle w:val="FootnoteReference"/>
          <w:noProof/>
        </w:rPr>
        <w:footnoteReference w:id="4"/>
      </w:r>
      <w:r w:rsidRPr="00B370F4">
        <w:t>, u b’mod partikolari l-punt 9 tiegħu,</w:t>
      </w:r>
    </w:p>
    <w:p w14:paraId="3C9E0458" w14:textId="77777777" w:rsidR="005C7349" w:rsidRPr="00B370F4" w:rsidRDefault="005C7349" w:rsidP="005C7349">
      <w:pPr>
        <w:pStyle w:val="NormalHanging12a"/>
      </w:pPr>
      <w:r w:rsidRPr="00B370F4">
        <w:t>–</w:t>
      </w:r>
      <w:r w:rsidRPr="00B370F4">
        <w:tab/>
        <w:t>wara li kkunsidra l-opinjoni tal-Kumitat għall-Impjiegi u l-Affarijiet Soċjali,</w:t>
      </w:r>
    </w:p>
    <w:p w14:paraId="1519799D" w14:textId="77777777" w:rsidR="005C7349" w:rsidRPr="00B370F4" w:rsidRDefault="005C7349" w:rsidP="005C7349">
      <w:pPr>
        <w:pStyle w:val="NormalHanging12a"/>
      </w:pPr>
      <w:r w:rsidRPr="00B370F4">
        <w:t>–</w:t>
      </w:r>
      <w:r w:rsidRPr="00B370F4">
        <w:tab/>
        <w:t>wara li kkunsidra r-rapport tal-Kumitat għall-Baġits (A10-0239/2025),</w:t>
      </w:r>
    </w:p>
    <w:p w14:paraId="0D5B471E" w14:textId="77777777" w:rsidR="005C7349" w:rsidRPr="00B370F4" w:rsidRDefault="005C7349" w:rsidP="005C7349">
      <w:pPr>
        <w:pStyle w:val="NormalHanging12a"/>
        <w:rPr>
          <w:noProof/>
        </w:rPr>
      </w:pPr>
      <w:r w:rsidRPr="00B370F4">
        <w:t>A.</w:t>
      </w:r>
      <w:r w:rsidRPr="00B370F4">
        <w:tab/>
        <w:t>billi l-Unjoni stabbiliet strumenti leġiżlattivi u baġitarji biex tipprovdi appoġġ addizzjonali lill-ħaddiema li qegħdin ibatu l-konsegwenzi ta’ bidliet strutturali kbar fix-xejriet tal-kummerċ dinji jew tal-kriżi finanzjarja u ekonomika globali, u biex tgħinhom jintegraw mill-ġdid fis-suq tax-xogħol; billi din l-assistenza ssir permezz ta’ appoġġ finanzjarju li jingħata lill-ħaddiema u lill-kumpaniji li jkunu ħadmu magħhom;</w:t>
      </w:r>
    </w:p>
    <w:p w14:paraId="01C3FD87" w14:textId="77777777" w:rsidR="005C7349" w:rsidRPr="00B370F4" w:rsidRDefault="005C7349" w:rsidP="005C7349">
      <w:pPr>
        <w:pStyle w:val="NormalHanging12a"/>
      </w:pPr>
      <w:r w:rsidRPr="00B370F4">
        <w:t xml:space="preserve">B. </w:t>
      </w:r>
      <w:r w:rsidRPr="00B370F4">
        <w:tab/>
        <w:t>billi l-Iżvezja ppreżentat l-applikazzjoni EGF/2025/003 SE/Northvolt għal kontribuzzjoni finanzjarja mill-Fond Ewropew ta’ Aġġustament għall-Globalizzazzjoni (FEG), wara 6 486 sensja</w:t>
      </w:r>
      <w:r w:rsidRPr="00B370F4">
        <w:rPr>
          <w:vertAlign w:val="superscript"/>
        </w:rPr>
        <w:footnoteReference w:id="5"/>
      </w:r>
      <w:r w:rsidRPr="00B370F4">
        <w:t xml:space="preserve"> fis-settur ekonomiku kklassifikat taħt id-diviżjoni 2 tan-NACE Reviżjoni 71 (Attivitajiet arkitettoniċi u ta’ inġinerija; l-ittestjar u l-analiżi tekniċi); fir-reġjuni ta’ Övre Norrland (SE33), Stokkolma (SE11) u Östra Mellansverige (SE12) b’5 829 sensja fil-perjodu ta’ referenza għall-applikazzjoni mit-28 ta’ Novembru 2024 sat-28 ta’ Marzu 2025, u 657 sensja qabel jew wara l-perjodu ta’ referenza; </w:t>
      </w:r>
    </w:p>
    <w:p w14:paraId="56E1DD4A" w14:textId="77777777" w:rsidR="005C7349" w:rsidRPr="00B370F4" w:rsidRDefault="005C7349" w:rsidP="005C7349">
      <w:pPr>
        <w:pStyle w:val="NormalHanging12a"/>
      </w:pPr>
      <w:r w:rsidRPr="00B370F4">
        <w:t xml:space="preserve">C. </w:t>
      </w:r>
      <w:r w:rsidRPr="00B370F4">
        <w:tab/>
        <w:t>billi, matul il-perjodu ta’ referenza kopert mill-applikazzjoni, ġew identifikati total ta’ 5 829 sensja, li jinkludu 5 561 ħaddiem issensjat li twaqqfitilhom l-attività f’Northvolt AB (Northvolt) u s-sussidjarji tagħha</w:t>
      </w:r>
      <w:r w:rsidRPr="00B370F4">
        <w:rPr>
          <w:vertAlign w:val="superscript"/>
        </w:rPr>
        <w:footnoteReference w:id="6"/>
      </w:r>
      <w:r w:rsidRPr="00B370F4">
        <w:t>, u 268 ħaddiem issensjat fi 8 fornituri u produtturi downstream ta’ Northvolt;</w:t>
      </w:r>
    </w:p>
    <w:p w14:paraId="31F33109" w14:textId="77777777" w:rsidR="005C7349" w:rsidRPr="00B370F4" w:rsidRDefault="005C7349" w:rsidP="005C7349">
      <w:pPr>
        <w:pStyle w:val="NormalHanging12a"/>
      </w:pPr>
      <w:r w:rsidRPr="00B370F4">
        <w:t>D.</w:t>
      </w:r>
      <w:r w:rsidRPr="00B370F4">
        <w:tab/>
        <w:t xml:space="preserve">billi l-applikazzjoni hija bbażata fuq il-kriterji ta’ intervent tal-Artikolu 4(2), il-punt (a), tar-Regolament dwar il-FEG; billi għas-657 sensja addizzjonali li twaqqfitilhom l-attività qabel jew wara l-perjodu ta’ referenza ta’ erba’ xhur, tista’ tiġi stabbilita rabta kawżali ċara mal-avveniment li wassal għall-waqfien tal-attività għall-ħaddiema ssensjati matul il-perjodu ta’ referenza kif meħtieġ mill-Artikolu 6(2) tar-Regolament dwar il-FEG; </w:t>
      </w:r>
    </w:p>
    <w:p w14:paraId="59ACE5E2" w14:textId="77777777" w:rsidR="005C7349" w:rsidRPr="00B370F4" w:rsidRDefault="005C7349" w:rsidP="005C7349">
      <w:pPr>
        <w:pStyle w:val="NormalHanging12a"/>
      </w:pPr>
      <w:r w:rsidRPr="00B370F4">
        <w:t xml:space="preserve">E. </w:t>
      </w:r>
      <w:r w:rsidRPr="00B370F4">
        <w:tab/>
        <w:t xml:space="preserve">billi Northvolt kienet speċjalizzata f’attivitajiet arkitettoniċi u tal-inġinerija, ittestjar tekniku u manifattura tal-batteriji; billi l-kumpanija ppreżentat falliment fit-12 ta’ Marzu 2025 minħabba diffikultajiet relatati mal-produzzjoni, b’mod partikolari bħala riżultat ta’ provvista żejda kkawżata minn kompetizzjoni intensa minn importazzjonijiet li joriġinaw prinċipalment miċ-Ċina, li tiddomina s-suq globali li jammonta għal aktar minn 80 % tal-produzzjoni globali tal-batteriji; </w:t>
      </w:r>
    </w:p>
    <w:p w14:paraId="58FBF11B" w14:textId="419F92EF" w:rsidR="005C7349" w:rsidRPr="00B370F4" w:rsidRDefault="005C7349" w:rsidP="005C7349">
      <w:pPr>
        <w:pStyle w:val="NormalHanging12a"/>
      </w:pPr>
      <w:r w:rsidRPr="00B370F4">
        <w:t>F.</w:t>
      </w:r>
      <w:r w:rsidRPr="00B370F4">
        <w:tab/>
        <w:t>billi l-Ewropa teħtieġ industrija tal-batteriji b’saħħitha u kompetittiva biex tnaqqas dipendenzi strateġiċi dannużi u ssaħħaħ l-awtonomija industrijali tagħha, kif ukoll biex tilħaq il-miri tagħha tat-tranżizzjoni klimatika u tal-enerġija; billi l-industrija tal-batterij</w:t>
      </w:r>
      <w:r w:rsidR="00A727E7">
        <w:t>a</w:t>
      </w:r>
      <w:r w:rsidR="002441A6">
        <w:t xml:space="preserve"> </w:t>
      </w:r>
      <w:r w:rsidRPr="00B370F4">
        <w:t xml:space="preserve">u tal-fornituri qed tiffaċċja spejjeż għoljin tal-enerġija u tal-kapital, dewmien fil-produzzjoni, distorsjonijiet tas-suq globali, kif ukoll pressjoni kompetittiva dejjem </w:t>
      </w:r>
      <w:r w:rsidRPr="00B370F4">
        <w:lastRenderedPageBreak/>
        <w:t>akbar minn produtturi ta’ pajjiżi terzi, b’mod partikolari ċ-Ċina</w:t>
      </w:r>
      <w:r w:rsidRPr="00B370F4">
        <w:rPr>
          <w:vertAlign w:val="superscript"/>
        </w:rPr>
        <w:footnoteReference w:id="7"/>
      </w:r>
      <w:r w:rsidRPr="00B370F4">
        <w:t>;</w:t>
      </w:r>
    </w:p>
    <w:p w14:paraId="545D8920" w14:textId="77777777" w:rsidR="005C7349" w:rsidRPr="00B370F4" w:rsidRDefault="005C7349" w:rsidP="005C7349">
      <w:pPr>
        <w:pStyle w:val="NormalHanging12a"/>
      </w:pPr>
      <w:r w:rsidRPr="00B370F4">
        <w:t>G.</w:t>
      </w:r>
      <w:r w:rsidRPr="00B370F4">
        <w:tab/>
        <w:t>billi l-Arbetsförmedlingen (is-Servizz Pubbliku Żvediż tal-Impjiegi) qed jipprovdi l-prefinanzjament u l-kofinanzjament nazzjonali tal-miżuri;</w:t>
      </w:r>
    </w:p>
    <w:p w14:paraId="2362752E" w14:textId="785A4CF8" w:rsidR="005C7349" w:rsidRPr="00B370F4" w:rsidRDefault="005C7349" w:rsidP="005C7349">
      <w:pPr>
        <w:pStyle w:val="NormalHanging12a"/>
      </w:pPr>
      <w:r w:rsidRPr="00B370F4">
        <w:t>H.</w:t>
      </w:r>
      <w:r w:rsidRPr="00B370F4">
        <w:tab/>
        <w:t>billi kien hemm konformità mar-rekwiżiti stabbiliti fil-l</w:t>
      </w:r>
      <w:r w:rsidR="00A727E7">
        <w:t>iġi</w:t>
      </w:r>
      <w:r w:rsidRPr="00B370F4">
        <w:t xml:space="preserve"> tal-U</w:t>
      </w:r>
      <w:r w:rsidR="002441A6">
        <w:t>njoni</w:t>
      </w:r>
      <w:r w:rsidRPr="00B370F4">
        <w:t xml:space="preserve"> u f’dik nazzjonali rigward is-sensji kollettivi;</w:t>
      </w:r>
    </w:p>
    <w:p w14:paraId="13363669" w14:textId="77777777" w:rsidR="005C7349" w:rsidRPr="00B370F4" w:rsidRDefault="005C7349" w:rsidP="005C7349">
      <w:pPr>
        <w:pStyle w:val="NormalHanging12a"/>
      </w:pPr>
      <w:r w:rsidRPr="00B370F4">
        <w:t>I.</w:t>
      </w:r>
      <w:r w:rsidRPr="00B370F4">
        <w:tab/>
        <w:t>billi l-kontribuzzjonijiet finanzjarji mill-FEG għandhom ikunu primarjament diretti lejn miżuri ta’ politika attivi tas-suq tax-xogħol u servizzi personalizzati li jimmiraw lejn ir-riintegrazzjoni rapida tal-benefiċjarji f’impjieg deċenti u sostenibbli fi ħdan jew barra s-settur tal-attività inizjali tagħhom, filwaqt li jħejjuhom għal ekonomija Ewropea aktar ekoloġika u aktar diġitali;</w:t>
      </w:r>
    </w:p>
    <w:p w14:paraId="21D225AD" w14:textId="4B4186C6" w:rsidR="005C7349" w:rsidRPr="00B370F4" w:rsidRDefault="005C7349" w:rsidP="005C7349">
      <w:pPr>
        <w:pStyle w:val="NormalHanging12a"/>
      </w:pPr>
      <w:r w:rsidRPr="00B370F4">
        <w:t>J.</w:t>
      </w:r>
      <w:r w:rsidRPr="00B370F4">
        <w:tab/>
        <w:t>billi l-Fond ma jridx jaqbeż ammont annwali massimu ta’ EUR 30 miljun (prezzijiet tal-2018), kif stabbilit fl-Artikolu 8 tar-Regolament (UE, Euratom) 2020/2093 kif emendat</w:t>
      </w:r>
      <w:r w:rsidR="00A727E7">
        <w:t xml:space="preserve"> mir-Rego</w:t>
      </w:r>
      <w:r w:rsidR="002441A6">
        <w:t>la</w:t>
      </w:r>
      <w:r w:rsidR="00A727E7">
        <w:t>ment</w:t>
      </w:r>
      <w:r w:rsidRPr="00B370F4">
        <w:t xml:space="preserve"> (UE, Euratom) 2024/765; </w:t>
      </w:r>
    </w:p>
    <w:p w14:paraId="15FC14EC" w14:textId="77777777" w:rsidR="005C7349" w:rsidRPr="00B370F4" w:rsidRDefault="005C7349" w:rsidP="005C7349">
      <w:pPr>
        <w:pStyle w:val="NormalHanging12a"/>
      </w:pPr>
      <w:r w:rsidRPr="00B370F4">
        <w:t>1.</w:t>
      </w:r>
      <w:r w:rsidRPr="00B370F4">
        <w:tab/>
        <w:t>Jaqbel mal-Kummissjoni li l-kundizzjonijiet stabbiliti fl-Artikolu 4(2), il-punt (a), tar-Regolament dwar il-FEG huma ssodisfati u li l-Iżvezja hija intitolata għal kontribuzzjoni finanzjarja ta’ EUR 8 526 322 skont dak ir-Regolament, somma li tirrappreżenta 60 % tal-ispiża totali ta’ EUR 14 210 537, liema spiża tinkludi n-nefqa għal servizzi personalizzati ta’ EUR 13 663 977 u n-nefqa għal attivitajiet ta’ tħejjija, ta’ ġestjoni, ta’ informazzjoni u ta’ pubbliċità, ta’ kontroll u ta’ rapportar ta’ EUR 546 560;</w:t>
      </w:r>
    </w:p>
    <w:p w14:paraId="02BB689F" w14:textId="2BDC2F80" w:rsidR="005C7349" w:rsidRPr="00B370F4" w:rsidRDefault="005C7349" w:rsidP="005C7349">
      <w:pPr>
        <w:pStyle w:val="NormalHanging12a"/>
      </w:pPr>
      <w:r w:rsidRPr="00B370F4">
        <w:t xml:space="preserve">2. </w:t>
      </w:r>
      <w:r w:rsidRPr="00B370F4">
        <w:tab/>
        <w:t>Jinnota li l-awtoritajiet Żvediżi ppreżentaw l-applikazzjoni fis-16 ta’ Ġunju 2025, u li, wara l-għoti ta’ informazzjoni addizzjonali mill-Iżvezja, il-Kummissjoni ffinalizzat il-valutazzjoni tagħha fit-28 ta’ Ottubru 2025, aktar minn erba’ xhur wara, u l-Parlament ġie notifikat fl-istess ġurnata; jisħaq fuq l-importanza li jitqassar b’mod sinifikanti ż-żmien ta’ kunsiderazzjoni bejn is-sottomissjoni ta’ applikazzjoni għal assistenza mill-FEG u d-deċiżjoni ta’ finanzjament, sabiex jiġi żgurat li l-appoġġ finanzjarju jkun jista’ jiġi mobilizzat mingħajr dewmien; jissottolinja l-ħtieġa li jiġu ssimplifikati u aċċellerati l-proċeduri filwaqt li jiġi ssalvagwardjat bis-sħiħ il-bilanċ istituzzjonali, b’mod partikolari d-drittijiet tal-Parlament bħala awtorità baġitarja;</w:t>
      </w:r>
    </w:p>
    <w:p w14:paraId="6AA948CB" w14:textId="77777777" w:rsidR="005C7349" w:rsidRPr="00B370F4" w:rsidRDefault="005C7349" w:rsidP="005C7349">
      <w:pPr>
        <w:pStyle w:val="NormalHanging12a"/>
      </w:pPr>
      <w:r w:rsidRPr="00B370F4">
        <w:t>3.</w:t>
      </w:r>
      <w:r w:rsidRPr="00B370F4">
        <w:tab/>
        <w:t>Jinnota li l-applikazzjoni hija relatata ma’ 6 486 ħaddiem issensjat affettwati minn avveniment kbir ta’ ristrutturar li jikkonċerna lil Northvolt, li wassal għall-akbar falliment fl-Iżvezja fi żminijiet moderni; jinnota wkoll li total ta’ 5 800 ħaddiem issensjat se jkunu benefiċjarji fil-mira u huma mistennija jipparteċipaw fil-miżuri;</w:t>
      </w:r>
    </w:p>
    <w:p w14:paraId="7B5A73F4" w14:textId="3917059C" w:rsidR="005C7349" w:rsidRPr="00B370F4" w:rsidRDefault="005C7349" w:rsidP="005C7349">
      <w:pPr>
        <w:pStyle w:val="NormalHanging12a"/>
      </w:pPr>
      <w:r w:rsidRPr="00B370F4">
        <w:t>4.</w:t>
      </w:r>
      <w:r w:rsidRPr="00B370F4">
        <w:tab/>
        <w:t>Jieħu nota li s-sinifikat tas-sensji tal-impjiegi fil-belt ta’ Skellefteå huwa sever u r-rata tal-qgħad laħqet it-8</w:t>
      </w:r>
      <w:r w:rsidR="00A727E7">
        <w:t>,</w:t>
      </w:r>
      <w:r w:rsidRPr="00B370F4">
        <w:t>2 % matul is-sena preċedenti; jieħu nota li l-biċċa l-kbira tal-ħaddiema ssensjati għandhom livelli għoljin ta’ edukazzjoni u għandhom inqas minn 54 sena; b’ħiliet speċjalizzati fil-qasam tal-produzzjoni u l-inġinerija tal-batteriji jisħaq li hija meħtieġa azzjoni rapida biex jiġi evitat it-tnaqqis reġjonali strutturali u jenfasizza l-importanza li jitrawmu impjiegi ta’ kwalità għolja u orjentati lejn il-futur biex tiġi żgurata reżiljenza ekonomika u soċjali fit-tul;</w:t>
      </w:r>
    </w:p>
    <w:p w14:paraId="581F512C" w14:textId="77777777" w:rsidR="005C7349" w:rsidRPr="00B370F4" w:rsidRDefault="005C7349" w:rsidP="005C7349">
      <w:pPr>
        <w:pStyle w:val="NormalHanging12a"/>
        <w:rPr>
          <w:bCs/>
          <w:iCs/>
        </w:rPr>
      </w:pPr>
      <w:r w:rsidRPr="00B370F4">
        <w:lastRenderedPageBreak/>
        <w:t>5.</w:t>
      </w:r>
      <w:r w:rsidRPr="00B370F4">
        <w:tab/>
        <w:t>Jinnota li minn Awwissu 2025, l-istart-up Amerikana Lyten, mexxeja globali fil-batteriji tas-sulfur tal-litju, daħlet fi ftehim vinkolanti biex takkwista l-assi li fadal ta’ Northvolt fl-Iżvezja, fil-Ġermanja u fil-Polonja sa tmiem l-2025, u qed tippjana li timpjega mill-ġdid il-forza tax-xogħol li ngħatat is-sensja filwaqt li tqis il-kapaċità li toffrilhom pożizzjonijiet ekwivalenti fir-reġjun;</w:t>
      </w:r>
      <w:r w:rsidRPr="00B370F4">
        <w:rPr>
          <w:b/>
          <w:i/>
        </w:rPr>
        <w:t xml:space="preserve"> </w:t>
      </w:r>
      <w:r w:rsidRPr="00B370F4">
        <w:t>jissottolinja li l-impjieg mill-ġdid għandu jitqies bħala għażla primarja u li l-ammonti kollha mhux użati għandhom jitħallsu lura lill-Kummissjoni f’każ ta’ akkwiżizzjoni;</w:t>
      </w:r>
    </w:p>
    <w:p w14:paraId="4479F6CD" w14:textId="77777777" w:rsidR="005C7349" w:rsidRPr="00B370F4" w:rsidRDefault="005C7349" w:rsidP="005C7349">
      <w:pPr>
        <w:pStyle w:val="NormalHanging12a"/>
        <w:rPr>
          <w:bCs/>
          <w:iCs/>
        </w:rPr>
      </w:pPr>
      <w:r w:rsidRPr="00B370F4">
        <w:t>6.</w:t>
      </w:r>
      <w:r w:rsidRPr="00B370F4">
        <w:tab/>
        <w:t>Ifakkar li, bi qbil mat-trade unions u s-sħab soċjali, is-servizzi personalizzati li għandhom jiġu pprovduti lill-ħaddiema kollha jikkonsistu fl-azzjonijiet li ġejjin: valutazzjoni fil-fond u ppjanar individwali, attivitajiet ta’ tfittix ta’ impjieg u kkowċjar, appoġġ għall-bidu ta’ negozju proprju u appoġġ għall-investiment, taħriġ fis-suq tax-xogħol, korsijiet ta’ taħriġ, appoġġ speċjali biex wieħed jidħol fis-suq tax-xogħol jew isegwi edukazzjoni, allowances u taħriġ fil-ħiliet diġitali; jisħaq li l-awtoritajiet Żvediżi għandhom jirrikonoxxu l-oriġini u jiżguraw il-viżibbiltà tal-finanzjament tal-Unjoni u jenfasizzaw il-valur miżjud tal-Unjoni tal-intervent, billi jipprovdu informazzjoni koerenti, effettiva u mmirata lejn udjenzi multipli, inkluża informazzjoni mmirata lejn il-benefiċjarji, l-awtoritajiet lokali u reġjonali, is-sħab soċjali, il-media u l-pubbliku;</w:t>
      </w:r>
    </w:p>
    <w:p w14:paraId="15FDECF1" w14:textId="77777777" w:rsidR="005C7349" w:rsidRPr="00B370F4" w:rsidRDefault="005C7349" w:rsidP="005C7349">
      <w:pPr>
        <w:pStyle w:val="NormalHanging12a"/>
        <w:rPr>
          <w:bCs/>
          <w:iCs/>
        </w:rPr>
      </w:pPr>
      <w:r w:rsidRPr="00B370F4">
        <w:t>7.</w:t>
      </w:r>
      <w:r w:rsidRPr="00B370F4">
        <w:tab/>
        <w:t>Jisħaq li l-kwalifiki u l-ħiliet tal-ħaddiema li ngħataw is-sensja jibqgħu kruċjali għal ekonomija Ewropea li tibqa’ valida fil-futur u li twettaq it-tranżizzjoni ekoloġika; iqis għalhekk li l-mobilizzazzjoni tal-FEG jeħtieġ li tiġi inkorporata f’rispons ta’ politika akbar biex jiġi żgurat li l-ħaddiema affettwati jsibu opportunitajiet adegwati f’konformità mal-kwalifiki u l-ħiliet tagħhom;</w:t>
      </w:r>
    </w:p>
    <w:p w14:paraId="4977A48E" w14:textId="77777777" w:rsidR="005C7349" w:rsidRPr="00B370F4" w:rsidRDefault="005C7349" w:rsidP="005C7349">
      <w:pPr>
        <w:pStyle w:val="NormalHanging12a"/>
      </w:pPr>
      <w:r w:rsidRPr="00B370F4">
        <w:t>8.</w:t>
      </w:r>
      <w:r w:rsidRPr="00B370F4">
        <w:tab/>
        <w:t>Jitlob evalwazzjonijiet finali bir-reqqa tal-miżuri implimentati, inkluża informazzjoni ċara dwar kif intużaw il-fondi u jekk intefqux f’konformità mal-pjanijiet approvati, b’mod partikolari f’każijiet ta’ appoġġ finanzjarju dirett bħal appoġġ għall-bidu ta’ negozju u għall-investiment; jitlob ukoll data dwar l-għadd ta’ ħaddiema integrati mill-ġdid b’suċċess fl-impjieg u dawk li lestew miżuri ta’ taħriġ u titjib tal-ħiliet;</w:t>
      </w:r>
    </w:p>
    <w:p w14:paraId="0DF0AE9C" w14:textId="77777777" w:rsidR="005C7349" w:rsidRPr="00B370F4" w:rsidRDefault="005C7349" w:rsidP="005C7349">
      <w:pPr>
        <w:pStyle w:val="NormalHanging12a"/>
      </w:pPr>
      <w:r w:rsidRPr="00B370F4">
        <w:t>9.</w:t>
      </w:r>
      <w:r w:rsidRPr="00B370F4">
        <w:tab/>
        <w:t>Jinnota li l-Iżvezja bdiet tipprovdi kemm servizzi personalizzati lill-benefiċjarji fil-mira kif ukoll iġġarrab nefqa amministrattiva biex timplimenta l-FEG fil-25 ta’ Ottubru 2024 u li l-perjodu ta’ eliġibbiltà għal kontribuzzjoni finanzjarja mill-FEG għalhekk se jkun minn dik id-data sa 24 xahar u sa 31 xahar wara d-data tad-dħul fis-seħħ tad-deċiżjoni ta’ finanzjament, rispettivament;</w:t>
      </w:r>
    </w:p>
    <w:p w14:paraId="65675409" w14:textId="77777777" w:rsidR="005C7349" w:rsidRPr="00B370F4" w:rsidRDefault="005C7349" w:rsidP="005C7349">
      <w:pPr>
        <w:pStyle w:val="NormalHanging12a"/>
      </w:pPr>
      <w:r w:rsidRPr="00B370F4">
        <w:t>10.</w:t>
      </w:r>
      <w:r w:rsidRPr="00B370F4">
        <w:tab/>
        <w:t>Jinnota li l-awtoritajiet Żvediżi pprovdew aċċertament li l-prinċipji tat-trattament ugwali u tan-nondiskriminazzjoni se jiġu rispettati fl-aċċess għall-azzjonijiet proposti u fl-implimentazzjoni tagħhom, u li kwalunkwe finanzjament doppju se jiġi evitat;</w:t>
      </w:r>
    </w:p>
    <w:p w14:paraId="480FD468" w14:textId="77777777" w:rsidR="005C7349" w:rsidRPr="00B370F4" w:rsidRDefault="005C7349" w:rsidP="005C7349">
      <w:pPr>
        <w:pStyle w:val="NormalHanging12a"/>
      </w:pPr>
      <w:r w:rsidRPr="00B370F4">
        <w:t>11.</w:t>
      </w:r>
      <w:r w:rsidRPr="00B370F4">
        <w:tab/>
        <w:t xml:space="preserve">Itenni li l-għajnuna mill-FEG ma tridx tissostitwixxi azzjonijiet li huma r-responsabbiltà tal-kumpaniji, bis-saħħa tal-leġiżlazzjoni nazzjonali jew ta’ ftehimiet kollettivi; </w:t>
      </w:r>
    </w:p>
    <w:p w14:paraId="22546C48" w14:textId="77777777" w:rsidR="005C7349" w:rsidRPr="00B370F4" w:rsidRDefault="005C7349" w:rsidP="005C7349">
      <w:pPr>
        <w:pStyle w:val="NormalHanging12a"/>
      </w:pPr>
      <w:r w:rsidRPr="00B370F4">
        <w:t>12.</w:t>
      </w:r>
      <w:r w:rsidRPr="00B370F4">
        <w:tab/>
        <w:t xml:space="preserve">Jisħaq fuq il-ħtieġa urġenti ta’ sforzi koerenti u kkoordinati tal-Unjoni biex jiġu żgurati l-kompetittività u l-awtonomija strateġika, żviluppati fi sħubija mill-qrib mal-Istati Membri u r-reġjuni, sabiex tiġi ssalvagwardjata l-bażi tal-impjiegi industrijali tal-Ewropa li tibqa’ valida fil-futur u li twieġeb għar-rekwiżiti tal-awtonomija industrijali Ewropea u ssaħħaħ il-pożizzjoni tal-Unjoni f’setturi strateġiċi, bħall-industrija tal-batteriji u tal-fornituri, filwaqt li tavvanza t-tranżizzjoni ekoloġika u diġitali tal-Unjoni; jissottolinja li ekonomija Ewropea robusta, reżiljenti u sostenibbli biss tista’ tipprevjeni </w:t>
      </w:r>
      <w:r w:rsidRPr="00B370F4">
        <w:lastRenderedPageBreak/>
        <w:t>b’mod effettiv is-sensji fuq skala kbira, u b’hekk qabelxejn tnaqqas il-ħtieġa ta’ intervent tal-FEG; jenfasizza l-ħtieġa li jiġu żgurati rikonoxximent u viżibbiltà ċari tal-finanzjament tal-Unjoni biex jiġi enfasizzat il-valur miżjud tiegħu u s-solidarjetà Ewropea inkorporata mill-FEG; jappella għal komunikazzjoni konsistenti u mmirata tajjeb lill-benefiċjarji, lill-awtoritajiet reġjonali u lokali, lis-sħab soċjali, lill-midja, u lill-pubbliku ġenerali; jiddeplora l-fatt li l-industrija tal-batteriji tal-Unjoni tbati minn sussidji li l-gvern Ċiniż jipprovdi lill-produtturi tiegħu li jfixklu l-kompetizzjoni globali;</w:t>
      </w:r>
    </w:p>
    <w:p w14:paraId="1BCAB91C" w14:textId="77777777" w:rsidR="005C7349" w:rsidRPr="00B370F4" w:rsidRDefault="005C7349" w:rsidP="005C7349">
      <w:pPr>
        <w:pStyle w:val="NormalHanging12a"/>
      </w:pPr>
      <w:r w:rsidRPr="00B370F4">
        <w:t>13.</w:t>
      </w:r>
      <w:r w:rsidRPr="00B370F4">
        <w:tab/>
        <w:t>Japprova d-deċiżjoni annessa ma’ din ir-riżoluzzjoni;</w:t>
      </w:r>
    </w:p>
    <w:p w14:paraId="4B2C2E6E" w14:textId="77777777" w:rsidR="005C7349" w:rsidRPr="00B370F4" w:rsidRDefault="005C7349" w:rsidP="005C7349">
      <w:pPr>
        <w:pStyle w:val="NormalHanging12a"/>
      </w:pPr>
      <w:r w:rsidRPr="00B370F4">
        <w:t>14.</w:t>
      </w:r>
      <w:r w:rsidRPr="00B370F4">
        <w:tab/>
        <w:t>Jagħti istruzzjonijiet lill-President tiegħu biex tiffirma din id-deċiżjoni flimkien mal-President tal-Kunsill u biex tiżgura li tiġi ppubblikata f’</w:t>
      </w:r>
      <w:r w:rsidRPr="00B370F4">
        <w:rPr>
          <w:i/>
        </w:rPr>
        <w:t>Il-Ġurnal Uffiċjali tal-Unjoni Ewropea</w:t>
      </w:r>
      <w:r w:rsidRPr="00B370F4">
        <w:t>;</w:t>
      </w:r>
    </w:p>
    <w:p w14:paraId="78FE01D5" w14:textId="77777777" w:rsidR="005C7349" w:rsidRPr="00B370F4" w:rsidRDefault="005C7349" w:rsidP="005C7349">
      <w:pPr>
        <w:pStyle w:val="NormalHanging12a"/>
      </w:pPr>
      <w:r w:rsidRPr="00B370F4">
        <w:t>15.</w:t>
      </w:r>
      <w:r w:rsidRPr="00B370F4">
        <w:tab/>
        <w:t>Jagħti istruzzjonijiet lill-President tiegħu biex tgħaddi din ir-riżoluzzjoni, flimkien mal-anness tagħha, lill-Kunsill u lill-Kummissjoni.</w:t>
      </w:r>
    </w:p>
    <w:p w14:paraId="43993A58" w14:textId="77777777" w:rsidR="005C7349" w:rsidRPr="00B370F4" w:rsidRDefault="005C7349" w:rsidP="005C7349">
      <w:pPr>
        <w:rPr>
          <w:noProof/>
        </w:rPr>
      </w:pPr>
    </w:p>
    <w:p w14:paraId="68602672" w14:textId="77777777" w:rsidR="005C7349" w:rsidRPr="00B370F4" w:rsidRDefault="005C7349" w:rsidP="005C7349">
      <w:pPr>
        <w:pStyle w:val="PageHeading"/>
        <w:rPr>
          <w:noProof/>
        </w:rPr>
        <w:sectPr w:rsidR="005C7349" w:rsidRPr="00B370F4" w:rsidSect="00B370F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FAC9B45" w14:textId="77777777" w:rsidR="001B2480" w:rsidRPr="001B2480" w:rsidRDefault="005C7349" w:rsidP="005C7349">
      <w:pPr>
        <w:pStyle w:val="PageHeading"/>
        <w:rPr>
          <w:rFonts w:ascii="Times New Roman" w:hAnsi="Times New Roman" w:cs="Times New Roman"/>
        </w:rPr>
      </w:pPr>
      <w:bookmarkStart w:id="6" w:name="_Toc214624230"/>
      <w:bookmarkStart w:id="7" w:name="_Toc215741620"/>
      <w:r w:rsidRPr="001B2480">
        <w:rPr>
          <w:rFonts w:ascii="Times New Roman" w:hAnsi="Times New Roman" w:cs="Times New Roman"/>
        </w:rPr>
        <w:lastRenderedPageBreak/>
        <w:t>ANNESS</w:t>
      </w:r>
    </w:p>
    <w:p w14:paraId="4BAFD382" w14:textId="5375222B" w:rsidR="005C7349" w:rsidRPr="001B2480" w:rsidRDefault="005C7349" w:rsidP="005C7349">
      <w:pPr>
        <w:pStyle w:val="PageHeading"/>
        <w:rPr>
          <w:rFonts w:ascii="Times New Roman" w:hAnsi="Times New Roman" w:cs="Times New Roman"/>
          <w:noProof/>
        </w:rPr>
      </w:pPr>
      <w:r w:rsidRPr="001B2480">
        <w:rPr>
          <w:rFonts w:ascii="Times New Roman" w:hAnsi="Times New Roman" w:cs="Times New Roman"/>
        </w:rPr>
        <w:t>DEĊIŻJONI TAL-PARLAMENT EWROPEW U TAL-KUNSILL</w:t>
      </w:r>
      <w:bookmarkEnd w:id="6"/>
      <w:bookmarkEnd w:id="7"/>
    </w:p>
    <w:p w14:paraId="3351F1E0" w14:textId="77777777" w:rsidR="005C7349" w:rsidRDefault="005C7349" w:rsidP="005C7349">
      <w:pPr>
        <w:pStyle w:val="NormalBold24a"/>
      </w:pPr>
      <w:r w:rsidRPr="00B370F4">
        <w:t>dwar il-mobilizzazzjoni tal-Fond Ewropew ta’ Aġġustament għall-Globalizzazzjoni għall-Ħaddiema Ssensjati wara applikazzjoni mill-Iżvezja – EGF/2025/003 SE/Northvolt</w:t>
      </w:r>
    </w:p>
    <w:p w14:paraId="4F4D2983" w14:textId="60F9E5D0" w:rsidR="00CA6951" w:rsidRPr="00CA6951" w:rsidRDefault="00CA6951" w:rsidP="00CA6951">
      <w:pPr>
        <w:pStyle w:val="Normal24Bold"/>
        <w:rPr>
          <w:b w:val="0"/>
          <w:i/>
          <w:lang w:eastAsia="de-DE"/>
        </w:rPr>
      </w:pPr>
      <w:r w:rsidRPr="00CA6951">
        <w:rPr>
          <w:b w:val="0"/>
          <w:i/>
          <w:lang w:eastAsia="de-DE"/>
        </w:rPr>
        <w:t>(It-test ta' dan l-anness mhux riprodott hawnhekk billi jikkorrispondi mal-att finali, Deċiżjoni (</w:t>
      </w:r>
      <w:r>
        <w:rPr>
          <w:b w:val="0"/>
          <w:i/>
          <w:lang w:eastAsia="de-DE"/>
        </w:rPr>
        <w:t xml:space="preserve">UE) </w:t>
      </w:r>
      <w:r w:rsidRPr="00CA6951">
        <w:rPr>
          <w:b w:val="0"/>
          <w:i/>
          <w:lang w:eastAsia="de-DE"/>
        </w:rPr>
        <w:t>2025/2661.)</w:t>
      </w:r>
    </w:p>
    <w:p w14:paraId="1AB5E634" w14:textId="77777777" w:rsidR="00CA6951" w:rsidRPr="00CA6951" w:rsidRDefault="00CA6951" w:rsidP="005C7349">
      <w:pPr>
        <w:pStyle w:val="NormalBold24a"/>
      </w:pPr>
    </w:p>
    <w:sectPr w:rsidR="00CA6951" w:rsidRPr="00CA6951" w:rsidSect="00B370F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CFC36" w14:textId="77777777" w:rsidR="00682532" w:rsidRPr="00B370F4" w:rsidRDefault="00682532">
      <w:r w:rsidRPr="00B370F4">
        <w:separator/>
      </w:r>
    </w:p>
  </w:endnote>
  <w:endnote w:type="continuationSeparator" w:id="0">
    <w:p w14:paraId="3CCD3C65" w14:textId="77777777" w:rsidR="00682532" w:rsidRPr="00B370F4" w:rsidRDefault="00682532">
      <w:r w:rsidRPr="00B370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FECD2" w14:textId="77777777" w:rsidR="005C7349" w:rsidRPr="00B370F4" w:rsidRDefault="005C7349" w:rsidP="00D6483E">
    <w:pPr>
      <w:pStyle w:val="EPFooter"/>
    </w:pPr>
    <w:r w:rsidRPr="00B370F4">
      <w:t>PE</w:t>
    </w:r>
    <w:r w:rsidRPr="00B370F4">
      <w:rPr>
        <w:rStyle w:val="HideTWBExt"/>
      </w:rPr>
      <w:t>&lt;NoPE&gt;</w:t>
    </w:r>
    <w:r w:rsidRPr="00B370F4">
      <w:t>779.349</w:t>
    </w:r>
    <w:r w:rsidRPr="00B370F4">
      <w:rPr>
        <w:rStyle w:val="HideTWBExt"/>
      </w:rPr>
      <w:t>&lt;/NoPE&gt;&lt;Version&gt;</w:t>
    </w:r>
    <w:r w:rsidRPr="00B370F4">
      <w:t>v03-00</w:t>
    </w:r>
    <w:r w:rsidRPr="00B370F4">
      <w:rPr>
        <w:rStyle w:val="HideTWBExt"/>
      </w:rPr>
      <w:t>&lt;/Version&gt;</w:t>
    </w:r>
    <w:r w:rsidRPr="00B370F4">
      <w:tab/>
    </w:r>
    <w:r w:rsidRPr="00B370F4">
      <w:fldChar w:fldCharType="begin"/>
    </w:r>
    <w:r w:rsidRPr="00B370F4">
      <w:instrText xml:space="preserve"> PAGE  \* MERGEFORMAT </w:instrText>
    </w:r>
    <w:r w:rsidRPr="00B370F4">
      <w:fldChar w:fldCharType="separate"/>
    </w:r>
    <w:r w:rsidRPr="00B370F4">
      <w:rPr>
        <w:noProof/>
      </w:rPr>
      <w:t>1</w:t>
    </w:r>
    <w:r w:rsidRPr="00B370F4">
      <w:fldChar w:fldCharType="end"/>
    </w:r>
    <w:r w:rsidRPr="00B370F4">
      <w:t>/</w:t>
    </w:r>
    <w:r w:rsidR="001B2480">
      <w:fldChar w:fldCharType="begin"/>
    </w:r>
    <w:r w:rsidR="001B2480">
      <w:instrText xml:space="preserve"> NUMPAGES  \* MERGEFORMAT </w:instrText>
    </w:r>
    <w:r w:rsidR="001B2480">
      <w:fldChar w:fldCharType="separate"/>
    </w:r>
    <w:r w:rsidRPr="00B370F4">
      <w:rPr>
        <w:noProof/>
      </w:rPr>
      <w:t>1</w:t>
    </w:r>
    <w:r w:rsidR="001B2480">
      <w:rPr>
        <w:noProof/>
      </w:rPr>
      <w:fldChar w:fldCharType="end"/>
    </w:r>
    <w:r w:rsidRPr="00B370F4">
      <w:tab/>
    </w:r>
    <w:r w:rsidRPr="00B370F4">
      <w:rPr>
        <w:rStyle w:val="HideTWBExt"/>
      </w:rPr>
      <w:t>&lt;PathFdR&gt;</w:t>
    </w:r>
    <w:r w:rsidRPr="00B370F4">
      <w:t>RR\1332680MT.docx</w:t>
    </w:r>
    <w:r w:rsidRPr="00B370F4">
      <w:rPr>
        <w:rStyle w:val="HideTWBExt"/>
      </w:rPr>
      <w:t>&lt;/PathFdR&gt;</w:t>
    </w:r>
  </w:p>
  <w:p w14:paraId="3FAD05E3" w14:textId="77777777" w:rsidR="005C7349" w:rsidRPr="00B370F4" w:rsidRDefault="005C7349" w:rsidP="00D6483E">
    <w:pPr>
      <w:pStyle w:val="EPFooter2"/>
    </w:pPr>
    <w:r w:rsidRPr="00B370F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0D405" w14:textId="15243FA6" w:rsidR="005C7349" w:rsidRPr="00B370F4" w:rsidRDefault="005C7349" w:rsidP="00D6483E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30EF1" w14:textId="77777777" w:rsidR="005C7349" w:rsidRPr="00B370F4" w:rsidRDefault="005C7349" w:rsidP="00D6483E">
    <w:pPr>
      <w:pStyle w:val="EPFooter"/>
    </w:pPr>
    <w:r w:rsidRPr="00B370F4">
      <w:rPr>
        <w:rStyle w:val="HideTWBExt"/>
      </w:rPr>
      <w:t>&lt;PathFdR&gt;</w:t>
    </w:r>
    <w:r w:rsidRPr="00B370F4">
      <w:t>RR\1332680MT.docx</w:t>
    </w:r>
    <w:r w:rsidRPr="00B370F4">
      <w:rPr>
        <w:rStyle w:val="HideTWBExt"/>
      </w:rPr>
      <w:t>&lt;/PathFdR&gt;</w:t>
    </w:r>
    <w:r w:rsidRPr="00B370F4">
      <w:tab/>
    </w:r>
    <w:r w:rsidRPr="00B370F4">
      <w:tab/>
      <w:t>PE</w:t>
    </w:r>
    <w:r w:rsidRPr="00B370F4">
      <w:rPr>
        <w:rStyle w:val="HideTWBExt"/>
      </w:rPr>
      <w:t>&lt;NoPE&gt;</w:t>
    </w:r>
    <w:r w:rsidRPr="00B370F4">
      <w:t>779.349</w:t>
    </w:r>
    <w:r w:rsidRPr="00B370F4">
      <w:rPr>
        <w:rStyle w:val="HideTWBExt"/>
      </w:rPr>
      <w:t>&lt;/NoPE&gt;&lt;Version&gt;</w:t>
    </w:r>
    <w:r w:rsidRPr="00B370F4">
      <w:t>v03-00</w:t>
    </w:r>
    <w:r w:rsidRPr="00B370F4">
      <w:rPr>
        <w:rStyle w:val="HideTWBExt"/>
      </w:rPr>
      <w:t>&lt;/Version&gt;</w:t>
    </w:r>
  </w:p>
  <w:p w14:paraId="36C10453" w14:textId="77777777" w:rsidR="005C7349" w:rsidRPr="00B370F4" w:rsidRDefault="005C7349" w:rsidP="00D6483E">
    <w:pPr>
      <w:pStyle w:val="EPFooter2"/>
    </w:pPr>
    <w:r w:rsidRPr="00B370F4">
      <w:t>MT</w:t>
    </w:r>
    <w:r w:rsidRPr="00B370F4">
      <w:tab/>
    </w:r>
    <w:r w:rsidRPr="00B370F4">
      <w:rPr>
        <w:b w:val="0"/>
        <w:i/>
        <w:color w:val="C0C0C0"/>
        <w:sz w:val="22"/>
      </w:rPr>
      <w:t>Magħquda fid-diversità</w:t>
    </w:r>
    <w:r w:rsidRPr="00B370F4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B1DE9" w14:textId="77777777" w:rsidR="00064002" w:rsidRPr="00B370F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6FB07" w14:textId="77777777" w:rsidR="00064002" w:rsidRPr="00B370F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CA28" w14:textId="77777777" w:rsidR="00064002" w:rsidRPr="00B370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3987D" w14:textId="77777777" w:rsidR="00682532" w:rsidRPr="00B370F4" w:rsidRDefault="00682532">
      <w:r w:rsidRPr="00B370F4">
        <w:separator/>
      </w:r>
    </w:p>
  </w:footnote>
  <w:footnote w:type="continuationSeparator" w:id="0">
    <w:p w14:paraId="1DBDCD2D" w14:textId="77777777" w:rsidR="00682532" w:rsidRPr="00B370F4" w:rsidRDefault="00682532">
      <w:r w:rsidRPr="00B370F4">
        <w:continuationSeparator/>
      </w:r>
    </w:p>
  </w:footnote>
  <w:footnote w:id="1">
    <w:p w14:paraId="28906C80" w14:textId="68E0A539" w:rsidR="005C7349" w:rsidRPr="00B370F4" w:rsidRDefault="005C7349" w:rsidP="00B370F4">
      <w:pPr>
        <w:pStyle w:val="FootnoteText"/>
        <w:ind w:left="567" w:hanging="567"/>
        <w:rPr>
          <w:sz w:val="24"/>
          <w:lang w:val="mt-MT"/>
        </w:rPr>
      </w:pPr>
      <w:r w:rsidRPr="00B370F4">
        <w:rPr>
          <w:rStyle w:val="FootnoteReference"/>
          <w:sz w:val="24"/>
          <w:lang w:val="mt-MT"/>
        </w:rPr>
        <w:footnoteRef/>
      </w:r>
      <w:r w:rsidR="00B370F4" w:rsidRPr="00B370F4">
        <w:rPr>
          <w:sz w:val="24"/>
          <w:lang w:val="mt-MT"/>
        </w:rPr>
        <w:t xml:space="preserve"> </w:t>
      </w:r>
      <w:r w:rsidR="00B370F4" w:rsidRPr="00B370F4">
        <w:rPr>
          <w:sz w:val="24"/>
          <w:lang w:val="mt-MT"/>
        </w:rPr>
        <w:tab/>
      </w:r>
      <w:r w:rsidRPr="00B370F4">
        <w:rPr>
          <w:sz w:val="24"/>
          <w:lang w:val="mt-MT"/>
        </w:rPr>
        <w:t xml:space="preserve">ĠU L 153, 3.5.2021, p. 48, ELI: </w:t>
      </w:r>
      <w:hyperlink r:id="rId1" w:history="1">
        <w:r w:rsidRPr="00B370F4">
          <w:rPr>
            <w:rStyle w:val="Hyperlink"/>
            <w:sz w:val="24"/>
            <w:lang w:val="mt-MT"/>
          </w:rPr>
          <w:t>http://data.europa.eu/eli/reg/2021/691/oj</w:t>
        </w:r>
      </w:hyperlink>
      <w:r w:rsidRPr="00B370F4">
        <w:rPr>
          <w:sz w:val="24"/>
          <w:lang w:val="mt-MT"/>
        </w:rPr>
        <w:t>.</w:t>
      </w:r>
    </w:p>
  </w:footnote>
  <w:footnote w:id="2">
    <w:p w14:paraId="479F373A" w14:textId="6E4D525F" w:rsidR="005C7349" w:rsidRPr="00B370F4" w:rsidRDefault="005C7349" w:rsidP="00B370F4">
      <w:pPr>
        <w:pStyle w:val="FootnoteText"/>
        <w:ind w:left="567" w:hanging="567"/>
        <w:rPr>
          <w:sz w:val="24"/>
          <w:lang w:val="mt-MT"/>
        </w:rPr>
      </w:pPr>
      <w:r w:rsidRPr="00B370F4">
        <w:rPr>
          <w:rStyle w:val="FootnoteReference"/>
          <w:sz w:val="24"/>
          <w:lang w:val="mt-MT"/>
        </w:rPr>
        <w:footnoteRef/>
      </w:r>
      <w:r w:rsidR="00B370F4" w:rsidRPr="00B370F4">
        <w:rPr>
          <w:sz w:val="24"/>
          <w:lang w:val="mt-MT"/>
        </w:rPr>
        <w:t xml:space="preserve"> </w:t>
      </w:r>
      <w:r w:rsidR="00B370F4" w:rsidRPr="00B370F4">
        <w:rPr>
          <w:sz w:val="24"/>
          <w:lang w:val="mt-MT"/>
        </w:rPr>
        <w:tab/>
      </w:r>
      <w:r w:rsidRPr="00B370F4">
        <w:rPr>
          <w:sz w:val="24"/>
          <w:lang w:val="mt-MT"/>
        </w:rPr>
        <w:t xml:space="preserve">ĠU L 433 I, 22.12.2020, p. 11, ELI: </w:t>
      </w:r>
      <w:hyperlink r:id="rId2" w:history="1">
        <w:r w:rsidRPr="00B370F4">
          <w:rPr>
            <w:rStyle w:val="Hyperlink"/>
            <w:sz w:val="24"/>
            <w:lang w:val="mt-MT"/>
          </w:rPr>
          <w:t>http://data.europa.eu/eli/reg/2020/2093/oj</w:t>
        </w:r>
      </w:hyperlink>
      <w:r w:rsidRPr="00B370F4">
        <w:rPr>
          <w:sz w:val="24"/>
          <w:lang w:val="mt-MT"/>
        </w:rPr>
        <w:t>.</w:t>
      </w:r>
    </w:p>
  </w:footnote>
  <w:footnote w:id="3">
    <w:p w14:paraId="421685E9" w14:textId="59ED11FD" w:rsidR="005C7349" w:rsidRPr="00B370F4" w:rsidRDefault="005C7349" w:rsidP="00B370F4">
      <w:pPr>
        <w:pStyle w:val="FootnoteText"/>
        <w:ind w:left="567" w:hanging="567"/>
        <w:rPr>
          <w:sz w:val="24"/>
          <w:lang w:val="mt-MT"/>
        </w:rPr>
      </w:pPr>
      <w:r w:rsidRPr="00B370F4">
        <w:rPr>
          <w:rStyle w:val="FootnoteReference"/>
          <w:sz w:val="24"/>
          <w:lang w:val="mt-MT"/>
        </w:rPr>
        <w:footnoteRef/>
      </w:r>
      <w:r w:rsidR="00B370F4" w:rsidRPr="00B370F4">
        <w:rPr>
          <w:sz w:val="24"/>
          <w:shd w:val="clear" w:color="auto" w:fill="FFFFFF"/>
          <w:lang w:val="mt-MT"/>
        </w:rPr>
        <w:t xml:space="preserve"> </w:t>
      </w:r>
      <w:r w:rsidR="00B370F4" w:rsidRPr="00B370F4">
        <w:rPr>
          <w:sz w:val="24"/>
          <w:shd w:val="clear" w:color="auto" w:fill="FFFFFF"/>
          <w:lang w:val="mt-MT"/>
        </w:rPr>
        <w:tab/>
      </w:r>
      <w:r w:rsidRPr="00B370F4">
        <w:rPr>
          <w:sz w:val="24"/>
          <w:shd w:val="clear" w:color="auto" w:fill="FFFFFF"/>
          <w:lang w:val="mt-MT"/>
        </w:rPr>
        <w:t>Ir-Regolament tal-Kunsill (UE, Euratom) 2024/765 tad-29 ta’ Frar 2024 li jemenda r-Regolament (UE, Euratom) 2020/2093 li jistabbilixxi l-qafas finanzjarju pluriennali għas-snin mill-2021 sal-2027 (ĠU L, 2024/765, 29.2.2024, ELI:</w:t>
      </w:r>
      <w:r w:rsidRPr="00B370F4">
        <w:rPr>
          <w:color w:val="333333"/>
          <w:sz w:val="24"/>
          <w:shd w:val="clear" w:color="auto" w:fill="FFFFFF"/>
          <w:lang w:val="mt-MT"/>
        </w:rPr>
        <w:t xml:space="preserve"> </w:t>
      </w:r>
      <w:hyperlink r:id="rId3" w:history="1">
        <w:r w:rsidRPr="00B370F4">
          <w:rPr>
            <w:rStyle w:val="Hyperlink"/>
            <w:sz w:val="24"/>
            <w:shd w:val="clear" w:color="auto" w:fill="FFFFFF"/>
            <w:lang w:val="mt-MT"/>
          </w:rPr>
          <w:t>http://data.europa.eu/eli/reg/2024/765/oj</w:t>
        </w:r>
      </w:hyperlink>
      <w:r w:rsidRPr="00B370F4">
        <w:rPr>
          <w:i/>
          <w:color w:val="333333"/>
          <w:sz w:val="24"/>
          <w:shd w:val="clear" w:color="auto" w:fill="FFFFFF"/>
          <w:lang w:val="mt-MT"/>
        </w:rPr>
        <w:t>).</w:t>
      </w:r>
    </w:p>
  </w:footnote>
  <w:footnote w:id="4">
    <w:p w14:paraId="751C0D50" w14:textId="585243DB" w:rsidR="005C7349" w:rsidRPr="00B370F4" w:rsidRDefault="005C7349" w:rsidP="00B370F4">
      <w:pPr>
        <w:pStyle w:val="FootnoteText"/>
        <w:ind w:left="567" w:hanging="567"/>
        <w:rPr>
          <w:sz w:val="24"/>
          <w:lang w:val="mt-MT"/>
        </w:rPr>
      </w:pPr>
      <w:r w:rsidRPr="00B370F4">
        <w:rPr>
          <w:rStyle w:val="FootnoteReference"/>
          <w:sz w:val="24"/>
          <w:lang w:val="mt-MT"/>
        </w:rPr>
        <w:footnoteRef/>
      </w:r>
      <w:r w:rsidR="00B370F4" w:rsidRPr="00B370F4">
        <w:rPr>
          <w:sz w:val="24"/>
          <w:lang w:val="mt-MT"/>
        </w:rPr>
        <w:t xml:space="preserve"> </w:t>
      </w:r>
      <w:r w:rsidR="00B370F4" w:rsidRPr="00B370F4">
        <w:rPr>
          <w:sz w:val="24"/>
          <w:lang w:val="mt-MT"/>
        </w:rPr>
        <w:tab/>
      </w:r>
      <w:r w:rsidRPr="00B370F4">
        <w:rPr>
          <w:sz w:val="24"/>
          <w:lang w:val="mt-MT"/>
        </w:rPr>
        <w:t xml:space="preserve">ĠU L 433 I, 22.12.2020, p. 28 ELI: </w:t>
      </w:r>
      <w:hyperlink r:id="rId4" w:history="1">
        <w:r w:rsidRPr="00B370F4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B370F4">
        <w:rPr>
          <w:sz w:val="24"/>
          <w:lang w:val="mt-MT"/>
        </w:rPr>
        <w:t>.</w:t>
      </w:r>
    </w:p>
  </w:footnote>
  <w:footnote w:id="5">
    <w:p w14:paraId="5037B5D1" w14:textId="55B7F6FB" w:rsidR="005C7349" w:rsidRPr="00B370F4" w:rsidRDefault="005C7349" w:rsidP="00B370F4">
      <w:pPr>
        <w:pStyle w:val="FootnoteText"/>
        <w:ind w:left="567" w:hanging="567"/>
        <w:rPr>
          <w:sz w:val="24"/>
          <w:lang w:val="mt-MT"/>
        </w:rPr>
      </w:pPr>
      <w:r w:rsidRPr="00B370F4">
        <w:rPr>
          <w:rStyle w:val="FootnoteReference"/>
          <w:sz w:val="24"/>
          <w:lang w:val="mt-MT"/>
        </w:rPr>
        <w:footnoteRef/>
      </w:r>
      <w:r w:rsidR="00B370F4" w:rsidRPr="00B370F4">
        <w:rPr>
          <w:sz w:val="24"/>
          <w:lang w:val="mt-MT"/>
        </w:rPr>
        <w:t xml:space="preserve"> </w:t>
      </w:r>
      <w:r w:rsidR="00B370F4" w:rsidRPr="00B370F4">
        <w:rPr>
          <w:sz w:val="24"/>
          <w:lang w:val="mt-MT"/>
        </w:rPr>
        <w:tab/>
      </w:r>
      <w:r w:rsidRPr="00B370F4">
        <w:rPr>
          <w:sz w:val="24"/>
          <w:lang w:val="mt-MT"/>
        </w:rPr>
        <w:t>Fis-sens tal-Artikolu 3 tar-Regolament dwar il-FEG.</w:t>
      </w:r>
    </w:p>
  </w:footnote>
  <w:footnote w:id="6">
    <w:p w14:paraId="0446E13B" w14:textId="5216CA0B" w:rsidR="005C7349" w:rsidRPr="00B370F4" w:rsidRDefault="005C7349" w:rsidP="00B370F4">
      <w:pPr>
        <w:pStyle w:val="FootnoteText"/>
        <w:ind w:left="567" w:hanging="567"/>
        <w:rPr>
          <w:sz w:val="24"/>
          <w:lang w:val="mt-MT"/>
        </w:rPr>
      </w:pPr>
      <w:r w:rsidRPr="00B370F4">
        <w:rPr>
          <w:rStyle w:val="FootnoteReference"/>
          <w:sz w:val="24"/>
          <w:lang w:val="mt-MT"/>
        </w:rPr>
        <w:footnoteRef/>
      </w:r>
      <w:r w:rsidR="00B370F4" w:rsidRPr="00B370F4">
        <w:rPr>
          <w:sz w:val="24"/>
          <w:lang w:val="mt-MT"/>
        </w:rPr>
        <w:t xml:space="preserve"> </w:t>
      </w:r>
      <w:r w:rsidR="00B370F4" w:rsidRPr="00B370F4">
        <w:rPr>
          <w:sz w:val="24"/>
          <w:lang w:val="mt-MT"/>
        </w:rPr>
        <w:tab/>
      </w:r>
      <w:r w:rsidR="00A727E7">
        <w:rPr>
          <w:sz w:val="24"/>
          <w:lang w:val="mt-MT"/>
        </w:rPr>
        <w:t>I</w:t>
      </w:r>
      <w:r w:rsidRPr="00B370F4">
        <w:rPr>
          <w:sz w:val="24"/>
          <w:lang w:val="mt-MT"/>
        </w:rPr>
        <w:t>nklużi l-impriżi konġunti ta’ Northvolt u Volvo Cars li għalihom, fil-bidu tas-sena 2025, Volvo Cars akkwistat l-ishma kollha sabiex tkun l-uniku proprjetarju ta’ daw</w:t>
      </w:r>
      <w:r w:rsidR="00A727E7">
        <w:rPr>
          <w:sz w:val="24"/>
          <w:lang w:val="mt-MT"/>
        </w:rPr>
        <w:t>k</w:t>
      </w:r>
      <w:r w:rsidRPr="00B370F4">
        <w:rPr>
          <w:sz w:val="24"/>
          <w:lang w:val="mt-MT"/>
        </w:rPr>
        <w:t xml:space="preserve"> il-kumpanniji.</w:t>
      </w:r>
    </w:p>
  </w:footnote>
  <w:footnote w:id="7">
    <w:p w14:paraId="2E3B40CB" w14:textId="472F31EA" w:rsidR="005C7349" w:rsidRPr="00B370F4" w:rsidRDefault="005C7349" w:rsidP="00B370F4">
      <w:pPr>
        <w:pStyle w:val="FootnoteText"/>
        <w:ind w:left="567" w:hanging="567"/>
        <w:rPr>
          <w:sz w:val="24"/>
          <w:lang w:val="mt-MT"/>
        </w:rPr>
      </w:pPr>
      <w:r w:rsidRPr="00B370F4">
        <w:rPr>
          <w:rStyle w:val="FootnoteReference"/>
          <w:sz w:val="24"/>
          <w:lang w:val="mt-MT"/>
        </w:rPr>
        <w:footnoteRef/>
      </w:r>
      <w:r w:rsidR="00B370F4" w:rsidRPr="00B370F4">
        <w:rPr>
          <w:sz w:val="24"/>
          <w:lang w:val="mt-MT"/>
        </w:rPr>
        <w:t xml:space="preserve"> </w:t>
      </w:r>
      <w:r w:rsidR="00B370F4" w:rsidRPr="00B370F4">
        <w:rPr>
          <w:sz w:val="24"/>
          <w:lang w:val="mt-MT"/>
        </w:rPr>
        <w:tab/>
      </w:r>
      <w:r w:rsidRPr="00B370F4">
        <w:rPr>
          <w:sz w:val="24"/>
          <w:lang w:val="mt-MT"/>
        </w:rPr>
        <w:t xml:space="preserve">Programm ta’ ħidma tal-Kummissjoni 2026, Il-Mument tal-Indipendenza tal-Ewropa </w:t>
      </w:r>
      <w:hyperlink r:id="rId5" w:history="1">
        <w:r w:rsidRPr="00B370F4">
          <w:rPr>
            <w:rStyle w:val="Hyperlink"/>
            <w:sz w:val="24"/>
            <w:lang w:val="mt-MT"/>
          </w:rPr>
          <w:t>https://commission.europa.eu/strategy-and-policy/strategy-documents/commission-work-programme/commission-work-programme-2026_mt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40F54" w14:textId="77777777" w:rsidR="005C7349" w:rsidRPr="00B370F4" w:rsidRDefault="005C73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74F2B" w14:textId="77777777" w:rsidR="005C7349" w:rsidRPr="00B370F4" w:rsidRDefault="005C73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5EFBD" w14:textId="77777777" w:rsidR="005C7349" w:rsidRPr="00B370F4" w:rsidRDefault="005C734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7DF38" w14:textId="77777777" w:rsidR="00064002" w:rsidRPr="00B370F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35FC5" w14:textId="77777777" w:rsidR="00064002" w:rsidRPr="00B370F4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09F16" w14:textId="77777777" w:rsidR="00064002" w:rsidRPr="00B370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6702837">
    <w:abstractNumId w:val="9"/>
  </w:num>
  <w:num w:numId="2" w16cid:durableId="834298033">
    <w:abstractNumId w:val="9"/>
  </w:num>
  <w:num w:numId="3" w16cid:durableId="129053800">
    <w:abstractNumId w:val="7"/>
  </w:num>
  <w:num w:numId="4" w16cid:durableId="617487133">
    <w:abstractNumId w:val="7"/>
  </w:num>
  <w:num w:numId="5" w16cid:durableId="234438259">
    <w:abstractNumId w:val="6"/>
  </w:num>
  <w:num w:numId="6" w16cid:durableId="158010000">
    <w:abstractNumId w:val="6"/>
  </w:num>
  <w:num w:numId="7" w16cid:durableId="1505823919">
    <w:abstractNumId w:val="5"/>
  </w:num>
  <w:num w:numId="8" w16cid:durableId="1148208576">
    <w:abstractNumId w:val="5"/>
  </w:num>
  <w:num w:numId="9" w16cid:durableId="163781720">
    <w:abstractNumId w:val="4"/>
  </w:num>
  <w:num w:numId="10" w16cid:durableId="903222583">
    <w:abstractNumId w:val="4"/>
  </w:num>
  <w:num w:numId="11" w16cid:durableId="1940941314">
    <w:abstractNumId w:val="8"/>
  </w:num>
  <w:num w:numId="12" w16cid:durableId="374619922">
    <w:abstractNumId w:val="8"/>
  </w:num>
  <w:num w:numId="13" w16cid:durableId="1398893096">
    <w:abstractNumId w:val="3"/>
  </w:num>
  <w:num w:numId="14" w16cid:durableId="160700059">
    <w:abstractNumId w:val="3"/>
  </w:num>
  <w:num w:numId="15" w16cid:durableId="369955722">
    <w:abstractNumId w:val="2"/>
  </w:num>
  <w:num w:numId="16" w16cid:durableId="1605189049">
    <w:abstractNumId w:val="2"/>
  </w:num>
  <w:num w:numId="17" w16cid:durableId="2062247322">
    <w:abstractNumId w:val="1"/>
  </w:num>
  <w:num w:numId="18" w16cid:durableId="511528472">
    <w:abstractNumId w:val="1"/>
  </w:num>
  <w:num w:numId="19" w16cid:durableId="397552682">
    <w:abstractNumId w:val="0"/>
  </w:num>
  <w:num w:numId="20" w16cid:durableId="216939053">
    <w:abstractNumId w:val="0"/>
  </w:num>
  <w:num w:numId="21" w16cid:durableId="1706784287">
    <w:abstractNumId w:val="9"/>
  </w:num>
  <w:num w:numId="22" w16cid:durableId="2143885734">
    <w:abstractNumId w:val="7"/>
  </w:num>
  <w:num w:numId="23" w16cid:durableId="841631100">
    <w:abstractNumId w:val="6"/>
  </w:num>
  <w:num w:numId="24" w16cid:durableId="391081519">
    <w:abstractNumId w:val="5"/>
  </w:num>
  <w:num w:numId="25" w16cid:durableId="776297153">
    <w:abstractNumId w:val="4"/>
  </w:num>
  <w:num w:numId="26" w16cid:durableId="1531608881">
    <w:abstractNumId w:val="8"/>
  </w:num>
  <w:num w:numId="27" w16cid:durableId="486820809">
    <w:abstractNumId w:val="3"/>
  </w:num>
  <w:num w:numId="28" w16cid:durableId="1040015007">
    <w:abstractNumId w:val="2"/>
  </w:num>
  <w:num w:numId="29" w16cid:durableId="1701128557">
    <w:abstractNumId w:val="1"/>
  </w:num>
  <w:num w:numId="30" w16cid:durableId="1384477152">
    <w:abstractNumId w:val="0"/>
  </w:num>
  <w:num w:numId="31" w16cid:durableId="1758164989">
    <w:abstractNumId w:val="9"/>
  </w:num>
  <w:num w:numId="32" w16cid:durableId="1296452281">
    <w:abstractNumId w:val="7"/>
  </w:num>
  <w:num w:numId="33" w16cid:durableId="209609185">
    <w:abstractNumId w:val="6"/>
  </w:num>
  <w:num w:numId="34" w16cid:durableId="199318297">
    <w:abstractNumId w:val="5"/>
  </w:num>
  <w:num w:numId="35" w16cid:durableId="1295596429">
    <w:abstractNumId w:val="4"/>
  </w:num>
  <w:num w:numId="36" w16cid:durableId="413403040">
    <w:abstractNumId w:val="8"/>
  </w:num>
  <w:num w:numId="37" w16cid:durableId="1115294236">
    <w:abstractNumId w:val="3"/>
  </w:num>
  <w:num w:numId="38" w16cid:durableId="798573216">
    <w:abstractNumId w:val="2"/>
  </w:num>
  <w:num w:numId="39" w16cid:durableId="247465444">
    <w:abstractNumId w:val="1"/>
  </w:num>
  <w:num w:numId="40" w16cid:durableId="1280338609">
    <w:abstractNumId w:val="0"/>
  </w:num>
  <w:num w:numId="41" w16cid:durableId="376318064">
    <w:abstractNumId w:val="10"/>
  </w:num>
  <w:num w:numId="42" w16cid:durableId="2046439497">
    <w:abstractNumId w:val="10"/>
  </w:num>
  <w:num w:numId="43" w16cid:durableId="1140927338">
    <w:abstractNumId w:val="10"/>
  </w:num>
  <w:num w:numId="44" w16cid:durableId="8467542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9/2025"/>
    <w:docVar w:name="dvlangue" w:val="MT"/>
    <w:docVar w:name="dvnumam" w:val="0"/>
    <w:docVar w:name="dvpe" w:val="779.349"/>
    <w:docVar w:name="dvrapporteur" w:val="Rapporteur: "/>
    <w:docVar w:name="dvtitre" w:val="Riżoluzzjoni tal-Parlament Ewropew tal-xx ta' Diċembru 2025 dwar il-proposta għal deċiżjoni tal-Parlament Ewropew u tal-Kunsill dwar il-mobilizzazzjoni tal-Fond Ewropew ta’ Aġġustament għall-Globalizzazzjoni għall-Ħaddiema Ssensjati wara applikazzjoni mill-Iżvezja – EGF/2025/003 SE/Northvolt(COM(2025)0621 – C10-0270/2025 – 2025/0326(BUD))"/>
  </w:docVars>
  <w:rsids>
    <w:rsidRoot w:val="0068253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480"/>
    <w:rsid w:val="001F32AE"/>
    <w:rsid w:val="002441A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349"/>
    <w:rsid w:val="005F1B17"/>
    <w:rsid w:val="006037C0"/>
    <w:rsid w:val="006631B6"/>
    <w:rsid w:val="00680577"/>
    <w:rsid w:val="00682532"/>
    <w:rsid w:val="006E7392"/>
    <w:rsid w:val="006F74FA"/>
    <w:rsid w:val="00731ADD"/>
    <w:rsid w:val="00734777"/>
    <w:rsid w:val="00747932"/>
    <w:rsid w:val="00751A4A"/>
    <w:rsid w:val="00756632"/>
    <w:rsid w:val="00762C74"/>
    <w:rsid w:val="00786EC0"/>
    <w:rsid w:val="00794B4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7E7"/>
    <w:rsid w:val="00A778C7"/>
    <w:rsid w:val="00AA6A1A"/>
    <w:rsid w:val="00AB441E"/>
    <w:rsid w:val="00AB6293"/>
    <w:rsid w:val="00AE0928"/>
    <w:rsid w:val="00AF3B82"/>
    <w:rsid w:val="00B12E95"/>
    <w:rsid w:val="00B22876"/>
    <w:rsid w:val="00B370F4"/>
    <w:rsid w:val="00B558F0"/>
    <w:rsid w:val="00BD48FE"/>
    <w:rsid w:val="00BD7BD8"/>
    <w:rsid w:val="00BE0572"/>
    <w:rsid w:val="00BE6ADC"/>
    <w:rsid w:val="00C05BFE"/>
    <w:rsid w:val="00C1556A"/>
    <w:rsid w:val="00C23CD4"/>
    <w:rsid w:val="00C61C0C"/>
    <w:rsid w:val="00C941CB"/>
    <w:rsid w:val="00CA6951"/>
    <w:rsid w:val="00CC2357"/>
    <w:rsid w:val="00CF071A"/>
    <w:rsid w:val="00D04CBC"/>
    <w:rsid w:val="00D058B8"/>
    <w:rsid w:val="00D56C11"/>
    <w:rsid w:val="00D6765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4D4"/>
    <w:rsid w:val="00F04346"/>
    <w:rsid w:val="00F075DC"/>
    <w:rsid w:val="00F149E9"/>
    <w:rsid w:val="00F5134D"/>
    <w:rsid w:val="00F74202"/>
    <w:rsid w:val="00F87713"/>
    <w:rsid w:val="00FB4360"/>
    <w:rsid w:val="00FD0C70"/>
    <w:rsid w:val="00FE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75E62"/>
  <w15:chartTrackingRefBased/>
  <w15:docId w15:val="{790C515C-A769-4333-82F9-B5BB04B9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C734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5C734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5C734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C73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C7349"/>
    <w:rPr>
      <w:sz w:val="24"/>
      <w:lang w:val="mt-MT"/>
    </w:rPr>
  </w:style>
  <w:style w:type="paragraph" w:customStyle="1" w:styleId="NormalBold24a">
    <w:name w:val="NormalBold24a"/>
    <w:basedOn w:val="Normal"/>
    <w:rsid w:val="005C7349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5C734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C7349"/>
    <w:pPr>
      <w:spacing w:before="480" w:after="240"/>
    </w:pPr>
  </w:style>
  <w:style w:type="character" w:styleId="Hyperlink">
    <w:name w:val="Hyperlink"/>
    <w:basedOn w:val="DefaultParagraphFont"/>
    <w:rsid w:val="005C7349"/>
    <w:rPr>
      <w:color w:val="0563C1" w:themeColor="hyperlink"/>
      <w:u w:val="single"/>
    </w:rPr>
  </w:style>
  <w:style w:type="paragraph" w:customStyle="1" w:styleId="Institutionquisigne">
    <w:name w:val="Institution qui signe"/>
    <w:basedOn w:val="Normal"/>
    <w:next w:val="Personnequisigne"/>
    <w:rsid w:val="005C734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C734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C734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C734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C734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C734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C734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5C7349"/>
    <w:rPr>
      <w:rFonts w:ascii="Arial" w:hAnsi="Arial" w:cs="Arial"/>
      <w:b/>
      <w:sz w:val="24"/>
      <w:lang w:val="mt-MT"/>
    </w:rPr>
  </w:style>
  <w:style w:type="paragraph" w:styleId="Revision">
    <w:name w:val="Revision"/>
    <w:hidden/>
    <w:uiPriority w:val="99"/>
    <w:semiHidden/>
    <w:rsid w:val="00A727E7"/>
    <w:rPr>
      <w:sz w:val="24"/>
      <w:lang w:val="mt-MT"/>
    </w:rPr>
  </w:style>
  <w:style w:type="paragraph" w:customStyle="1" w:styleId="Normal24Bold">
    <w:name w:val="Normal24Bold"/>
    <w:basedOn w:val="Normal"/>
    <w:rsid w:val="00CA6951"/>
    <w:pPr>
      <w:spacing w:after="480"/>
    </w:pPr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s://commission.europa.eu/strategy-and-policy/strategy-documents/commission-work-programme/commission-work-programme-2026_mt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1557</Words>
  <Characters>11366</Characters>
  <Application>Microsoft Office Word</Application>
  <DocSecurity>4</DocSecurity>
  <Lines>94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GIRGINOV Kiril</cp:lastModifiedBy>
  <cp:revision>2</cp:revision>
  <cp:lastPrinted>2004-11-19T15:42:00Z</cp:lastPrinted>
  <dcterms:created xsi:type="dcterms:W3CDTF">2026-03-23T15:21:00Z</dcterms:created>
  <dcterms:modified xsi:type="dcterms:W3CDTF">2026-03-23T15:21:00Z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P10_TA(2025)0325_</vt:lpwstr>
  </property>
  <property fmtid="{D5CDD505-2E9C-101B-9397-08002B2CF9AE}" pid="4" name="&lt;Type&gt;">
    <vt:lpwstr>RR</vt:lpwstr>
  </property>
</Properties>
</file>