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D53CA" w14:paraId="7D177B8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6579478" w14:textId="77777777" w:rsidR="00751A4A" w:rsidRPr="002D53CA" w:rsidRDefault="000565F1" w:rsidP="0010095E">
            <w:pPr>
              <w:pStyle w:val="EPName"/>
            </w:pPr>
            <w:r w:rsidRPr="002D53CA">
              <w:t xml:space="preserve">Parlamento </w:t>
            </w:r>
            <w:proofErr w:type="gramStart"/>
            <w:r w:rsidRPr="002D53CA">
              <w:t>Europeu</w:t>
            </w:r>
            <w:proofErr w:type="gramEnd"/>
          </w:p>
          <w:p w14:paraId="28E79B28" w14:textId="77777777" w:rsidR="00751A4A" w:rsidRPr="002D53C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D53CA">
              <w:t>2024</w:t>
            </w:r>
            <w:r w:rsidR="00817416" w:rsidRPr="002D53CA">
              <w:t>-202</w:t>
            </w:r>
            <w:r w:rsidRPr="002D53CA">
              <w:t>9</w:t>
            </w:r>
          </w:p>
        </w:tc>
        <w:tc>
          <w:tcPr>
            <w:tcW w:w="2268" w:type="dxa"/>
            <w:shd w:val="clear" w:color="auto" w:fill="auto"/>
          </w:tcPr>
          <w:p w14:paraId="58382605" w14:textId="77777777" w:rsidR="00751A4A" w:rsidRPr="002D53CA" w:rsidRDefault="00187494" w:rsidP="0010095E">
            <w:pPr>
              <w:pStyle w:val="EPLogo"/>
            </w:pPr>
            <w:r w:rsidRPr="002D53CA">
              <w:rPr>
                <w:noProof/>
                <w:lang w:eastAsia="ja-JP"/>
              </w:rPr>
              <w:drawing>
                <wp:inline distT="0" distB="0" distL="0" distR="0" wp14:anchorId="6A33C14A" wp14:editId="5E8B332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EA276F" w14:textId="77777777" w:rsidR="00D058B8" w:rsidRPr="002D53CA" w:rsidRDefault="00D058B8" w:rsidP="004C5D52">
      <w:pPr>
        <w:pStyle w:val="LineTop"/>
      </w:pPr>
    </w:p>
    <w:p w14:paraId="19F794E2" w14:textId="77777777" w:rsidR="00680577" w:rsidRPr="002D53CA" w:rsidRDefault="000565F1" w:rsidP="00680577">
      <w:pPr>
        <w:pStyle w:val="EPBodyTA1"/>
      </w:pPr>
      <w:r w:rsidRPr="002D53CA">
        <w:t>TEXTOS APROVADOS</w:t>
      </w:r>
    </w:p>
    <w:p w14:paraId="4A17677C" w14:textId="77777777" w:rsidR="00D058B8" w:rsidRPr="002D53CA" w:rsidRDefault="00D058B8" w:rsidP="00D058B8">
      <w:pPr>
        <w:pStyle w:val="LineBottom"/>
      </w:pPr>
    </w:p>
    <w:p w14:paraId="7EE9E186" w14:textId="2280BE2B" w:rsidR="000565F1" w:rsidRPr="002D53CA" w:rsidRDefault="000565F1" w:rsidP="000565F1">
      <w:pPr>
        <w:pStyle w:val="ATHeading1"/>
      </w:pPr>
      <w:bookmarkStart w:id="0" w:name="TANumber"/>
      <w:r w:rsidRPr="002D53CA">
        <w:t>P10_</w:t>
      </w:r>
      <w:proofErr w:type="gramStart"/>
      <w:r w:rsidRPr="002D53CA">
        <w:t>TA(</w:t>
      </w:r>
      <w:proofErr w:type="gramEnd"/>
      <w:r w:rsidRPr="002D53CA">
        <w:t>2025)</w:t>
      </w:r>
      <w:bookmarkEnd w:id="0"/>
      <w:r w:rsidR="002D53CA" w:rsidRPr="002D53CA">
        <w:t>0325</w:t>
      </w:r>
    </w:p>
    <w:p w14:paraId="10B867F5" w14:textId="07C37C79" w:rsidR="000565F1" w:rsidRPr="002D53CA" w:rsidRDefault="000565F1" w:rsidP="000565F1">
      <w:pPr>
        <w:pStyle w:val="ATHeading2"/>
      </w:pPr>
      <w:bookmarkStart w:id="1" w:name="title"/>
      <w:r w:rsidRPr="002D53CA">
        <w:t>Mobilização do Fundo Europeu de Ajustamento à Globalização a favor dos Trabalhadores</w:t>
      </w:r>
      <w:r w:rsidR="00F60C40" w:rsidRPr="002D53CA">
        <w:t xml:space="preserve"> </w:t>
      </w:r>
      <w:r w:rsidRPr="002D53CA">
        <w:t>Despedidos: candidatura EGF/2025/003 SE/</w:t>
      </w:r>
      <w:proofErr w:type="spellStart"/>
      <w:r w:rsidRPr="002D53CA">
        <w:t>Northvolt</w:t>
      </w:r>
      <w:proofErr w:type="spellEnd"/>
      <w:r w:rsidRPr="002D53CA">
        <w:t xml:space="preserve"> </w:t>
      </w:r>
      <w:r w:rsidR="00F60C40" w:rsidRPr="002D53CA">
        <w:t>–</w:t>
      </w:r>
      <w:r w:rsidRPr="002D53CA">
        <w:t xml:space="preserve"> Suécia</w:t>
      </w:r>
      <w:bookmarkEnd w:id="1"/>
    </w:p>
    <w:p w14:paraId="0D78C9CB" w14:textId="77777777" w:rsidR="000565F1" w:rsidRPr="002D53CA" w:rsidRDefault="000565F1" w:rsidP="000565F1">
      <w:pPr>
        <w:rPr>
          <w:i/>
          <w:vanish/>
        </w:rPr>
      </w:pPr>
      <w:r w:rsidRPr="002D53CA">
        <w:rPr>
          <w:i/>
        </w:rPr>
        <w:fldChar w:fldCharType="begin"/>
      </w:r>
      <w:r w:rsidRPr="002D53CA">
        <w:rPr>
          <w:i/>
        </w:rPr>
        <w:instrText xml:space="preserve"> TC"(</w:instrText>
      </w:r>
      <w:bookmarkStart w:id="2" w:name="DocNumber"/>
      <w:r w:rsidRPr="002D53CA">
        <w:rPr>
          <w:i/>
        </w:rPr>
        <w:instrText>A10-0239/2025</w:instrText>
      </w:r>
      <w:bookmarkEnd w:id="2"/>
      <w:r w:rsidRPr="002D53CA">
        <w:rPr>
          <w:i/>
        </w:rPr>
        <w:instrText xml:space="preserve"> - Relatora: Aura Salla)"\l3 \n&gt; \* MERGEFORMAT </w:instrText>
      </w:r>
      <w:r w:rsidRPr="002D53CA">
        <w:rPr>
          <w:i/>
        </w:rPr>
        <w:fldChar w:fldCharType="end"/>
      </w:r>
    </w:p>
    <w:p w14:paraId="6DE23587" w14:textId="77777777" w:rsidR="000565F1" w:rsidRPr="002D53CA" w:rsidRDefault="000565F1" w:rsidP="000565F1">
      <w:pPr>
        <w:rPr>
          <w:vanish/>
        </w:rPr>
      </w:pPr>
      <w:bookmarkStart w:id="3" w:name="Commission"/>
      <w:r w:rsidRPr="002D53CA">
        <w:rPr>
          <w:vanish/>
        </w:rPr>
        <w:t>Comissão dos Orçamentos</w:t>
      </w:r>
      <w:bookmarkEnd w:id="3"/>
    </w:p>
    <w:p w14:paraId="1A2C7282" w14:textId="77777777" w:rsidR="000565F1" w:rsidRPr="002D53CA" w:rsidRDefault="000565F1" w:rsidP="000565F1">
      <w:pPr>
        <w:rPr>
          <w:vanish/>
        </w:rPr>
      </w:pPr>
      <w:bookmarkStart w:id="4" w:name="PE"/>
      <w:r w:rsidRPr="002D53CA">
        <w:rPr>
          <w:vanish/>
        </w:rPr>
        <w:t>PE779.349</w:t>
      </w:r>
      <w:bookmarkEnd w:id="4"/>
    </w:p>
    <w:p w14:paraId="28BEB76D" w14:textId="30F1CC52" w:rsidR="000565F1" w:rsidRPr="002D53CA" w:rsidRDefault="000565F1" w:rsidP="000565F1">
      <w:pPr>
        <w:pStyle w:val="ATHeading3"/>
      </w:pPr>
      <w:bookmarkStart w:id="5" w:name="Sujet"/>
      <w:r w:rsidRPr="002D53CA">
        <w:t xml:space="preserve">Resolução do Parlamento Europeu, de </w:t>
      </w:r>
      <w:r w:rsidR="00083AAB" w:rsidRPr="002D53CA">
        <w:t xml:space="preserve">16 </w:t>
      </w:r>
      <w:r w:rsidRPr="002D53CA">
        <w:t xml:space="preserve">de </w:t>
      </w:r>
      <w:r w:rsidR="00083AAB" w:rsidRPr="002D53CA">
        <w:t xml:space="preserve">dezembro </w:t>
      </w:r>
      <w:r w:rsidRPr="002D53CA">
        <w:t>de 2025, sobre a proposta de decisão do Parlamento Europeu e do Conselho relativa à mobilização do Fundo Europeu de Ajustamento à Globalização a favor dos Trabalhadores Despedidos na sequência de uma candidatura da Suécia — EGF/2025/003 SE/</w:t>
      </w:r>
      <w:proofErr w:type="spellStart"/>
      <w:r w:rsidRPr="002D53CA">
        <w:t>Northvolt</w:t>
      </w:r>
      <w:bookmarkEnd w:id="5"/>
      <w:proofErr w:type="spellEnd"/>
      <w:r w:rsidRPr="002D53CA">
        <w:t xml:space="preserve"> </w:t>
      </w:r>
      <w:bookmarkStart w:id="6" w:name="References"/>
      <w:r w:rsidRPr="002D53CA">
        <w:t>(</w:t>
      </w:r>
      <w:proofErr w:type="gramStart"/>
      <w:r w:rsidRPr="002D53CA">
        <w:t>COM(</w:t>
      </w:r>
      <w:proofErr w:type="gramEnd"/>
      <w:r w:rsidRPr="002D53CA">
        <w:t>2025)0621 – C10</w:t>
      </w:r>
      <w:r w:rsidR="00083AAB" w:rsidRPr="002D53CA">
        <w:noBreakHyphen/>
      </w:r>
      <w:r w:rsidRPr="002D53CA">
        <w:t>0270/2025 – 2025/0326(BUD))</w:t>
      </w:r>
      <w:bookmarkEnd w:id="6"/>
    </w:p>
    <w:p w14:paraId="4C27BEC0" w14:textId="77777777" w:rsidR="007D3B60" w:rsidRPr="002D53CA" w:rsidRDefault="007D3B60" w:rsidP="007D3B60">
      <w:pPr>
        <w:pStyle w:val="EPComma"/>
        <w:rPr>
          <w:noProof/>
        </w:rPr>
      </w:pPr>
      <w:r w:rsidRPr="002D53CA">
        <w:rPr>
          <w:i/>
          <w:iCs/>
        </w:rPr>
        <w:t>O Parlamento Europeu</w:t>
      </w:r>
      <w:r w:rsidRPr="002D53CA">
        <w:t>,</w:t>
      </w:r>
    </w:p>
    <w:p w14:paraId="2BCD9BDA" w14:textId="5C3A3802" w:rsidR="007D3B60" w:rsidRPr="002D53CA" w:rsidRDefault="007D3B60" w:rsidP="007D3B60">
      <w:pPr>
        <w:pStyle w:val="NormalHanging12a"/>
        <w:rPr>
          <w:noProof/>
        </w:rPr>
      </w:pPr>
      <w:r w:rsidRPr="002D53CA">
        <w:t>–</w:t>
      </w:r>
      <w:r w:rsidRPr="002D53CA">
        <w:tab/>
        <w:t>Tendo em conta a proposta da Comissão ao Parlamento e ao Conselho (</w:t>
      </w:r>
      <w:proofErr w:type="gramStart"/>
      <w:r w:rsidRPr="002D53CA">
        <w:t>COM(</w:t>
      </w:r>
      <w:proofErr w:type="gramEnd"/>
      <w:r w:rsidRPr="002D53CA">
        <w:t>2025)0621 – C10</w:t>
      </w:r>
      <w:r w:rsidRPr="002D53CA">
        <w:noBreakHyphen/>
        <w:t>0270/2025),</w:t>
      </w:r>
    </w:p>
    <w:p w14:paraId="09E0B458" w14:textId="77777777" w:rsidR="007D3B60" w:rsidRPr="002D53CA" w:rsidRDefault="007D3B60" w:rsidP="007D3B60">
      <w:pPr>
        <w:pStyle w:val="NormalHanging12a"/>
      </w:pPr>
      <w:r w:rsidRPr="002D53CA">
        <w:t>–</w:t>
      </w:r>
      <w:r w:rsidRPr="002D53CA">
        <w:tab/>
        <w:t>Tendo em conta o Regulamento (UE) 2021/691 do Parlamento Europeu e do Conselho, de 28 de abril de 2021, relativo ao Fundo Europeu de Ajustamento à Globalização a favor dos Trabalhadores Despedidos (FEG) e que revoga o Regulamento (UE) n.º 1309/2013</w:t>
      </w:r>
      <w:r w:rsidRPr="002D53CA">
        <w:rPr>
          <w:vertAlign w:val="superscript"/>
        </w:rPr>
        <w:footnoteReference w:id="1"/>
      </w:r>
      <w:r w:rsidRPr="002D53CA">
        <w:t xml:space="preserve"> («Regulamento FEG»), </w:t>
      </w:r>
    </w:p>
    <w:p w14:paraId="0C7345A6" w14:textId="4AE6719D" w:rsidR="007D3B60" w:rsidRPr="002D53CA" w:rsidRDefault="007D3B60" w:rsidP="007D3B60">
      <w:pPr>
        <w:pStyle w:val="NormalHanging12a"/>
        <w:rPr>
          <w:noProof/>
        </w:rPr>
      </w:pPr>
      <w:r w:rsidRPr="002D53CA">
        <w:t>–</w:t>
      </w:r>
      <w:r w:rsidRPr="002D53CA">
        <w:tab/>
        <w:t xml:space="preserve">Tendo em conta o Regulamento (UE, </w:t>
      </w:r>
      <w:proofErr w:type="spellStart"/>
      <w:r w:rsidRPr="002D53CA">
        <w:t>Euratom</w:t>
      </w:r>
      <w:proofErr w:type="spellEnd"/>
      <w:r w:rsidRPr="002D53CA">
        <w:t>) 2020/2093 do Conselho, de 17 de dezembro de 2020, que estabelece o quadro financeiro plurianual para o período de 2021 a 2027</w:t>
      </w:r>
      <w:r w:rsidRPr="002D53CA">
        <w:rPr>
          <w:noProof/>
          <w:vertAlign w:val="superscript"/>
        </w:rPr>
        <w:footnoteReference w:id="2"/>
      </w:r>
      <w:r w:rsidRPr="002D53CA">
        <w:t xml:space="preserve">, com a redação que lhe foi dada pelo Regulamento (UE, </w:t>
      </w:r>
      <w:proofErr w:type="spellStart"/>
      <w:r w:rsidRPr="002D53CA">
        <w:t>Euratom</w:t>
      </w:r>
      <w:proofErr w:type="spellEnd"/>
      <w:r w:rsidRPr="002D53CA">
        <w:t>) 2024/765</w:t>
      </w:r>
      <w:r w:rsidR="00083AAB" w:rsidRPr="002D53CA">
        <w:t xml:space="preserve"> do Conselho</w:t>
      </w:r>
      <w:r w:rsidRPr="002D53CA">
        <w:rPr>
          <w:noProof/>
          <w:vertAlign w:val="superscript"/>
        </w:rPr>
        <w:footnoteReference w:id="3"/>
      </w:r>
      <w:r w:rsidRPr="002D53CA">
        <w:t xml:space="preserve">, nomeadamente o artigo 8.º, </w:t>
      </w:r>
    </w:p>
    <w:p w14:paraId="3D43B531" w14:textId="395DBF9E" w:rsidR="007D3B60" w:rsidRPr="002D53CA" w:rsidRDefault="007D3B60" w:rsidP="007D3B60">
      <w:pPr>
        <w:pStyle w:val="NormalHanging12a"/>
        <w:rPr>
          <w:noProof/>
        </w:rPr>
      </w:pPr>
      <w:r w:rsidRPr="002D53CA">
        <w:t>–</w:t>
      </w:r>
      <w:r w:rsidRPr="002D53CA">
        <w:tab/>
        <w:t xml:space="preserve">Tendo em conta o Acordo Interinstitucional, de 16 de dezembro de 2020, entre o Parlamento Europeu, o Conselho da União Europeia e a Comissão Europeia sobre a disciplina orçamental, a cooperação em matéria orçamental e a boa gestão financeira, bem como sobre os novos recursos próprios, incluindo um roteiro para a introdução de </w:t>
      </w:r>
      <w:r w:rsidRPr="002D53CA">
        <w:lastRenderedPageBreak/>
        <w:t>novos recursos próprios</w:t>
      </w:r>
      <w:r w:rsidRPr="002D53CA">
        <w:rPr>
          <w:rStyle w:val="FootnoteReference"/>
          <w:noProof/>
        </w:rPr>
        <w:footnoteReference w:id="4"/>
      </w:r>
      <w:r w:rsidRPr="002D53CA">
        <w:t>, nomeadamente o ponto 9,</w:t>
      </w:r>
    </w:p>
    <w:p w14:paraId="698AE201" w14:textId="77777777" w:rsidR="007D3B60" w:rsidRPr="002D53CA" w:rsidRDefault="007D3B60" w:rsidP="007D3B60">
      <w:pPr>
        <w:pStyle w:val="NormalHanging12a"/>
      </w:pPr>
      <w:r w:rsidRPr="002D53CA">
        <w:t>–</w:t>
      </w:r>
      <w:r w:rsidRPr="002D53CA">
        <w:tab/>
        <w:t>Tendo em conta o parecer da Comissão do Emprego e dos Assuntos Sociais,</w:t>
      </w:r>
    </w:p>
    <w:p w14:paraId="100D2BF7" w14:textId="77777777" w:rsidR="007D3B60" w:rsidRPr="002D53CA" w:rsidRDefault="007D3B60" w:rsidP="007D3B60">
      <w:pPr>
        <w:pStyle w:val="NormalHanging12a"/>
      </w:pPr>
      <w:r w:rsidRPr="002D53CA">
        <w:t>–</w:t>
      </w:r>
      <w:r w:rsidRPr="002D53CA">
        <w:tab/>
        <w:t>Tendo em conta o relatório da Comissão dos Orçamentos (A10-0239/2025),</w:t>
      </w:r>
    </w:p>
    <w:p w14:paraId="645C4FE9" w14:textId="40838263" w:rsidR="007D3B60" w:rsidRPr="002D53CA" w:rsidRDefault="007D3B60" w:rsidP="007D3B60">
      <w:pPr>
        <w:pStyle w:val="NormalHanging12a"/>
        <w:rPr>
          <w:noProof/>
        </w:rPr>
      </w:pPr>
      <w:r w:rsidRPr="002D53CA">
        <w:t>A.</w:t>
      </w:r>
      <w:r w:rsidRPr="002D53CA">
        <w:tab/>
        <w:t>Considerando que a União criou instrumentos legislativos e orçamentais para prestar apoio complementar aos trabalhadores afetados pelos efeitos de mudanças estruturais importantes nos padrões do comércio mundial ou da crise económica e financeira mundial, bem como para incentivar a sua reintegração no mercado de trabalho</w:t>
      </w:r>
      <w:r w:rsidR="00083AAB" w:rsidRPr="002D53CA">
        <w:t>; considerando que</w:t>
      </w:r>
      <w:r w:rsidRPr="002D53CA">
        <w:t xml:space="preserve"> essa assistência é prestada através de um apoio financeiro concedido aos trabalhadores e às empresas para as quais trabalhavam;</w:t>
      </w:r>
    </w:p>
    <w:p w14:paraId="44728BCA" w14:textId="77777777" w:rsidR="007D3B60" w:rsidRPr="002D53CA" w:rsidRDefault="007D3B60" w:rsidP="007D3B60">
      <w:pPr>
        <w:pStyle w:val="NormalHanging12a"/>
      </w:pPr>
      <w:r w:rsidRPr="002D53CA">
        <w:t xml:space="preserve">B. </w:t>
      </w:r>
      <w:r w:rsidRPr="002D53CA">
        <w:tab/>
        <w:t>Considerando que a Suécia apresentou a candidatura EGF/2025/003 SE/</w:t>
      </w:r>
      <w:proofErr w:type="spellStart"/>
      <w:r w:rsidRPr="002D53CA">
        <w:t>Northvolt</w:t>
      </w:r>
      <w:proofErr w:type="spellEnd"/>
      <w:r w:rsidRPr="002D53CA">
        <w:t xml:space="preserve"> a uma contribuição financeira do Fundo Europeu de Ajustamento à Globalização (FEG), na sequência de 6 486 despedimentos</w:t>
      </w:r>
      <w:r w:rsidRPr="002D53CA">
        <w:rPr>
          <w:vertAlign w:val="superscript"/>
        </w:rPr>
        <w:footnoteReference w:id="5"/>
      </w:r>
      <w:r w:rsidRPr="002D53CA">
        <w:t xml:space="preserve"> no setor económico classificado na divisão 71 (Atividades de arquitetura e de engenharia; atividades de ensaios e análises técnicas) da NACE Revisão 2, nas regiões de Alta </w:t>
      </w:r>
      <w:proofErr w:type="spellStart"/>
      <w:r w:rsidRPr="002D53CA">
        <w:t>Norrland</w:t>
      </w:r>
      <w:proofErr w:type="spellEnd"/>
      <w:r w:rsidRPr="002D53CA">
        <w:t xml:space="preserve"> (SE33), Estocolmo (SE11) e Suécia </w:t>
      </w:r>
      <w:proofErr w:type="spellStart"/>
      <w:r w:rsidRPr="002D53CA">
        <w:t>Centro-Este</w:t>
      </w:r>
      <w:proofErr w:type="spellEnd"/>
      <w:r w:rsidRPr="002D53CA">
        <w:t xml:space="preserve"> (SE12), com 5 829 despedimentos durante um período de referência para a candidatura compreendido entre 28 de novembro de 2024 e 28 de março de 2025, e de 657 despedimentos antes ou depois do período de referência; </w:t>
      </w:r>
    </w:p>
    <w:p w14:paraId="79699EAB" w14:textId="102DEBC1" w:rsidR="007D3B60" w:rsidRPr="002D53CA" w:rsidRDefault="007D3B60" w:rsidP="007D3B60">
      <w:pPr>
        <w:pStyle w:val="NormalHanging12a"/>
      </w:pPr>
      <w:r w:rsidRPr="002D53CA">
        <w:t>C.</w:t>
      </w:r>
      <w:r w:rsidRPr="002D53CA">
        <w:tab/>
        <w:t xml:space="preserve">Considerando que, durante o período de referência abrangido pelo pedido, foram identificados 5 829 despedimentos, incluindo 5 561 trabalhadores despedidos cuja atividade cessou na </w:t>
      </w:r>
      <w:proofErr w:type="spellStart"/>
      <w:r w:rsidRPr="002D53CA">
        <w:t>Northvolt</w:t>
      </w:r>
      <w:proofErr w:type="spellEnd"/>
      <w:r w:rsidRPr="002D53CA">
        <w:t xml:space="preserve"> AB (</w:t>
      </w:r>
      <w:proofErr w:type="spellStart"/>
      <w:r w:rsidRPr="002D53CA">
        <w:t>Northvolt</w:t>
      </w:r>
      <w:proofErr w:type="spellEnd"/>
      <w:r w:rsidRPr="002D53CA">
        <w:t>) e suas filiais</w:t>
      </w:r>
      <w:r w:rsidRPr="002D53CA">
        <w:rPr>
          <w:vertAlign w:val="superscript"/>
        </w:rPr>
        <w:footnoteReference w:id="6"/>
      </w:r>
      <w:r w:rsidRPr="002D53CA">
        <w:t xml:space="preserve">, e 268 trabalhadores despedidos em oito fornecedores e produtores a jusante da </w:t>
      </w:r>
      <w:proofErr w:type="spellStart"/>
      <w:r w:rsidRPr="002D53CA">
        <w:t>Northvolt</w:t>
      </w:r>
      <w:proofErr w:type="spellEnd"/>
      <w:r w:rsidRPr="002D53CA">
        <w:t>;</w:t>
      </w:r>
    </w:p>
    <w:p w14:paraId="63F9019A" w14:textId="4CBA1225" w:rsidR="007D3B60" w:rsidRPr="002D53CA" w:rsidRDefault="007D3B60" w:rsidP="007D3B60">
      <w:pPr>
        <w:pStyle w:val="NormalHanging12a"/>
      </w:pPr>
      <w:r w:rsidRPr="002D53CA">
        <w:t>D.</w:t>
      </w:r>
      <w:r w:rsidRPr="002D53CA">
        <w:tab/>
        <w:t>Considerando que a candidatura se baseia nos critérios de intervenção previstos no artigo 4.º, n.º 2, alínea a), do Regulamento FEG</w:t>
      </w:r>
      <w:r w:rsidR="00083AAB" w:rsidRPr="002D53CA">
        <w:t>; considerando que</w:t>
      </w:r>
      <w:r w:rsidRPr="002D53CA">
        <w:t xml:space="preserve">, no que diz respeito ao despedimento de outros 657 trabalhadores cuja atividade cessou antes ou depois do período de quatro meses, pode ser estabelecido um nexo de causalidade claro com o acontecimento que desencadeou a cessação da atividade dos trabalhadores despedidos durante o período de referência, tal como exigido pelo artigo 6.º, n.º 2, do Regulamento FEG; </w:t>
      </w:r>
    </w:p>
    <w:p w14:paraId="62BF57F8" w14:textId="1956F6C7" w:rsidR="007D3B60" w:rsidRPr="002D53CA" w:rsidRDefault="007D3B60" w:rsidP="007D3B60">
      <w:pPr>
        <w:pStyle w:val="NormalHanging12a"/>
      </w:pPr>
      <w:r w:rsidRPr="002D53CA">
        <w:t xml:space="preserve">E. </w:t>
      </w:r>
      <w:r w:rsidRPr="002D53CA">
        <w:tab/>
        <w:t xml:space="preserve">Considerando que a </w:t>
      </w:r>
      <w:proofErr w:type="spellStart"/>
      <w:r w:rsidRPr="002D53CA">
        <w:t>Northvolt</w:t>
      </w:r>
      <w:proofErr w:type="spellEnd"/>
      <w:r w:rsidRPr="002D53CA">
        <w:t xml:space="preserve"> era especializada em atividades de arquitetura e de engenharia, em ensaios técnicos e no fabrico de baterias</w:t>
      </w:r>
      <w:r w:rsidR="00083AAB" w:rsidRPr="002D53CA">
        <w:t>; considerando que</w:t>
      </w:r>
      <w:r w:rsidRPr="002D53CA">
        <w:t xml:space="preserve"> a empresa declarou falência em 12 de março de 2025 devido a dificuldades relacionadas com a produção, em particular devido a um excesso de oferta causado por uma intensa concorrência de importações provenientes principalmente da China, que domina o mercado mundial e representa mais de 80% da produção mundial de baterias; </w:t>
      </w:r>
    </w:p>
    <w:p w14:paraId="619EBBEE" w14:textId="3845E1E5" w:rsidR="007D3B60" w:rsidRPr="002D53CA" w:rsidRDefault="007D3B60" w:rsidP="007D3B60">
      <w:pPr>
        <w:pStyle w:val="NormalHanging12a"/>
      </w:pPr>
      <w:r w:rsidRPr="002D53CA">
        <w:t>F.</w:t>
      </w:r>
      <w:r w:rsidRPr="002D53CA">
        <w:tab/>
        <w:t>Considerando que a Europa precisa de uma indústria das baterias forte e competitiva para reduzir as dependências estratégicas prejudiciais e reforçar a sua autonomia industrial, bem como para alcançar os seus objetivos em matéria de transição climática e energética</w:t>
      </w:r>
      <w:r w:rsidR="00083AAB" w:rsidRPr="002D53CA">
        <w:t>; considerando que</w:t>
      </w:r>
      <w:r w:rsidRPr="002D53CA">
        <w:t xml:space="preserve"> a indústria das baterias e dos fornecedores se debate com elevados custos de energia e de capital, atrasos na produção, distorções do mercado </w:t>
      </w:r>
      <w:r w:rsidRPr="002D53CA">
        <w:lastRenderedPageBreak/>
        <w:t>mundial, assim como uma pressão concorrencial crescente por parte de produtores de países terceiros, em particular da China</w:t>
      </w:r>
      <w:r w:rsidRPr="002D53CA">
        <w:rPr>
          <w:vertAlign w:val="superscript"/>
        </w:rPr>
        <w:footnoteReference w:id="7"/>
      </w:r>
      <w:r w:rsidRPr="002D53CA">
        <w:t>;</w:t>
      </w:r>
    </w:p>
    <w:p w14:paraId="219C7673" w14:textId="77777777" w:rsidR="007D3B60" w:rsidRPr="002D53CA" w:rsidRDefault="007D3B60" w:rsidP="007D3B60">
      <w:pPr>
        <w:pStyle w:val="NormalHanging12a"/>
      </w:pPr>
      <w:r w:rsidRPr="002D53CA">
        <w:t>G.</w:t>
      </w:r>
      <w:r w:rsidRPr="002D53CA">
        <w:tab/>
        <w:t>Considerando que os serviços de emprego suecos (</w:t>
      </w:r>
      <w:proofErr w:type="spellStart"/>
      <w:r w:rsidRPr="002D53CA">
        <w:t>Arbetsförmedlingen</w:t>
      </w:r>
      <w:proofErr w:type="spellEnd"/>
      <w:r w:rsidRPr="002D53CA">
        <w:t>) proporcionam o pré-financiamento nacional e o cofinanciamento das medidas;</w:t>
      </w:r>
    </w:p>
    <w:p w14:paraId="0A78DD37" w14:textId="2E67C161" w:rsidR="007D3B60" w:rsidRPr="002D53CA" w:rsidRDefault="007D3B60" w:rsidP="007D3B60">
      <w:pPr>
        <w:pStyle w:val="NormalHanging12a"/>
      </w:pPr>
      <w:r w:rsidRPr="002D53CA">
        <w:t>H.</w:t>
      </w:r>
      <w:r w:rsidRPr="002D53CA">
        <w:tab/>
        <w:t>Considerando que foram cumpridos os requisitos definidos n</w:t>
      </w:r>
      <w:r w:rsidR="00B015C5" w:rsidRPr="002D53CA">
        <w:t>o direito</w:t>
      </w:r>
      <w:r w:rsidRPr="002D53CA">
        <w:t xml:space="preserve"> da União e </w:t>
      </w:r>
      <w:r w:rsidR="00B015C5" w:rsidRPr="002D53CA">
        <w:t xml:space="preserve">no direito </w:t>
      </w:r>
      <w:r w:rsidRPr="002D53CA">
        <w:t>nacional em matéria de despedimentos coletivos;</w:t>
      </w:r>
    </w:p>
    <w:p w14:paraId="59CB4CBD" w14:textId="77777777" w:rsidR="007D3B60" w:rsidRPr="002D53CA" w:rsidRDefault="007D3B60" w:rsidP="007D3B60">
      <w:pPr>
        <w:pStyle w:val="NormalHanging12a"/>
      </w:pPr>
      <w:r w:rsidRPr="002D53CA">
        <w:t>I.</w:t>
      </w:r>
      <w:r w:rsidRPr="002D53CA">
        <w:tab/>
        <w:t>Considerando que as contribuições financeiras do FEG se devem destinar principalmente a medidas de política ativa do mercado de trabalho e a serviços personalizados que visem reintegrar rapidamente os beneficiários em empregos dignos e sustentáveis, dentro ou fora do seu setor inicial de atividade, preparando-os simultaneamente para uma economia europeia mais ecológica e mais digital;</w:t>
      </w:r>
    </w:p>
    <w:p w14:paraId="674BCC9E" w14:textId="0C3DF5BA" w:rsidR="007D3B60" w:rsidRPr="002D53CA" w:rsidRDefault="007D3B60" w:rsidP="007D3B60">
      <w:pPr>
        <w:pStyle w:val="NormalHanging12a"/>
      </w:pPr>
      <w:r w:rsidRPr="002D53CA">
        <w:t>J.</w:t>
      </w:r>
      <w:r w:rsidRPr="002D53CA">
        <w:tab/>
        <w:t xml:space="preserve">Considerando que o FEG não pode exceder o montante anual máximo de 30 milhões de EUR (a preços de 2018), tal como estabelecido no artigo 8.º do Regulamento (UE, </w:t>
      </w:r>
      <w:proofErr w:type="spellStart"/>
      <w:r w:rsidRPr="002D53CA">
        <w:t>Euratom</w:t>
      </w:r>
      <w:proofErr w:type="spellEnd"/>
      <w:r w:rsidRPr="002D53CA">
        <w:t xml:space="preserve">) 2020/2093, com a redação que lhe foi dada pelo Regulamento (UE, </w:t>
      </w:r>
      <w:proofErr w:type="spellStart"/>
      <w:r w:rsidRPr="002D53CA">
        <w:t>Euratom</w:t>
      </w:r>
      <w:proofErr w:type="spellEnd"/>
      <w:r w:rsidRPr="002D53CA">
        <w:t>) 2024/765;</w:t>
      </w:r>
    </w:p>
    <w:p w14:paraId="61F5C10F" w14:textId="77777777" w:rsidR="007D3B60" w:rsidRPr="002D53CA" w:rsidRDefault="007D3B60" w:rsidP="007D3B60">
      <w:pPr>
        <w:pStyle w:val="NormalHanging12a"/>
      </w:pPr>
      <w:r w:rsidRPr="002D53CA">
        <w:t>1.</w:t>
      </w:r>
      <w:r w:rsidRPr="002D53CA">
        <w:tab/>
        <w:t>Partilha do ponto de vista da Comissão, segundo o qual as condições estabelecidas no artigo 4.º, n.º 2, alínea a), do Regulamento FEG estão preenchidas e a Suécia tem direito a uma contribuição financeira no montante de 8 526 322 EUR ao abrigo do referido regulamento, o que representa 60% do custo total de 14 210 537 EUR, incluindo despesas com serviços personalizados no valor de 13 663 977 EUR e despesas com atividades de preparação, gestão, informação e publicidade, controlo e elaboração de relatórios no valor de 546 560 EUR;</w:t>
      </w:r>
    </w:p>
    <w:p w14:paraId="2BFC395D" w14:textId="4008929F" w:rsidR="007D3B60" w:rsidRPr="002D53CA" w:rsidRDefault="007D3B60" w:rsidP="007D3B60">
      <w:pPr>
        <w:pStyle w:val="NormalHanging12a"/>
      </w:pPr>
      <w:r w:rsidRPr="002D53CA">
        <w:t xml:space="preserve">2. </w:t>
      </w:r>
      <w:r w:rsidRPr="002D53CA">
        <w:tab/>
        <w:t>Observa que as autoridades suecas apresentaram a candidatura em 16 de junho de 2025 e que, na sequência da transmissão de informações complementares pela Suécia, a avaliação do pedido foi concluída pela Comissão em 28 de outubro de 2025, mais de quatro meses depois, e transmitida ao Parlamento na mesma data; frisa a importância de reduzir significativamente o período de avaliação entre a apresentação de uma candidatura a assistência do FEG e a decisão de financiamento, a fim de assegurar que o apoio financeiro possa ser mobilizado sem demora; sublinha a necessidade de simplificar e acelerar os procedimentos internos, assegurando plenamente o equilíbrio institucional, em particular os direitos do Parlamento enquanto autoridade orçamental;</w:t>
      </w:r>
    </w:p>
    <w:p w14:paraId="06316142" w14:textId="77777777" w:rsidR="007D3B60" w:rsidRPr="002D53CA" w:rsidRDefault="007D3B60" w:rsidP="007D3B60">
      <w:pPr>
        <w:pStyle w:val="NormalHanging12a"/>
      </w:pPr>
      <w:r w:rsidRPr="002D53CA">
        <w:t>3.</w:t>
      </w:r>
      <w:r w:rsidRPr="002D53CA">
        <w:tab/>
        <w:t xml:space="preserve">Assinala que a candidatura diz respeito a 6 486 trabalhadores despedidos afetados por um importante processo de reestruturação relativo à </w:t>
      </w:r>
      <w:proofErr w:type="spellStart"/>
      <w:r w:rsidRPr="002D53CA">
        <w:t>Northvolt</w:t>
      </w:r>
      <w:proofErr w:type="spellEnd"/>
      <w:r w:rsidRPr="002D53CA">
        <w:t>, que provocou a maior falência registada na Suécia nos tempos modernos; assinala ainda que o número total de beneficiários visados que devem participar nas medidas é de 5 800 trabalhadores despedidos;</w:t>
      </w:r>
    </w:p>
    <w:p w14:paraId="2F6CC47E" w14:textId="77777777" w:rsidR="007D3B60" w:rsidRPr="002D53CA" w:rsidRDefault="007D3B60" w:rsidP="007D3B60">
      <w:pPr>
        <w:pStyle w:val="NormalHanging12a"/>
      </w:pPr>
      <w:r w:rsidRPr="002D53CA">
        <w:t>4.</w:t>
      </w:r>
      <w:r w:rsidRPr="002D53CA">
        <w:tab/>
        <w:t xml:space="preserve">Regista de que o impacto dos despedimentos na cidade de </w:t>
      </w:r>
      <w:proofErr w:type="spellStart"/>
      <w:r w:rsidRPr="002D53CA">
        <w:t>Skellefteå</w:t>
      </w:r>
      <w:proofErr w:type="spellEnd"/>
      <w:r w:rsidRPr="002D53CA">
        <w:t xml:space="preserve"> é severo, tendo a taxa de desemprego atingido 8,2% no ano anterior; constata que a maioria dos trabalhadores despedidos tem níveis de educação elevados e menos de 54 anos de idade; realça que, tendo em conta as competências especializadas no domínio da produção de </w:t>
      </w:r>
      <w:r w:rsidRPr="002D53CA">
        <w:lastRenderedPageBreak/>
        <w:t>baterias e da engenharia, é necessária uma atuação rápida para prevenir um declínio regional estrutural, e sublinha a importância da promoção de empregos de elevada qualidade e orientados para o futuro como forma de garantir resiliência económica e social a longo prazo;</w:t>
      </w:r>
    </w:p>
    <w:p w14:paraId="7ABAF35B" w14:textId="77777777" w:rsidR="007D3B60" w:rsidRPr="002D53CA" w:rsidRDefault="007D3B60" w:rsidP="007D3B60">
      <w:pPr>
        <w:pStyle w:val="NormalHanging12a"/>
        <w:rPr>
          <w:bCs/>
          <w:iCs/>
        </w:rPr>
      </w:pPr>
      <w:r w:rsidRPr="002D53CA">
        <w:t>5.</w:t>
      </w:r>
      <w:r w:rsidRPr="002D53CA">
        <w:tab/>
        <w:t xml:space="preserve">Observa que, em agosto de 2025, a empresa americana em fase de arranque </w:t>
      </w:r>
      <w:proofErr w:type="spellStart"/>
      <w:r w:rsidRPr="002D53CA">
        <w:t>Lyten</w:t>
      </w:r>
      <w:proofErr w:type="spellEnd"/>
      <w:r w:rsidRPr="002D53CA">
        <w:t xml:space="preserve">, líder mundial no setor das baterias de lítio e enxofre, celebrou um acordo vinculativo para adquirir os ativos remanescentes da </w:t>
      </w:r>
      <w:proofErr w:type="spellStart"/>
      <w:r w:rsidRPr="002D53CA">
        <w:t>Northvolt</w:t>
      </w:r>
      <w:proofErr w:type="spellEnd"/>
      <w:r w:rsidRPr="002D53CA">
        <w:t xml:space="preserve"> na Suécia, na Alemanha e na Polónia, até ao final de 2025, e que a </w:t>
      </w:r>
      <w:proofErr w:type="spellStart"/>
      <w:r w:rsidRPr="002D53CA">
        <w:t>Lyten</w:t>
      </w:r>
      <w:proofErr w:type="spellEnd"/>
      <w:r w:rsidRPr="002D53CA">
        <w:t xml:space="preserve"> tenciona voltar a contratar os trabalhadores despedidos, tendo em conta a capacidade de lhes oferecer postos de trabalho equivalentes na região;</w:t>
      </w:r>
      <w:r w:rsidRPr="002D53CA">
        <w:rPr>
          <w:b/>
          <w:i/>
        </w:rPr>
        <w:t xml:space="preserve"> </w:t>
      </w:r>
      <w:r w:rsidRPr="002D53CA">
        <w:t>sublinha que a reinserção profissional deve ser considerada uma opção prioritária e que todos os montantes não utilizados devem ser restituídos à Comissão em caso de aquisição;</w:t>
      </w:r>
    </w:p>
    <w:p w14:paraId="7116E53D" w14:textId="77777777" w:rsidR="007D3B60" w:rsidRPr="002D53CA" w:rsidRDefault="007D3B60" w:rsidP="007D3B60">
      <w:pPr>
        <w:pStyle w:val="NormalHanging12a"/>
        <w:rPr>
          <w:bCs/>
          <w:iCs/>
        </w:rPr>
      </w:pPr>
      <w:r w:rsidRPr="002D53CA">
        <w:t>6.</w:t>
      </w:r>
      <w:r w:rsidRPr="002D53CA">
        <w:tab/>
        <w:t>Recorda que, em concertação com os sindicatos e os parceiros sociais, os serviços personalizados a prestar a todos os trabalhadores consistem nas seguintes ações: avaliação aprofundada e planeamento individual, atividades de procura de emprego e orientação, apoio à criação de empresa própria e apoio ao investimento, formação orientada para o mercado de trabalho, cursos de formação, apoio especial para aceder ao mercado de trabalho ou prosseguir a educação, subsídios e formação em competências digitais; salienta que as autoridades suecas devem tomar nota da origem dos fundos da União, garantir a sua visibilidade e pôr em evidência o valor acrescentado da intervenção da União, fornecendo informações coerentes, eficazes e específicas a diversos destinatários, nomeadamente informações orientadas para os beneficiários, as autoridades locais e regionais, os parceiros sociais, os meios de comunicação social e o público;</w:t>
      </w:r>
    </w:p>
    <w:p w14:paraId="166546AE" w14:textId="77777777" w:rsidR="007D3B60" w:rsidRPr="002D53CA" w:rsidRDefault="007D3B60" w:rsidP="007D3B60">
      <w:pPr>
        <w:pStyle w:val="NormalHanging12a"/>
        <w:rPr>
          <w:bCs/>
          <w:iCs/>
        </w:rPr>
      </w:pPr>
      <w:r w:rsidRPr="002D53CA">
        <w:t>7.</w:t>
      </w:r>
      <w:r w:rsidRPr="002D53CA">
        <w:tab/>
        <w:t>Sublinha que as qualificações e as competências dos trabalhadores despedidos não deixam de ser fundamentais para uma economia europeia adequada às exigências futuras, que permita concretizar a transição ecológica; considera, por conseguinte, que a mobilização do FEG deve ser integrada numa resposta política mais ampla, a fim de garantir que os trabalhadores afetados encontrem oportunidades adequadas que correspondam às suas qualificações e competências;</w:t>
      </w:r>
    </w:p>
    <w:p w14:paraId="46553BE1" w14:textId="77777777" w:rsidR="007D3B60" w:rsidRPr="002D53CA" w:rsidRDefault="007D3B60" w:rsidP="007D3B60">
      <w:pPr>
        <w:pStyle w:val="NormalHanging12a"/>
      </w:pPr>
      <w:r w:rsidRPr="002D53CA">
        <w:t>8.</w:t>
      </w:r>
      <w:r w:rsidRPr="002D53CA">
        <w:tab/>
        <w:t>Solicita a realização de avaliações finais exaustivas das medidas aplicadas, incluindo informações claras sobre a forma como os fundos foram utilizados e se foram gastos em conformidade com os planos aprovados, em particular nos casos de apoio financeiro direto, como o apoio às empresas em fase de arranque e ao investimento; requer ainda dados sobre o número de trabalhadores reintegrados com êxito no mercado de trabalho, bem como sobre os que concluíram ações de formação e de requalificação profissional;</w:t>
      </w:r>
    </w:p>
    <w:p w14:paraId="4EE70932" w14:textId="77777777" w:rsidR="007D3B60" w:rsidRPr="002D53CA" w:rsidRDefault="007D3B60" w:rsidP="007D3B60">
      <w:pPr>
        <w:pStyle w:val="NormalHanging12a"/>
      </w:pPr>
      <w:r w:rsidRPr="002D53CA">
        <w:t>9.</w:t>
      </w:r>
      <w:r w:rsidRPr="002D53CA">
        <w:tab/>
        <w:t>Assinala que a Suécia iniciou a prestação de serviços personalizados aos beneficiários visados e começou a pagar as despesas administrativas para a execução do FEG em 25 de outubro de 2024 e que, por conseguinte, o período de elegibilidade para uma contribuição financeira do FEG decorre a partir dessa data e até 24 e 31 meses após a data de entrada em vigor da decisão de financiamento, para os serviços personalizados e as despesas administrativas, respetivamente;</w:t>
      </w:r>
    </w:p>
    <w:p w14:paraId="10589091" w14:textId="77777777" w:rsidR="007D3B60" w:rsidRPr="002D53CA" w:rsidRDefault="007D3B60" w:rsidP="007D3B60">
      <w:pPr>
        <w:pStyle w:val="NormalHanging12a"/>
      </w:pPr>
      <w:r w:rsidRPr="002D53CA">
        <w:t>10.</w:t>
      </w:r>
      <w:r w:rsidRPr="002D53CA">
        <w:tab/>
        <w:t>Observa que as autoridades suecas confirmaram que os princípios da igualdade de tratamento e da não discriminação serão respeitados no acesso às ações propostas e na sua execução e que qualquer duplo financiamento será evitado;</w:t>
      </w:r>
    </w:p>
    <w:p w14:paraId="30AED681" w14:textId="77777777" w:rsidR="007D3B60" w:rsidRPr="002D53CA" w:rsidRDefault="007D3B60" w:rsidP="007D3B60">
      <w:pPr>
        <w:pStyle w:val="NormalHanging12a"/>
      </w:pPr>
      <w:r w:rsidRPr="002D53CA">
        <w:lastRenderedPageBreak/>
        <w:t>11.</w:t>
      </w:r>
      <w:r w:rsidRPr="002D53CA">
        <w:tab/>
        <w:t xml:space="preserve">Reitera que a assistência do FEG não deve substituir as medidas que são da responsabilidade das empresas ao abrigo da legislação nacional ou das convenções coletivas; </w:t>
      </w:r>
    </w:p>
    <w:p w14:paraId="3E67E5CF" w14:textId="77777777" w:rsidR="007D3B60" w:rsidRPr="002D53CA" w:rsidRDefault="007D3B60" w:rsidP="007D3B60">
      <w:pPr>
        <w:pStyle w:val="NormalHanging12a"/>
      </w:pPr>
      <w:r w:rsidRPr="002D53CA">
        <w:t>12.</w:t>
      </w:r>
      <w:r w:rsidRPr="002D53CA">
        <w:tab/>
        <w:t>Frisa a necessidade urgente de esforços coerentes e coordenados da União para assegurar a competitividade e a autonomia estratégica, desenvolvidos em estreita parceria com os Estados‑Membros e as regiões, a fim de salvaguardar a base de emprego industrial da Europa preparada para o futuro que responde aos requisitos da autonomia industrial europeia e reforça a posição da União em setores estratégicos, como a indústria das baterias e a indústria fornecedora, promovendo simultaneamente a transição ecológica e digital da União; sublinha que só uma economia europeia sólida, resiliente e sustentável pode prevenir eficazmente despedimentos em grande escala, reduzindo, assim, à partida, a necessidade de intervenção do FEG; salienta a necessidade de garantir que o financiamento da União seja claramente reconhecível e beneficie de uma grande visibilidade, a fim de realçar o seu valor acrescentado e a solidariedade europeia consubstanciada no FEG; apela a uma comunicação coerente e bem orientada com os beneficiários, as autoridades regionais e locais, os parceiros sociais, os meios de comunicação social e o público em geral; lamenta que a indústria de baterias europeia seja prejudicada pelos subsídios que o Governo chinês oferece aos seus produtores, o que provoca uma distorção da concorrência global;</w:t>
      </w:r>
    </w:p>
    <w:p w14:paraId="32E812F6" w14:textId="77777777" w:rsidR="007D3B60" w:rsidRPr="002D53CA" w:rsidRDefault="007D3B60" w:rsidP="007D3B60">
      <w:pPr>
        <w:pStyle w:val="NormalHanging12a"/>
      </w:pPr>
      <w:r w:rsidRPr="002D53CA">
        <w:t>13.</w:t>
      </w:r>
      <w:r w:rsidRPr="002D53CA">
        <w:tab/>
        <w:t>Aprova a decisão anexa à presente resolução;</w:t>
      </w:r>
    </w:p>
    <w:p w14:paraId="0C2C3C44" w14:textId="77777777" w:rsidR="007D3B60" w:rsidRPr="002D53CA" w:rsidRDefault="007D3B60" w:rsidP="007D3B60">
      <w:pPr>
        <w:pStyle w:val="NormalHanging12a"/>
      </w:pPr>
      <w:r w:rsidRPr="002D53CA">
        <w:t>14.</w:t>
      </w:r>
      <w:r w:rsidRPr="002D53CA">
        <w:tab/>
        <w:t xml:space="preserve">Encarrega a sua Presidente de assinar a decisão em referência, juntamente com o Presidente do Conselho, e de prover à respetiva publicação no </w:t>
      </w:r>
      <w:r w:rsidRPr="002D53CA">
        <w:rPr>
          <w:i/>
          <w:iCs/>
        </w:rPr>
        <w:t>Jornal Oficial da União Europeia</w:t>
      </w:r>
      <w:r w:rsidRPr="002D53CA">
        <w:t>;</w:t>
      </w:r>
    </w:p>
    <w:p w14:paraId="1810A877" w14:textId="77777777" w:rsidR="007D3B60" w:rsidRPr="002D53CA" w:rsidRDefault="007D3B60" w:rsidP="007D3B60">
      <w:pPr>
        <w:pStyle w:val="NormalHanging12a"/>
      </w:pPr>
      <w:r w:rsidRPr="002D53CA">
        <w:t>15.</w:t>
      </w:r>
      <w:r w:rsidRPr="002D53CA">
        <w:tab/>
        <w:t>Encarrega a sua Presidente de transmitir a presente resolução e o respetivo anexo ao Conselho e à Comissão.</w:t>
      </w:r>
    </w:p>
    <w:p w14:paraId="521B93B4" w14:textId="77777777" w:rsidR="007D3B60" w:rsidRPr="002D53CA" w:rsidRDefault="007D3B60" w:rsidP="007D3B60">
      <w:pPr>
        <w:rPr>
          <w:noProof/>
        </w:rPr>
      </w:pPr>
    </w:p>
    <w:p w14:paraId="06FE3C42" w14:textId="77777777" w:rsidR="007D3B60" w:rsidRPr="002D53CA" w:rsidRDefault="007D3B60" w:rsidP="007D3B60">
      <w:pPr>
        <w:pStyle w:val="PageHeading"/>
        <w:rPr>
          <w:noProof/>
        </w:rPr>
        <w:sectPr w:rsidR="007D3B60" w:rsidRPr="002D53CA" w:rsidSect="00B72770">
          <w:footerReference w:type="even" r:id="rId9"/>
          <w:footerReference w:type="defaul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D2A0DB6" w14:textId="77777777" w:rsidR="003242DB" w:rsidRDefault="007D3B60" w:rsidP="007D3B60">
      <w:pPr>
        <w:pStyle w:val="PageHeading"/>
        <w:rPr>
          <w:rFonts w:ascii="Times New Roman" w:hAnsi="Times New Roman" w:cs="Times New Roman"/>
        </w:rPr>
      </w:pPr>
      <w:bookmarkStart w:id="7" w:name="_Toc215740416"/>
      <w:r w:rsidRPr="003242DB">
        <w:rPr>
          <w:rFonts w:ascii="Times New Roman" w:hAnsi="Times New Roman" w:cs="Times New Roman"/>
        </w:rPr>
        <w:lastRenderedPageBreak/>
        <w:t>ANEXO</w:t>
      </w:r>
    </w:p>
    <w:p w14:paraId="625A579D" w14:textId="2EA2F8A8" w:rsidR="007D3B60" w:rsidRPr="003242DB" w:rsidRDefault="007D3B60" w:rsidP="007D3B60">
      <w:pPr>
        <w:pStyle w:val="PageHeading"/>
        <w:rPr>
          <w:rFonts w:ascii="Times New Roman" w:hAnsi="Times New Roman" w:cs="Times New Roman"/>
          <w:noProof/>
        </w:rPr>
      </w:pPr>
      <w:r w:rsidRPr="003242DB">
        <w:rPr>
          <w:rFonts w:ascii="Times New Roman" w:hAnsi="Times New Roman" w:cs="Times New Roman"/>
        </w:rPr>
        <w:t>DECISÃO DO PARLAMENTO EUROPEU E DO CONSELHO</w:t>
      </w:r>
      <w:bookmarkEnd w:id="7"/>
    </w:p>
    <w:p w14:paraId="3EDFFF3F" w14:textId="04760490" w:rsidR="007D3B60" w:rsidRDefault="007D3B60" w:rsidP="003242DB">
      <w:pPr>
        <w:pStyle w:val="NormalBold24a"/>
        <w:jc w:val="center"/>
      </w:pPr>
      <w:r w:rsidRPr="002D53CA">
        <w:t xml:space="preserve">relativa à mobilização do Fundo Europeu de Ajustamento à Globalização a favor dos Trabalhadores Despedidos na sequência de uma candidatura da Suécia </w:t>
      </w:r>
      <w:r w:rsidR="00FD5A7F" w:rsidRPr="002D53CA">
        <w:t>(</w:t>
      </w:r>
      <w:r w:rsidRPr="002D53CA">
        <w:t>EGF/2025/003 SE/</w:t>
      </w:r>
      <w:proofErr w:type="spellStart"/>
      <w:r w:rsidRPr="002D53CA">
        <w:t>Northvolt</w:t>
      </w:r>
      <w:proofErr w:type="spellEnd"/>
      <w:r w:rsidR="00FD5A7F" w:rsidRPr="002D53CA">
        <w:t>)</w:t>
      </w:r>
    </w:p>
    <w:p w14:paraId="5985C00B" w14:textId="67007AE7" w:rsidR="003242DB" w:rsidRPr="003242DB" w:rsidRDefault="003242DB" w:rsidP="003242DB">
      <w:pPr>
        <w:rPr>
          <w:i/>
          <w:iCs/>
        </w:rPr>
      </w:pPr>
      <w:r w:rsidRPr="003242DB">
        <w:rPr>
          <w:i/>
          <w:iCs/>
        </w:rPr>
        <w:t xml:space="preserve">(O texto deste anexo não é aqui reproduzido dado que corresponde ao ato final, Decisão (UE) </w:t>
      </w:r>
      <w:r>
        <w:rPr>
          <w:i/>
          <w:iCs/>
        </w:rPr>
        <w:t>2025</w:t>
      </w:r>
      <w:r w:rsidRPr="003242DB">
        <w:rPr>
          <w:i/>
          <w:iCs/>
        </w:rPr>
        <w:t>/</w:t>
      </w:r>
      <w:r>
        <w:rPr>
          <w:i/>
          <w:iCs/>
        </w:rPr>
        <w:t>2661</w:t>
      </w:r>
      <w:r w:rsidRPr="003242DB">
        <w:rPr>
          <w:i/>
          <w:iCs/>
        </w:rPr>
        <w:t>.)</w:t>
      </w:r>
    </w:p>
    <w:sectPr w:rsidR="003242DB" w:rsidRPr="003242DB" w:rsidSect="00B727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1FC8A" w14:textId="77777777" w:rsidR="000565F1" w:rsidRPr="00B72770" w:rsidRDefault="000565F1">
      <w:r w:rsidRPr="00B72770">
        <w:separator/>
      </w:r>
    </w:p>
  </w:endnote>
  <w:endnote w:type="continuationSeparator" w:id="0">
    <w:p w14:paraId="78D450AF" w14:textId="77777777" w:rsidR="000565F1" w:rsidRPr="00B72770" w:rsidRDefault="000565F1">
      <w:r w:rsidRPr="00B727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ED595" w14:textId="77777777" w:rsidR="007D3B60" w:rsidRPr="00B72770" w:rsidRDefault="007D3B60" w:rsidP="001F237D">
    <w:pPr>
      <w:pStyle w:val="EPFooter"/>
    </w:pPr>
    <w:r w:rsidRPr="00B72770">
      <w:t>PE</w:t>
    </w:r>
    <w:r w:rsidRPr="00B72770">
      <w:rPr>
        <w:rStyle w:val="HideTWBExt"/>
      </w:rPr>
      <w:t>&lt;NoPE&gt;</w:t>
    </w:r>
    <w:r w:rsidRPr="00B72770">
      <w:t>779.349</w:t>
    </w:r>
    <w:r w:rsidRPr="00B72770">
      <w:rPr>
        <w:rStyle w:val="HideTWBExt"/>
      </w:rPr>
      <w:t>&lt;/NoPE&gt;&lt;Version&gt;</w:t>
    </w:r>
    <w:r w:rsidRPr="00B72770">
      <w:t>v03-00</w:t>
    </w:r>
    <w:r w:rsidRPr="00B72770">
      <w:rPr>
        <w:rStyle w:val="HideTWBExt"/>
      </w:rPr>
      <w:t>&lt;/Version&gt;</w:t>
    </w:r>
    <w:r w:rsidRPr="00B72770">
      <w:tab/>
    </w:r>
    <w:r w:rsidRPr="00B72770">
      <w:fldChar w:fldCharType="begin"/>
    </w:r>
    <w:r w:rsidRPr="00B72770">
      <w:instrText xml:space="preserve"> PAGE  \* MERGEFORMAT </w:instrText>
    </w:r>
    <w:r w:rsidRPr="00B72770">
      <w:fldChar w:fldCharType="separate"/>
    </w:r>
    <w:r w:rsidRPr="00B72770">
      <w:rPr>
        <w:noProof/>
      </w:rPr>
      <w:t>2</w:t>
    </w:r>
    <w:r w:rsidRPr="00B72770">
      <w:fldChar w:fldCharType="end"/>
    </w:r>
    <w:r w:rsidRPr="00B72770">
      <w:t>/</w:t>
    </w:r>
    <w:r w:rsidR="00050CF8">
      <w:fldChar w:fldCharType="begin"/>
    </w:r>
    <w:r w:rsidR="00050CF8">
      <w:instrText xml:space="preserve"> NUMPAGES  \* MERGEFORMAT </w:instrText>
    </w:r>
    <w:r w:rsidR="00050CF8">
      <w:fldChar w:fldCharType="separate"/>
    </w:r>
    <w:r w:rsidRPr="00B72770">
      <w:rPr>
        <w:noProof/>
      </w:rPr>
      <w:t>19</w:t>
    </w:r>
    <w:r w:rsidR="00050CF8">
      <w:rPr>
        <w:noProof/>
      </w:rPr>
      <w:fldChar w:fldCharType="end"/>
    </w:r>
    <w:r w:rsidRPr="00B72770">
      <w:tab/>
    </w:r>
    <w:r w:rsidRPr="00B72770">
      <w:rPr>
        <w:rStyle w:val="HideTWBExt"/>
      </w:rPr>
      <w:t>&lt;PathFdR&gt;</w:t>
    </w:r>
    <w:r w:rsidRPr="00B72770">
      <w:t>RR\1332680PT.docx</w:t>
    </w:r>
    <w:r w:rsidRPr="00B72770">
      <w:rPr>
        <w:rStyle w:val="HideTWBExt"/>
      </w:rPr>
      <w:t>&lt;/PathFdR&gt;</w:t>
    </w:r>
  </w:p>
  <w:p w14:paraId="3B247305" w14:textId="77777777" w:rsidR="007D3B60" w:rsidRPr="00B72770" w:rsidRDefault="007D3B60" w:rsidP="001F237D">
    <w:pPr>
      <w:pStyle w:val="EPFooter2"/>
    </w:pPr>
    <w:r w:rsidRPr="00B72770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CEAD0" w14:textId="2B038D6C" w:rsidR="007D3B60" w:rsidRPr="00F60C40" w:rsidRDefault="007D3B60" w:rsidP="00F60C40">
    <w:pPr>
      <w:pStyle w:val="EPFooter2"/>
      <w:ind w:left="0"/>
      <w:rPr>
        <w:rFonts w:ascii="Times New Roman" w:hAnsi="Times New Roman" w:cs="Times New Roman"/>
        <w:b w:val="0"/>
        <w:bCs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28C9" w14:textId="77777777" w:rsidR="007D3B60" w:rsidRPr="00B72770" w:rsidRDefault="007D3B60" w:rsidP="001F237D">
    <w:pPr>
      <w:pStyle w:val="EPFooter"/>
    </w:pPr>
    <w:r w:rsidRPr="00B72770">
      <w:rPr>
        <w:rStyle w:val="HideTWBExt"/>
      </w:rPr>
      <w:t>&lt;PathFdR&gt;</w:t>
    </w:r>
    <w:r w:rsidRPr="00B72770">
      <w:t>RR\1332680PT.docx</w:t>
    </w:r>
    <w:r w:rsidRPr="00B72770">
      <w:rPr>
        <w:rStyle w:val="HideTWBExt"/>
      </w:rPr>
      <w:t>&lt;/PathFdR&gt;</w:t>
    </w:r>
    <w:r w:rsidRPr="00B72770">
      <w:tab/>
    </w:r>
    <w:r w:rsidRPr="00B72770">
      <w:tab/>
      <w:t>PE</w:t>
    </w:r>
    <w:r w:rsidRPr="00B72770">
      <w:rPr>
        <w:rStyle w:val="HideTWBExt"/>
      </w:rPr>
      <w:t>&lt;NoPE&gt;</w:t>
    </w:r>
    <w:r w:rsidRPr="00B72770">
      <w:t>779.349</w:t>
    </w:r>
    <w:r w:rsidRPr="00B72770">
      <w:rPr>
        <w:rStyle w:val="HideTWBExt"/>
      </w:rPr>
      <w:t>&lt;/NoPE&gt;&lt;Version&gt;</w:t>
    </w:r>
    <w:r w:rsidRPr="00B72770">
      <w:t>v03-00</w:t>
    </w:r>
    <w:r w:rsidRPr="00B72770">
      <w:rPr>
        <w:rStyle w:val="HideTWBExt"/>
      </w:rPr>
      <w:t>&lt;/Version&gt;</w:t>
    </w:r>
  </w:p>
  <w:p w14:paraId="0D5380DD" w14:textId="77777777" w:rsidR="007D3B60" w:rsidRPr="00B72770" w:rsidRDefault="007D3B60" w:rsidP="001F237D">
    <w:pPr>
      <w:pStyle w:val="EPFooter2"/>
    </w:pPr>
    <w:r w:rsidRPr="00B72770">
      <w:t>PT</w:t>
    </w:r>
    <w:r w:rsidRPr="00B72770">
      <w:tab/>
    </w:r>
    <w:r w:rsidRPr="00B72770">
      <w:rPr>
        <w:b w:val="0"/>
        <w:i/>
        <w:color w:val="C0C0C0"/>
        <w:sz w:val="22"/>
      </w:rPr>
      <w:t>Unida na diversidade</w:t>
    </w:r>
    <w:r w:rsidRPr="00B72770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CE0E7" w14:textId="77777777" w:rsidR="00064002" w:rsidRPr="00B72770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CB3B3" w14:textId="77777777" w:rsidR="00064002" w:rsidRPr="00B72770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7A456" w14:textId="77777777" w:rsidR="00064002" w:rsidRPr="00B727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1B975" w14:textId="77777777" w:rsidR="000565F1" w:rsidRPr="00B72770" w:rsidRDefault="000565F1">
      <w:r w:rsidRPr="00B72770">
        <w:separator/>
      </w:r>
    </w:p>
  </w:footnote>
  <w:footnote w:type="continuationSeparator" w:id="0">
    <w:p w14:paraId="2024963C" w14:textId="77777777" w:rsidR="000565F1" w:rsidRPr="00B72770" w:rsidRDefault="000565F1">
      <w:r w:rsidRPr="00B72770">
        <w:continuationSeparator/>
      </w:r>
    </w:p>
  </w:footnote>
  <w:footnote w:id="1">
    <w:p w14:paraId="2EFBCA9D" w14:textId="57E3B1F7" w:rsidR="007D3B60" w:rsidRPr="00B72770" w:rsidRDefault="007D3B60" w:rsidP="00B72770">
      <w:pPr>
        <w:pStyle w:val="FootnoteText"/>
        <w:ind w:left="567" w:hanging="567"/>
        <w:rPr>
          <w:sz w:val="24"/>
          <w:lang w:val="pt-PT"/>
        </w:rPr>
      </w:pPr>
      <w:r w:rsidRPr="00B72770">
        <w:rPr>
          <w:rStyle w:val="FootnoteReference"/>
          <w:sz w:val="24"/>
          <w:lang w:val="pt-PT"/>
        </w:rPr>
        <w:footnoteRef/>
      </w:r>
      <w:r w:rsidR="00B72770" w:rsidRPr="00B72770">
        <w:rPr>
          <w:sz w:val="24"/>
          <w:lang w:val="pt-PT"/>
        </w:rPr>
        <w:t xml:space="preserve"> </w:t>
      </w:r>
      <w:r w:rsidR="00B72770" w:rsidRPr="00B72770">
        <w:rPr>
          <w:sz w:val="24"/>
          <w:lang w:val="pt-PT"/>
        </w:rPr>
        <w:tab/>
      </w:r>
      <w:r w:rsidRPr="00B72770">
        <w:rPr>
          <w:sz w:val="24"/>
          <w:lang w:val="pt-PT"/>
        </w:rPr>
        <w:t xml:space="preserve">JO L 153 de 3.5.2021, p. 48, ELI: </w:t>
      </w:r>
      <w:hyperlink r:id="rId1" w:history="1">
        <w:r w:rsidRPr="00B72770">
          <w:rPr>
            <w:rStyle w:val="Hyperlink"/>
            <w:sz w:val="24"/>
            <w:lang w:val="pt-PT"/>
          </w:rPr>
          <w:t>http://data.europa.eu/eli/reg/2021/691/oj</w:t>
        </w:r>
      </w:hyperlink>
      <w:r w:rsidRPr="00B72770">
        <w:rPr>
          <w:sz w:val="24"/>
          <w:lang w:val="pt-PT"/>
        </w:rPr>
        <w:t>.</w:t>
      </w:r>
    </w:p>
  </w:footnote>
  <w:footnote w:id="2">
    <w:p w14:paraId="0C98C74C" w14:textId="117D66CE" w:rsidR="007D3B60" w:rsidRPr="00B72770" w:rsidRDefault="007D3B60" w:rsidP="00B72770">
      <w:pPr>
        <w:pStyle w:val="FootnoteText"/>
        <w:ind w:left="567" w:hanging="567"/>
        <w:rPr>
          <w:sz w:val="24"/>
          <w:lang w:val="pt-PT"/>
        </w:rPr>
      </w:pPr>
      <w:r w:rsidRPr="00B72770">
        <w:rPr>
          <w:rStyle w:val="FootnoteReference"/>
          <w:sz w:val="24"/>
          <w:lang w:val="pt-PT"/>
        </w:rPr>
        <w:footnoteRef/>
      </w:r>
      <w:r w:rsidR="00B72770" w:rsidRPr="00B72770">
        <w:rPr>
          <w:sz w:val="24"/>
          <w:lang w:val="pt-PT"/>
        </w:rPr>
        <w:t xml:space="preserve"> </w:t>
      </w:r>
      <w:r w:rsidR="00B72770" w:rsidRPr="00B72770">
        <w:rPr>
          <w:sz w:val="24"/>
          <w:lang w:val="pt-PT"/>
        </w:rPr>
        <w:tab/>
      </w:r>
      <w:r w:rsidRPr="00B72770">
        <w:rPr>
          <w:sz w:val="24"/>
          <w:lang w:val="pt-PT"/>
        </w:rPr>
        <w:t xml:space="preserve">JO L 433 I de 22.12.2020, p. 11, ELI: </w:t>
      </w:r>
      <w:hyperlink r:id="rId2" w:history="1">
        <w:r w:rsidRPr="00B72770">
          <w:rPr>
            <w:rStyle w:val="Hyperlink"/>
            <w:sz w:val="24"/>
            <w:lang w:val="pt-PT"/>
          </w:rPr>
          <w:t>http://data.europa.eu/eli/reg/2020/2093/oj</w:t>
        </w:r>
      </w:hyperlink>
      <w:r w:rsidRPr="00B72770">
        <w:rPr>
          <w:sz w:val="24"/>
          <w:lang w:val="pt-PT"/>
        </w:rPr>
        <w:t>.</w:t>
      </w:r>
    </w:p>
  </w:footnote>
  <w:footnote w:id="3">
    <w:p w14:paraId="5C22756A" w14:textId="5A84586F" w:rsidR="007D3B60" w:rsidRPr="00B72770" w:rsidRDefault="007D3B60" w:rsidP="00B72770">
      <w:pPr>
        <w:pStyle w:val="FootnoteText"/>
        <w:ind w:left="567" w:hanging="567"/>
        <w:rPr>
          <w:sz w:val="24"/>
          <w:lang w:val="pt-PT"/>
        </w:rPr>
      </w:pPr>
      <w:r w:rsidRPr="00B72770">
        <w:rPr>
          <w:rStyle w:val="FootnoteReference"/>
          <w:sz w:val="24"/>
          <w:lang w:val="pt-PT"/>
        </w:rPr>
        <w:footnoteRef/>
      </w:r>
      <w:r w:rsidR="00B72770" w:rsidRPr="00B72770">
        <w:rPr>
          <w:sz w:val="24"/>
          <w:shd w:val="clear" w:color="auto" w:fill="FFFFFF"/>
          <w:lang w:val="pt-PT"/>
        </w:rPr>
        <w:t xml:space="preserve"> </w:t>
      </w:r>
      <w:r w:rsidR="00B72770" w:rsidRPr="00B72770">
        <w:rPr>
          <w:sz w:val="24"/>
          <w:shd w:val="clear" w:color="auto" w:fill="FFFFFF"/>
          <w:lang w:val="pt-PT"/>
        </w:rPr>
        <w:tab/>
      </w:r>
      <w:r w:rsidRPr="00B72770">
        <w:rPr>
          <w:sz w:val="24"/>
          <w:shd w:val="clear" w:color="auto" w:fill="FFFFFF"/>
          <w:lang w:val="pt-PT"/>
        </w:rPr>
        <w:t xml:space="preserve">Regulamento (UE, </w:t>
      </w:r>
      <w:proofErr w:type="spellStart"/>
      <w:r w:rsidRPr="00B72770">
        <w:rPr>
          <w:sz w:val="24"/>
          <w:shd w:val="clear" w:color="auto" w:fill="FFFFFF"/>
          <w:lang w:val="pt-PT"/>
        </w:rPr>
        <w:t>Euratom</w:t>
      </w:r>
      <w:proofErr w:type="spellEnd"/>
      <w:r w:rsidRPr="00B72770">
        <w:rPr>
          <w:sz w:val="24"/>
          <w:shd w:val="clear" w:color="auto" w:fill="FFFFFF"/>
          <w:lang w:val="pt-PT"/>
        </w:rPr>
        <w:t xml:space="preserve">) 2024/765 do Conselho, de 29 de fevereiro de 2024, que altera o Regulamento (UE, </w:t>
      </w:r>
      <w:proofErr w:type="spellStart"/>
      <w:r w:rsidRPr="00B72770">
        <w:rPr>
          <w:sz w:val="24"/>
          <w:shd w:val="clear" w:color="auto" w:fill="FFFFFF"/>
          <w:lang w:val="pt-PT"/>
        </w:rPr>
        <w:t>Euratom</w:t>
      </w:r>
      <w:proofErr w:type="spellEnd"/>
      <w:r w:rsidRPr="00B72770">
        <w:rPr>
          <w:sz w:val="24"/>
          <w:shd w:val="clear" w:color="auto" w:fill="FFFFFF"/>
          <w:lang w:val="pt-PT"/>
        </w:rPr>
        <w:t>) 2020/2093 que estabelece o quadro financeiro plurianual para o período de 2021 a 2027 (JO L, 2024/765, 29.2.2024, ELI:</w:t>
      </w:r>
      <w:r w:rsidRPr="00B72770">
        <w:rPr>
          <w:color w:val="333333"/>
          <w:sz w:val="24"/>
          <w:shd w:val="clear" w:color="auto" w:fill="FFFFFF"/>
          <w:lang w:val="pt-PT"/>
        </w:rPr>
        <w:t xml:space="preserve"> </w:t>
      </w:r>
      <w:hyperlink r:id="rId3" w:history="1">
        <w:r w:rsidRPr="00B72770">
          <w:rPr>
            <w:rStyle w:val="Hyperlink"/>
            <w:sz w:val="24"/>
            <w:shd w:val="clear" w:color="auto" w:fill="FFFFFF"/>
            <w:lang w:val="pt-PT"/>
          </w:rPr>
          <w:t>http://data.europa.eu/eli/reg/2024/765/oj</w:t>
        </w:r>
      </w:hyperlink>
      <w:r w:rsidRPr="00B72770">
        <w:rPr>
          <w:sz w:val="24"/>
          <w:lang w:val="pt-PT"/>
        </w:rPr>
        <w:t>).</w:t>
      </w:r>
    </w:p>
  </w:footnote>
  <w:footnote w:id="4">
    <w:p w14:paraId="30FF564D" w14:textId="2311AE35" w:rsidR="007D3B60" w:rsidRPr="00886345" w:rsidRDefault="007D3B60" w:rsidP="00B72770">
      <w:pPr>
        <w:pStyle w:val="FootnoteText"/>
        <w:ind w:left="567" w:hanging="567"/>
        <w:rPr>
          <w:sz w:val="24"/>
          <w:lang w:val="da-DK"/>
        </w:rPr>
      </w:pPr>
      <w:r w:rsidRPr="00B72770">
        <w:rPr>
          <w:rStyle w:val="FootnoteReference"/>
          <w:sz w:val="24"/>
          <w:lang w:val="pt-PT"/>
        </w:rPr>
        <w:footnoteRef/>
      </w:r>
      <w:r w:rsidR="00B72770" w:rsidRPr="00886345">
        <w:rPr>
          <w:sz w:val="24"/>
          <w:lang w:val="da-DK"/>
        </w:rPr>
        <w:t xml:space="preserve"> </w:t>
      </w:r>
      <w:r w:rsidR="00B72770" w:rsidRPr="00886345">
        <w:rPr>
          <w:sz w:val="24"/>
          <w:lang w:val="da-DK"/>
        </w:rPr>
        <w:tab/>
      </w:r>
      <w:r w:rsidRPr="00886345">
        <w:rPr>
          <w:sz w:val="24"/>
          <w:lang w:val="da-DK"/>
        </w:rPr>
        <w:t xml:space="preserve">JO L 433 </w:t>
      </w:r>
      <w:r w:rsidR="00886345" w:rsidRPr="00886345">
        <w:rPr>
          <w:sz w:val="24"/>
          <w:lang w:val="da-DK"/>
        </w:rPr>
        <w:t xml:space="preserve">I </w:t>
      </w:r>
      <w:r w:rsidRPr="00886345">
        <w:rPr>
          <w:sz w:val="24"/>
          <w:lang w:val="da-DK"/>
        </w:rPr>
        <w:t xml:space="preserve">de 22.12.2020, p. 28, ELI: </w:t>
      </w:r>
      <w:hyperlink r:id="rId4" w:history="1">
        <w:r w:rsidRPr="00886345">
          <w:rPr>
            <w:rStyle w:val="Hyperlink"/>
            <w:sz w:val="24"/>
            <w:lang w:val="da-DK"/>
          </w:rPr>
          <w:t>http://data.europa.eu/eli/agree_interinstit/2020/1222/oj</w:t>
        </w:r>
      </w:hyperlink>
      <w:r w:rsidRPr="00886345">
        <w:rPr>
          <w:sz w:val="24"/>
          <w:lang w:val="da-DK"/>
        </w:rPr>
        <w:t>.</w:t>
      </w:r>
    </w:p>
  </w:footnote>
  <w:footnote w:id="5">
    <w:p w14:paraId="4E9E85F0" w14:textId="26AE8516" w:rsidR="007D3B60" w:rsidRPr="00B72770" w:rsidRDefault="007D3B60" w:rsidP="00B72770">
      <w:pPr>
        <w:pStyle w:val="FootnoteText"/>
        <w:ind w:left="567" w:hanging="567"/>
        <w:rPr>
          <w:sz w:val="24"/>
          <w:lang w:val="pt-PT"/>
        </w:rPr>
      </w:pPr>
      <w:r w:rsidRPr="00B72770">
        <w:rPr>
          <w:rStyle w:val="FootnoteReference"/>
          <w:sz w:val="24"/>
          <w:lang w:val="pt-PT"/>
        </w:rPr>
        <w:footnoteRef/>
      </w:r>
      <w:r w:rsidR="00B72770" w:rsidRPr="00B72770">
        <w:rPr>
          <w:sz w:val="24"/>
          <w:lang w:val="pt-PT"/>
        </w:rPr>
        <w:t xml:space="preserve"> </w:t>
      </w:r>
      <w:r w:rsidR="00B72770" w:rsidRPr="00B72770">
        <w:rPr>
          <w:sz w:val="24"/>
          <w:lang w:val="pt-PT"/>
        </w:rPr>
        <w:tab/>
      </w:r>
      <w:r w:rsidRPr="00B72770">
        <w:rPr>
          <w:sz w:val="24"/>
          <w:lang w:val="pt-PT"/>
        </w:rPr>
        <w:t>Na aceção do artigo 3.º do Regulamento FEG.</w:t>
      </w:r>
    </w:p>
  </w:footnote>
  <w:footnote w:id="6">
    <w:p w14:paraId="32852A58" w14:textId="45023A9B" w:rsidR="007D3B60" w:rsidRPr="00B72770" w:rsidRDefault="007D3B60" w:rsidP="00B72770">
      <w:pPr>
        <w:pStyle w:val="FootnoteText"/>
        <w:ind w:left="567" w:hanging="567"/>
        <w:rPr>
          <w:sz w:val="24"/>
          <w:lang w:val="pt-PT"/>
        </w:rPr>
      </w:pPr>
      <w:r w:rsidRPr="00B72770">
        <w:rPr>
          <w:rStyle w:val="FootnoteReference"/>
          <w:sz w:val="24"/>
          <w:lang w:val="pt-PT"/>
        </w:rPr>
        <w:footnoteRef/>
      </w:r>
      <w:r w:rsidR="00B72770" w:rsidRPr="00B72770">
        <w:rPr>
          <w:sz w:val="24"/>
          <w:lang w:val="pt-PT"/>
        </w:rPr>
        <w:t xml:space="preserve"> </w:t>
      </w:r>
      <w:r w:rsidR="00B72770" w:rsidRPr="00B72770">
        <w:rPr>
          <w:sz w:val="24"/>
          <w:lang w:val="pt-PT"/>
        </w:rPr>
        <w:tab/>
      </w:r>
      <w:r w:rsidRPr="00B72770">
        <w:rPr>
          <w:sz w:val="24"/>
          <w:lang w:val="pt-PT"/>
        </w:rPr>
        <w:t xml:space="preserve">Incluindo empresas comuns da </w:t>
      </w:r>
      <w:proofErr w:type="spellStart"/>
      <w:r w:rsidRPr="00B72770">
        <w:rPr>
          <w:sz w:val="24"/>
          <w:lang w:val="pt-PT"/>
        </w:rPr>
        <w:t>Northvolt</w:t>
      </w:r>
      <w:proofErr w:type="spellEnd"/>
      <w:r w:rsidRPr="00B72770">
        <w:rPr>
          <w:sz w:val="24"/>
          <w:lang w:val="pt-PT"/>
        </w:rPr>
        <w:t xml:space="preserve"> e da Volvo </w:t>
      </w:r>
      <w:proofErr w:type="spellStart"/>
      <w:r w:rsidRPr="00B72770">
        <w:rPr>
          <w:sz w:val="24"/>
          <w:lang w:val="pt-PT"/>
        </w:rPr>
        <w:t>Cars</w:t>
      </w:r>
      <w:proofErr w:type="spellEnd"/>
      <w:r w:rsidRPr="00B72770">
        <w:rPr>
          <w:sz w:val="24"/>
          <w:lang w:val="pt-PT"/>
        </w:rPr>
        <w:t xml:space="preserve">, das quais, no início de 2025, a Volvo </w:t>
      </w:r>
      <w:proofErr w:type="spellStart"/>
      <w:r w:rsidRPr="00B72770">
        <w:rPr>
          <w:sz w:val="24"/>
          <w:lang w:val="pt-PT"/>
        </w:rPr>
        <w:t>Cars</w:t>
      </w:r>
      <w:proofErr w:type="spellEnd"/>
      <w:r w:rsidRPr="00B72770">
        <w:rPr>
          <w:sz w:val="24"/>
          <w:lang w:val="pt-PT"/>
        </w:rPr>
        <w:t xml:space="preserve"> adquiriu todas as ações para ser a única proprietária dessas empresas.</w:t>
      </w:r>
    </w:p>
  </w:footnote>
  <w:footnote w:id="7">
    <w:p w14:paraId="39B649DC" w14:textId="06E4969A" w:rsidR="007D3B60" w:rsidRPr="00B72770" w:rsidRDefault="007D3B60" w:rsidP="00B72770">
      <w:pPr>
        <w:pStyle w:val="FootnoteText"/>
        <w:ind w:left="567" w:hanging="567"/>
        <w:rPr>
          <w:sz w:val="24"/>
          <w:lang w:val="pt-PT"/>
        </w:rPr>
      </w:pPr>
      <w:r w:rsidRPr="00B72770">
        <w:rPr>
          <w:rStyle w:val="FootnoteReference"/>
          <w:sz w:val="24"/>
          <w:lang w:val="pt-PT"/>
        </w:rPr>
        <w:footnoteRef/>
      </w:r>
      <w:r w:rsidR="00B72770" w:rsidRPr="00B72770">
        <w:rPr>
          <w:sz w:val="24"/>
          <w:lang w:val="pt-PT"/>
        </w:rPr>
        <w:t xml:space="preserve"> </w:t>
      </w:r>
      <w:r w:rsidR="00B72770" w:rsidRPr="00B72770">
        <w:rPr>
          <w:sz w:val="24"/>
          <w:lang w:val="pt-PT"/>
        </w:rPr>
        <w:tab/>
      </w:r>
      <w:r w:rsidRPr="00B72770">
        <w:rPr>
          <w:sz w:val="24"/>
          <w:lang w:val="pt-PT"/>
        </w:rPr>
        <w:t>Programa de trabalho da Comissão para 2026, O momento da independência europeia</w:t>
      </w:r>
      <w:r w:rsidR="00083AAB">
        <w:rPr>
          <w:sz w:val="24"/>
          <w:lang w:val="pt-PT"/>
        </w:rPr>
        <w:t xml:space="preserve"> </w:t>
      </w:r>
      <w:hyperlink r:id="rId5" w:history="1">
        <w:r w:rsidR="00083AAB" w:rsidRPr="00083AAB">
          <w:rPr>
            <w:rStyle w:val="Hyperlink"/>
            <w:sz w:val="24"/>
            <w:lang w:val="pt-PT"/>
          </w:rPr>
          <w:t>https://commission.europa.eu/strategy</w:t>
        </w:r>
        <w:r w:rsidR="00083AAB" w:rsidRPr="00083AAB">
          <w:rPr>
            <w:rStyle w:val="Hyperlink"/>
            <w:sz w:val="24"/>
            <w:lang w:val="pt-PT"/>
          </w:rPr>
          <w:noBreakHyphen/>
          <w:t>and</w:t>
        </w:r>
        <w:r w:rsidR="00083AAB" w:rsidRPr="00083AAB">
          <w:rPr>
            <w:rStyle w:val="Hyperlink"/>
            <w:sz w:val="24"/>
            <w:lang w:val="pt-PT"/>
          </w:rPr>
          <w:noBreakHyphen/>
          <w:t>policy/strategy</w:t>
        </w:r>
        <w:r w:rsidR="00083AAB" w:rsidRPr="00083AAB">
          <w:rPr>
            <w:rStyle w:val="Hyperlink"/>
            <w:sz w:val="24"/>
            <w:lang w:val="pt-PT"/>
          </w:rPr>
          <w:noBreakHyphen/>
          <w:t>documents/commission</w:t>
        </w:r>
        <w:r w:rsidR="00083AAB" w:rsidRPr="00083AAB">
          <w:rPr>
            <w:rStyle w:val="Hyperlink"/>
            <w:sz w:val="24"/>
            <w:lang w:val="pt-PT"/>
          </w:rPr>
          <w:noBreakHyphen/>
          <w:t>work</w:t>
        </w:r>
        <w:r w:rsidR="00083AAB" w:rsidRPr="00083AAB">
          <w:rPr>
            <w:rStyle w:val="Hyperlink"/>
            <w:sz w:val="24"/>
            <w:lang w:val="pt-PT"/>
          </w:rPr>
          <w:noBreakHyphen/>
          <w:t>programme/commission</w:t>
        </w:r>
        <w:r w:rsidR="00083AAB" w:rsidRPr="00083AAB">
          <w:rPr>
            <w:rStyle w:val="Hyperlink"/>
            <w:sz w:val="24"/>
            <w:lang w:val="pt-PT"/>
          </w:rPr>
          <w:noBreakHyphen/>
          <w:t>work</w:t>
        </w:r>
        <w:r w:rsidR="00083AAB" w:rsidRPr="00083AAB">
          <w:rPr>
            <w:rStyle w:val="Hyperlink"/>
            <w:sz w:val="24"/>
            <w:lang w:val="pt-PT"/>
          </w:rPr>
          <w:noBreakHyphen/>
          <w:t>programme</w:t>
        </w:r>
        <w:r w:rsidR="00083AAB" w:rsidRPr="00083AAB">
          <w:rPr>
            <w:rStyle w:val="Hyperlink"/>
            <w:sz w:val="24"/>
            <w:lang w:val="pt-PT"/>
          </w:rPr>
          <w:noBreakHyphen/>
          <w:t>2026_en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45DF0" w14:textId="77777777" w:rsidR="00064002" w:rsidRPr="00B727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D879F" w14:textId="77777777" w:rsidR="00064002" w:rsidRPr="00B727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062B2" w14:textId="77777777" w:rsidR="00064002" w:rsidRPr="00B727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91414326">
    <w:abstractNumId w:val="9"/>
  </w:num>
  <w:num w:numId="2" w16cid:durableId="424770866">
    <w:abstractNumId w:val="9"/>
  </w:num>
  <w:num w:numId="3" w16cid:durableId="370148804">
    <w:abstractNumId w:val="7"/>
  </w:num>
  <w:num w:numId="4" w16cid:durableId="1088887258">
    <w:abstractNumId w:val="7"/>
  </w:num>
  <w:num w:numId="5" w16cid:durableId="579213475">
    <w:abstractNumId w:val="6"/>
  </w:num>
  <w:num w:numId="6" w16cid:durableId="1336037532">
    <w:abstractNumId w:val="6"/>
  </w:num>
  <w:num w:numId="7" w16cid:durableId="1856990888">
    <w:abstractNumId w:val="5"/>
  </w:num>
  <w:num w:numId="8" w16cid:durableId="716011441">
    <w:abstractNumId w:val="5"/>
  </w:num>
  <w:num w:numId="9" w16cid:durableId="831679210">
    <w:abstractNumId w:val="4"/>
  </w:num>
  <w:num w:numId="10" w16cid:durableId="1071392016">
    <w:abstractNumId w:val="4"/>
  </w:num>
  <w:num w:numId="11" w16cid:durableId="1067189057">
    <w:abstractNumId w:val="8"/>
  </w:num>
  <w:num w:numId="12" w16cid:durableId="1028289852">
    <w:abstractNumId w:val="8"/>
  </w:num>
  <w:num w:numId="13" w16cid:durableId="63964050">
    <w:abstractNumId w:val="3"/>
  </w:num>
  <w:num w:numId="14" w16cid:durableId="620769639">
    <w:abstractNumId w:val="3"/>
  </w:num>
  <w:num w:numId="15" w16cid:durableId="1368680233">
    <w:abstractNumId w:val="2"/>
  </w:num>
  <w:num w:numId="16" w16cid:durableId="2360138">
    <w:abstractNumId w:val="2"/>
  </w:num>
  <w:num w:numId="17" w16cid:durableId="1396276130">
    <w:abstractNumId w:val="1"/>
  </w:num>
  <w:num w:numId="18" w16cid:durableId="1576041895">
    <w:abstractNumId w:val="1"/>
  </w:num>
  <w:num w:numId="19" w16cid:durableId="18943944">
    <w:abstractNumId w:val="0"/>
  </w:num>
  <w:num w:numId="20" w16cid:durableId="404954229">
    <w:abstractNumId w:val="0"/>
  </w:num>
  <w:num w:numId="21" w16cid:durableId="1045133652">
    <w:abstractNumId w:val="9"/>
  </w:num>
  <w:num w:numId="22" w16cid:durableId="1730685992">
    <w:abstractNumId w:val="7"/>
  </w:num>
  <w:num w:numId="23" w16cid:durableId="1315835835">
    <w:abstractNumId w:val="6"/>
  </w:num>
  <w:num w:numId="24" w16cid:durableId="1805541907">
    <w:abstractNumId w:val="5"/>
  </w:num>
  <w:num w:numId="25" w16cid:durableId="404569926">
    <w:abstractNumId w:val="4"/>
  </w:num>
  <w:num w:numId="26" w16cid:durableId="937101500">
    <w:abstractNumId w:val="8"/>
  </w:num>
  <w:num w:numId="27" w16cid:durableId="379863236">
    <w:abstractNumId w:val="3"/>
  </w:num>
  <w:num w:numId="28" w16cid:durableId="2111581888">
    <w:abstractNumId w:val="2"/>
  </w:num>
  <w:num w:numId="29" w16cid:durableId="1082339290">
    <w:abstractNumId w:val="1"/>
  </w:num>
  <w:num w:numId="30" w16cid:durableId="677466548">
    <w:abstractNumId w:val="0"/>
  </w:num>
  <w:num w:numId="31" w16cid:durableId="248925931">
    <w:abstractNumId w:val="9"/>
  </w:num>
  <w:num w:numId="32" w16cid:durableId="277378164">
    <w:abstractNumId w:val="7"/>
  </w:num>
  <w:num w:numId="33" w16cid:durableId="641538974">
    <w:abstractNumId w:val="6"/>
  </w:num>
  <w:num w:numId="34" w16cid:durableId="1631474296">
    <w:abstractNumId w:val="5"/>
  </w:num>
  <w:num w:numId="35" w16cid:durableId="998461552">
    <w:abstractNumId w:val="4"/>
  </w:num>
  <w:num w:numId="36" w16cid:durableId="1778867046">
    <w:abstractNumId w:val="8"/>
  </w:num>
  <w:num w:numId="37" w16cid:durableId="299505309">
    <w:abstractNumId w:val="3"/>
  </w:num>
  <w:num w:numId="38" w16cid:durableId="181094245">
    <w:abstractNumId w:val="2"/>
  </w:num>
  <w:num w:numId="39" w16cid:durableId="663053627">
    <w:abstractNumId w:val="1"/>
  </w:num>
  <w:num w:numId="40" w16cid:durableId="1343699756">
    <w:abstractNumId w:val="0"/>
  </w:num>
  <w:num w:numId="41" w16cid:durableId="461659445">
    <w:abstractNumId w:val="10"/>
  </w:num>
  <w:num w:numId="42" w16cid:durableId="112212931">
    <w:abstractNumId w:val="10"/>
  </w:num>
  <w:num w:numId="43" w16cid:durableId="175198274">
    <w:abstractNumId w:val="10"/>
  </w:num>
  <w:num w:numId="44" w16cid:durableId="12145359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9/2025"/>
    <w:docVar w:name="dvlangue" w:val="PT"/>
    <w:docVar w:name="dvnumam" w:val="0"/>
    <w:docVar w:name="dvpe" w:val="779.349"/>
    <w:docVar w:name="dvrapporteur" w:val="Relatora: "/>
    <w:docVar w:name="dvtitre" w:val="Resolução do Parlamento Europeu, de ... de ... de 2025,_x000d__x000a_ sobre a proposta de decisão do Parlamento Europeu e do Conselho relativa à mobilização do Fundo Europeu de Ajustamento à Globalização a favor dos Trabalhadores Despedidos na sequência de uma candidatura da Suécia — EGF/2025/003 SE/Northvolt(COM(2025)0621 – C10-0270/2025 – 2025/0326(BUD))"/>
  </w:docVars>
  <w:rsids>
    <w:rsidRoot w:val="000565F1"/>
    <w:rsid w:val="00002272"/>
    <w:rsid w:val="00050CF8"/>
    <w:rsid w:val="000565F1"/>
    <w:rsid w:val="00064002"/>
    <w:rsid w:val="000677B9"/>
    <w:rsid w:val="000831BA"/>
    <w:rsid w:val="00083AAB"/>
    <w:rsid w:val="000A42CC"/>
    <w:rsid w:val="000E7DD9"/>
    <w:rsid w:val="0010095E"/>
    <w:rsid w:val="00125B37"/>
    <w:rsid w:val="00187494"/>
    <w:rsid w:val="001F32AE"/>
    <w:rsid w:val="00210042"/>
    <w:rsid w:val="0026319B"/>
    <w:rsid w:val="002767FF"/>
    <w:rsid w:val="002B18FE"/>
    <w:rsid w:val="002B5493"/>
    <w:rsid w:val="002D53CA"/>
    <w:rsid w:val="003242DB"/>
    <w:rsid w:val="00343214"/>
    <w:rsid w:val="00361C00"/>
    <w:rsid w:val="0038332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0E0A"/>
    <w:rsid w:val="00786EC0"/>
    <w:rsid w:val="00794B61"/>
    <w:rsid w:val="007D1690"/>
    <w:rsid w:val="007D3B60"/>
    <w:rsid w:val="007E22AD"/>
    <w:rsid w:val="00817416"/>
    <w:rsid w:val="00842779"/>
    <w:rsid w:val="008527E5"/>
    <w:rsid w:val="00865F67"/>
    <w:rsid w:val="00881A7B"/>
    <w:rsid w:val="008840E5"/>
    <w:rsid w:val="00886345"/>
    <w:rsid w:val="00887B3E"/>
    <w:rsid w:val="008C2AC6"/>
    <w:rsid w:val="00930C23"/>
    <w:rsid w:val="0093193B"/>
    <w:rsid w:val="009509D8"/>
    <w:rsid w:val="00950B64"/>
    <w:rsid w:val="00981893"/>
    <w:rsid w:val="00A1687D"/>
    <w:rsid w:val="00A17A20"/>
    <w:rsid w:val="00A43E52"/>
    <w:rsid w:val="00A4678D"/>
    <w:rsid w:val="00A778C7"/>
    <w:rsid w:val="00AB441E"/>
    <w:rsid w:val="00AB6293"/>
    <w:rsid w:val="00AE0928"/>
    <w:rsid w:val="00AF3B82"/>
    <w:rsid w:val="00B015C5"/>
    <w:rsid w:val="00B12E95"/>
    <w:rsid w:val="00B22876"/>
    <w:rsid w:val="00B558F0"/>
    <w:rsid w:val="00B7277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434A"/>
    <w:rsid w:val="00D56C11"/>
    <w:rsid w:val="00D834A0"/>
    <w:rsid w:val="00D872DF"/>
    <w:rsid w:val="00D91E21"/>
    <w:rsid w:val="00DA7FCD"/>
    <w:rsid w:val="00E365E1"/>
    <w:rsid w:val="00E50D7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0C40"/>
    <w:rsid w:val="00F74202"/>
    <w:rsid w:val="00F87713"/>
    <w:rsid w:val="00FB4360"/>
    <w:rsid w:val="00FD0C70"/>
    <w:rsid w:val="00FD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149ED7"/>
  <w15:chartTrackingRefBased/>
  <w15:docId w15:val="{829D4A85-9BAD-4172-9A85-90A5B0681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D3B6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link w:val="PageHeadingChar"/>
    <w:rsid w:val="007D3B6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7D3B6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7D3B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D3B60"/>
    <w:rPr>
      <w:sz w:val="24"/>
      <w:lang w:val="pt-PT"/>
    </w:rPr>
  </w:style>
  <w:style w:type="paragraph" w:customStyle="1" w:styleId="NormalBold24a">
    <w:name w:val="NormalBold24a"/>
    <w:basedOn w:val="Normal"/>
    <w:rsid w:val="007D3B60"/>
    <w:pPr>
      <w:spacing w:after="480"/>
    </w:pPr>
    <w:rPr>
      <w:b/>
      <w:bCs/>
    </w:rPr>
  </w:style>
  <w:style w:type="paragraph" w:customStyle="1" w:styleId="EPFooter">
    <w:name w:val="EPFooter"/>
    <w:basedOn w:val="Normal"/>
    <w:rsid w:val="007D3B6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D3B60"/>
    <w:pPr>
      <w:spacing w:before="480" w:after="240"/>
    </w:pPr>
  </w:style>
  <w:style w:type="character" w:styleId="Hyperlink">
    <w:name w:val="Hyperlink"/>
    <w:basedOn w:val="DefaultParagraphFont"/>
    <w:uiPriority w:val="99"/>
    <w:rsid w:val="007D3B60"/>
    <w:rPr>
      <w:color w:val="0563C1" w:themeColor="hyperlink"/>
      <w:u w:val="single"/>
    </w:rPr>
  </w:style>
  <w:style w:type="paragraph" w:customStyle="1" w:styleId="Institutionquisigne">
    <w:name w:val="Institution qui signe"/>
    <w:basedOn w:val="Normal"/>
    <w:next w:val="Personnequisigne"/>
    <w:rsid w:val="007D3B60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D3B60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D3B60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D3B60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D3B60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D3B60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7D3B60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locked/>
    <w:rsid w:val="007D3B60"/>
    <w:rPr>
      <w:rFonts w:ascii="Arial" w:hAnsi="Arial" w:cs="Arial"/>
      <w:b/>
      <w:sz w:val="24"/>
      <w:lang w:val="pt-PT"/>
    </w:rPr>
  </w:style>
  <w:style w:type="paragraph" w:styleId="Revision">
    <w:name w:val="Revision"/>
    <w:hidden/>
    <w:uiPriority w:val="99"/>
    <w:semiHidden/>
    <w:rsid w:val="00083AAB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083AA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083A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083AA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83AAB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083A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83AAB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5" Type="http://schemas.openxmlformats.org/officeDocument/2006/relationships/hyperlink" Target="https://commission.europa.eu/strategyandpolicy/strategydocuments/commissionworkprogramme/commissionworkprogramme2026_en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2032</Words>
  <Characters>11397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2026-03-17T15:53:00Z</dcterms:created>
  <dcterms:modified xsi:type="dcterms:W3CDTF">2026-03-17T15:53:00Z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P10_TA(2025)0325_</vt:lpwstr>
  </property>
  <property fmtid="{D5CDD505-2E9C-101B-9397-08002B2CF9AE}" pid="4" name="&lt;Type&gt;">
    <vt:lpwstr>RR</vt:lpwstr>
  </property>
</Properties>
</file>