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66AD" w14:paraId="3E517720" w14:textId="77777777" w:rsidTr="0010095E">
        <w:trPr>
          <w:trHeight w:hRule="exact" w:val="1418"/>
        </w:trPr>
        <w:tc>
          <w:tcPr>
            <w:tcW w:w="6804" w:type="dxa"/>
            <w:shd w:val="clear" w:color="auto" w:fill="auto"/>
            <w:vAlign w:val="center"/>
          </w:tcPr>
          <w:p w14:paraId="3A80C708" w14:textId="77777777" w:rsidR="00751A4A" w:rsidRPr="003E66AD" w:rsidRDefault="00271DBF" w:rsidP="0010095E">
            <w:pPr>
              <w:pStyle w:val="EPName"/>
            </w:pPr>
            <w:r w:rsidRPr="003E66AD">
              <w:t>Parlamentul European</w:t>
            </w:r>
          </w:p>
          <w:p w14:paraId="796063E1" w14:textId="77777777" w:rsidR="00751A4A" w:rsidRPr="003E66AD" w:rsidRDefault="005F1B17" w:rsidP="005F1B17">
            <w:pPr>
              <w:pStyle w:val="EPTerm"/>
              <w:rPr>
                <w:rStyle w:val="HideTWBExt"/>
                <w:noProof w:val="0"/>
                <w:vanish w:val="0"/>
                <w:color w:val="auto"/>
              </w:rPr>
            </w:pPr>
            <w:r w:rsidRPr="003E66AD">
              <w:t>2024</w:t>
            </w:r>
            <w:r w:rsidR="00817416" w:rsidRPr="003E66AD">
              <w:t>-202</w:t>
            </w:r>
            <w:r w:rsidRPr="003E66AD">
              <w:t>9</w:t>
            </w:r>
          </w:p>
        </w:tc>
        <w:tc>
          <w:tcPr>
            <w:tcW w:w="2268" w:type="dxa"/>
            <w:shd w:val="clear" w:color="auto" w:fill="auto"/>
          </w:tcPr>
          <w:p w14:paraId="01E4B71D" w14:textId="77777777" w:rsidR="00751A4A" w:rsidRPr="003E66AD" w:rsidRDefault="00187494" w:rsidP="0010095E">
            <w:pPr>
              <w:pStyle w:val="EPLogo"/>
            </w:pPr>
            <w:r w:rsidRPr="003E66AD">
              <w:rPr>
                <w:noProof/>
                <w:lang w:eastAsia="ja-JP"/>
              </w:rPr>
              <w:drawing>
                <wp:inline distT="0" distB="0" distL="0" distR="0" wp14:anchorId="7ABC230C" wp14:editId="1E9975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53EB2E" w14:textId="77777777" w:rsidR="00D058B8" w:rsidRPr="003E66AD" w:rsidRDefault="00D058B8" w:rsidP="004C5D52">
      <w:pPr>
        <w:pStyle w:val="LineTop"/>
      </w:pPr>
    </w:p>
    <w:p w14:paraId="6C722B69" w14:textId="77777777" w:rsidR="00680577" w:rsidRPr="003E66AD" w:rsidRDefault="00271DBF" w:rsidP="00680577">
      <w:pPr>
        <w:pStyle w:val="EPBodyTA1"/>
      </w:pPr>
      <w:r w:rsidRPr="003E66AD">
        <w:t>TEXTE ADOPTATE</w:t>
      </w:r>
    </w:p>
    <w:p w14:paraId="72F843F7" w14:textId="77777777" w:rsidR="00D058B8" w:rsidRPr="003E66AD" w:rsidRDefault="00D058B8" w:rsidP="00D058B8">
      <w:pPr>
        <w:pStyle w:val="LineBottom"/>
      </w:pPr>
    </w:p>
    <w:p w14:paraId="39545F6E" w14:textId="35ADA1AF" w:rsidR="00271DBF" w:rsidRPr="003E66AD" w:rsidRDefault="00271DBF" w:rsidP="00271DBF">
      <w:pPr>
        <w:pStyle w:val="ATHeading1"/>
      </w:pPr>
      <w:bookmarkStart w:id="0" w:name="TANumber"/>
      <w:r w:rsidRPr="003E66AD">
        <w:t>P10_TA(2025)0</w:t>
      </w:r>
      <w:bookmarkEnd w:id="0"/>
      <w:r w:rsidR="003E66AD">
        <w:t>325</w:t>
      </w:r>
    </w:p>
    <w:p w14:paraId="74DDCCCF" w14:textId="18154089" w:rsidR="00271DBF" w:rsidRPr="003E66AD" w:rsidRDefault="00271DBF" w:rsidP="00271DBF">
      <w:pPr>
        <w:pStyle w:val="ATHeading2"/>
      </w:pPr>
      <w:bookmarkStart w:id="1" w:name="title"/>
      <w:r w:rsidRPr="003E66AD">
        <w:t>Mobilizarea Fondului european de ajustare la globalizare pentru lucrătorii disponibilizați</w:t>
      </w:r>
      <w:r w:rsidR="0013516D" w:rsidRPr="003E66AD">
        <w:t xml:space="preserve"> în urma unei cereri din partea Suediei –</w:t>
      </w:r>
      <w:r w:rsidRPr="003E66AD">
        <w:t xml:space="preserve"> EGF/2025/003 SE/</w:t>
      </w:r>
      <w:proofErr w:type="spellStart"/>
      <w:r w:rsidRPr="003E66AD">
        <w:t>Northvolt</w:t>
      </w:r>
      <w:bookmarkEnd w:id="1"/>
      <w:proofErr w:type="spellEnd"/>
    </w:p>
    <w:p w14:paraId="7C0716D5" w14:textId="77777777" w:rsidR="00271DBF" w:rsidRPr="003E66AD" w:rsidRDefault="00271DBF" w:rsidP="00271DBF">
      <w:pPr>
        <w:rPr>
          <w:i/>
          <w:vanish/>
        </w:rPr>
      </w:pPr>
      <w:r w:rsidRPr="003E66AD">
        <w:rPr>
          <w:i/>
        </w:rPr>
        <w:fldChar w:fldCharType="begin"/>
      </w:r>
      <w:r w:rsidRPr="003E66AD">
        <w:rPr>
          <w:i/>
        </w:rPr>
        <w:instrText xml:space="preserve"> TC"(</w:instrText>
      </w:r>
      <w:bookmarkStart w:id="2" w:name="DocNumber"/>
      <w:r w:rsidRPr="003E66AD">
        <w:rPr>
          <w:i/>
        </w:rPr>
        <w:instrText>A10-0239/2025</w:instrText>
      </w:r>
      <w:bookmarkEnd w:id="2"/>
      <w:r w:rsidRPr="003E66AD">
        <w:rPr>
          <w:i/>
        </w:rPr>
        <w:instrText xml:space="preserve"> - Raportoare: Aura </w:instrText>
      </w:r>
      <w:proofErr w:type="spellStart"/>
      <w:r w:rsidRPr="003E66AD">
        <w:rPr>
          <w:i/>
        </w:rPr>
        <w:instrText>Salla</w:instrText>
      </w:r>
      <w:proofErr w:type="spellEnd"/>
      <w:r w:rsidRPr="003E66AD">
        <w:rPr>
          <w:i/>
        </w:rPr>
        <w:instrText xml:space="preserve">)"\l3 \n&gt; \* MERGEFORMAT </w:instrText>
      </w:r>
      <w:r w:rsidRPr="003E66AD">
        <w:rPr>
          <w:i/>
        </w:rPr>
        <w:fldChar w:fldCharType="end"/>
      </w:r>
    </w:p>
    <w:p w14:paraId="3703F07A" w14:textId="77777777" w:rsidR="00271DBF" w:rsidRPr="003E66AD" w:rsidRDefault="00271DBF" w:rsidP="00271DBF">
      <w:pPr>
        <w:rPr>
          <w:vanish/>
        </w:rPr>
      </w:pPr>
      <w:bookmarkStart w:id="3" w:name="Commission"/>
      <w:r w:rsidRPr="003E66AD">
        <w:rPr>
          <w:vanish/>
        </w:rPr>
        <w:t>Comisia pentru bugete</w:t>
      </w:r>
      <w:bookmarkEnd w:id="3"/>
    </w:p>
    <w:p w14:paraId="2D2D3EFB" w14:textId="77777777" w:rsidR="00271DBF" w:rsidRPr="003E66AD" w:rsidRDefault="00271DBF" w:rsidP="00271DBF">
      <w:pPr>
        <w:rPr>
          <w:vanish/>
        </w:rPr>
      </w:pPr>
      <w:bookmarkStart w:id="4" w:name="PE"/>
      <w:r w:rsidRPr="003E66AD">
        <w:rPr>
          <w:vanish/>
        </w:rPr>
        <w:t>PE779.349</w:t>
      </w:r>
      <w:bookmarkEnd w:id="4"/>
    </w:p>
    <w:p w14:paraId="3BD5E1AD" w14:textId="6C4504A3" w:rsidR="00271DBF" w:rsidRPr="003E66AD" w:rsidRDefault="00271DBF" w:rsidP="00271DBF">
      <w:pPr>
        <w:pStyle w:val="ATHeading3"/>
      </w:pPr>
      <w:bookmarkStart w:id="5" w:name="Sujet"/>
      <w:r w:rsidRPr="003E66AD">
        <w:t xml:space="preserve">Rezoluția Parlamentului European din </w:t>
      </w:r>
      <w:r w:rsidR="007B48C5" w:rsidRPr="003E66AD">
        <w:t>16 decembrie</w:t>
      </w:r>
      <w:r w:rsidRPr="003E66AD">
        <w:t xml:space="preserve"> 2025 referitoare la propunerea de decizie a Parlamentului European și a Consiliului privind mobilizarea Fondului european de ajustare la globalizare pentru lucrătorii disponibilizați în urma unei cereri din partea Suediei – EGF/2025/003 SE/</w:t>
      </w:r>
      <w:proofErr w:type="spellStart"/>
      <w:r w:rsidRPr="003E66AD">
        <w:t>Northvolt</w:t>
      </w:r>
      <w:bookmarkEnd w:id="5"/>
      <w:proofErr w:type="spellEnd"/>
      <w:r w:rsidRPr="003E66AD">
        <w:t xml:space="preserve"> </w:t>
      </w:r>
      <w:bookmarkStart w:id="6" w:name="References"/>
      <w:r w:rsidRPr="003E66AD">
        <w:t>(COM(2025)0621 – C10-0270/2025 – 2025/0326(BUD))</w:t>
      </w:r>
      <w:bookmarkEnd w:id="6"/>
    </w:p>
    <w:p w14:paraId="02D87BF9" w14:textId="77777777" w:rsidR="00056BAA" w:rsidRPr="003E66AD" w:rsidRDefault="00056BAA" w:rsidP="00056BAA">
      <w:pPr>
        <w:pStyle w:val="EPComma"/>
        <w:rPr>
          <w:noProof/>
        </w:rPr>
      </w:pPr>
      <w:r w:rsidRPr="003E66AD">
        <w:rPr>
          <w:i/>
          <w:iCs/>
        </w:rPr>
        <w:t>Parlamentul European</w:t>
      </w:r>
      <w:r w:rsidRPr="003E66AD">
        <w:t>,</w:t>
      </w:r>
    </w:p>
    <w:p w14:paraId="4618ACA4" w14:textId="77777777" w:rsidR="00056BAA" w:rsidRPr="003E66AD" w:rsidRDefault="00056BAA" w:rsidP="00056BAA">
      <w:pPr>
        <w:pStyle w:val="NormalHanging12a"/>
        <w:rPr>
          <w:noProof/>
        </w:rPr>
      </w:pPr>
      <w:r w:rsidRPr="003E66AD">
        <w:t>–</w:t>
      </w:r>
      <w:r w:rsidRPr="003E66AD">
        <w:tab/>
        <w:t>având în vedere propunerea Comisiei prezentată Parlamentului European și Consiliului (COM(2025)0621 – C10</w:t>
      </w:r>
      <w:r w:rsidRPr="003E66AD">
        <w:noBreakHyphen/>
        <w:t>0270/2025),</w:t>
      </w:r>
    </w:p>
    <w:p w14:paraId="3BA3D75D" w14:textId="77777777" w:rsidR="00056BAA" w:rsidRPr="003E66AD" w:rsidRDefault="00056BAA" w:rsidP="00056BAA">
      <w:pPr>
        <w:pStyle w:val="NormalHanging12a"/>
      </w:pPr>
      <w:r w:rsidRPr="003E66AD">
        <w:t>–</w:t>
      </w:r>
      <w:r w:rsidRPr="003E66AD">
        <w:tab/>
        <w:t>având în vedere Regulamentul (UE) 2021/691 al Parlamentului European și al Consiliului din 28 aprilie 2021 privind Fondul european de ajustare la globalizare pentru lucrătorii disponibilizați (FEG) și de abrogare a Regulamentului (UE) nr. 1309/2013</w:t>
      </w:r>
      <w:r w:rsidRPr="003E66AD">
        <w:rPr>
          <w:vertAlign w:val="superscript"/>
        </w:rPr>
        <w:footnoteReference w:id="1"/>
      </w:r>
      <w:r w:rsidRPr="003E66AD">
        <w:t xml:space="preserve"> (denumit în continuare „Regulamentul privind FEG”), </w:t>
      </w:r>
    </w:p>
    <w:p w14:paraId="1789D5B7" w14:textId="0A3BFC99" w:rsidR="00056BAA" w:rsidRPr="003E66AD" w:rsidRDefault="00056BAA" w:rsidP="00056BAA">
      <w:pPr>
        <w:pStyle w:val="NormalHanging12a"/>
        <w:rPr>
          <w:noProof/>
        </w:rPr>
      </w:pPr>
      <w:r w:rsidRPr="003E66AD">
        <w:t>–</w:t>
      </w:r>
      <w:r w:rsidRPr="003E66AD">
        <w:tab/>
        <w:t>având în vedere Regulamentul (UE, Euratom) 2020/2093 al Consiliului din 17 decembrie 2020 de stabilire a cadrului financiar multianual pentru perioada 2021-2027</w:t>
      </w:r>
      <w:r w:rsidRPr="003E66AD">
        <w:rPr>
          <w:noProof/>
          <w:vertAlign w:val="superscript"/>
        </w:rPr>
        <w:footnoteReference w:id="2"/>
      </w:r>
      <w:r w:rsidRPr="003E66AD">
        <w:t>, astfel cum a fost modificat prin Regulamentul (UE, Euratom) 2024/765</w:t>
      </w:r>
      <w:r w:rsidR="009B2612" w:rsidRPr="003E66AD">
        <w:t xml:space="preserve"> al Consiliului</w:t>
      </w:r>
      <w:r w:rsidRPr="003E66AD">
        <w:rPr>
          <w:noProof/>
          <w:vertAlign w:val="superscript"/>
        </w:rPr>
        <w:footnoteReference w:id="3"/>
      </w:r>
      <w:r w:rsidRPr="003E66AD">
        <w:t xml:space="preserve">, în special articolul 8, </w:t>
      </w:r>
    </w:p>
    <w:p w14:paraId="1DD89989" w14:textId="77777777" w:rsidR="00056BAA" w:rsidRPr="003E66AD" w:rsidRDefault="00056BAA" w:rsidP="00056BAA">
      <w:pPr>
        <w:pStyle w:val="NormalHanging12a"/>
        <w:rPr>
          <w:noProof/>
        </w:rPr>
      </w:pPr>
      <w:r w:rsidRPr="003E66AD">
        <w:t>–</w:t>
      </w:r>
      <w:r w:rsidRPr="003E66AD">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3E66AD">
        <w:lastRenderedPageBreak/>
        <w:t>proprii</w:t>
      </w:r>
      <w:r w:rsidRPr="003E66AD">
        <w:rPr>
          <w:rStyle w:val="FootnoteReference"/>
          <w:noProof/>
        </w:rPr>
        <w:footnoteReference w:id="4"/>
      </w:r>
      <w:r w:rsidRPr="003E66AD">
        <w:t>, în special punctul 9,</w:t>
      </w:r>
    </w:p>
    <w:p w14:paraId="1986DE42" w14:textId="77777777" w:rsidR="00056BAA" w:rsidRPr="003E66AD" w:rsidRDefault="00056BAA" w:rsidP="00056BAA">
      <w:pPr>
        <w:pStyle w:val="NormalHanging12a"/>
      </w:pPr>
      <w:r w:rsidRPr="003E66AD">
        <w:t>–</w:t>
      </w:r>
      <w:r w:rsidRPr="003E66AD">
        <w:tab/>
        <w:t>având în vedere avizul Comisiei pentru ocuparea forței de muncă și afaceri sociale,</w:t>
      </w:r>
    </w:p>
    <w:p w14:paraId="66095A5F" w14:textId="77777777" w:rsidR="00056BAA" w:rsidRPr="003E66AD" w:rsidRDefault="00056BAA" w:rsidP="00056BAA">
      <w:pPr>
        <w:pStyle w:val="NormalHanging12a"/>
      </w:pPr>
      <w:r w:rsidRPr="003E66AD">
        <w:t>–</w:t>
      </w:r>
      <w:r w:rsidRPr="003E66AD">
        <w:tab/>
        <w:t>având în vedere raportul Comisiei pentru bugete (A10-0239/2025),</w:t>
      </w:r>
    </w:p>
    <w:p w14:paraId="0FDCEAE5" w14:textId="77777777" w:rsidR="00056BAA" w:rsidRPr="003E66AD" w:rsidRDefault="00056BAA" w:rsidP="00056BAA">
      <w:pPr>
        <w:pStyle w:val="NormalHanging12a"/>
        <w:rPr>
          <w:noProof/>
        </w:rPr>
      </w:pPr>
      <w:r w:rsidRPr="003E66AD">
        <w:t>A.</w:t>
      </w:r>
      <w:r w:rsidRPr="003E66AD">
        <w:tab/>
        <w:t>întrucât Uniunea a instituit instrumente legislative și bugetare pentru a oferi un sprijin în plus lucrătorilor afectați de consecințele schimbărilor structurale majore intervenite în practicile comerciale internaționale sau de efectele crizei economice și financiare mondiale și pentru a-i ajuta să se reintegreze pe piața muncii; întrucât acest ajutor se traduce printr-un sprijin financiar acordat lucrătorilor și întreprinderilor pentru care au lucrat;</w:t>
      </w:r>
    </w:p>
    <w:p w14:paraId="292C1AC0" w14:textId="77777777" w:rsidR="00056BAA" w:rsidRPr="003E66AD" w:rsidRDefault="00056BAA" w:rsidP="00056BAA">
      <w:pPr>
        <w:pStyle w:val="NormalHanging12a"/>
      </w:pPr>
      <w:r w:rsidRPr="003E66AD">
        <w:t xml:space="preserve">B. </w:t>
      </w:r>
      <w:r w:rsidRPr="003E66AD">
        <w:tab/>
        <w:t>întrucât Suedia a depus cererea EGF/2025/003 SE/</w:t>
      </w:r>
      <w:proofErr w:type="spellStart"/>
      <w:r w:rsidRPr="003E66AD">
        <w:t>Northvolt</w:t>
      </w:r>
      <w:proofErr w:type="spellEnd"/>
      <w:r w:rsidRPr="003E66AD">
        <w:t>, solicitând o contribuție financiară din Fondul european de ajustare la globalizare (FEG) ca urmare a 6 486 de disponibilizări</w:t>
      </w:r>
      <w:r w:rsidRPr="003E66AD">
        <w:rPr>
          <w:vertAlign w:val="superscript"/>
        </w:rPr>
        <w:footnoteReference w:id="5"/>
      </w:r>
      <w:r w:rsidRPr="003E66AD">
        <w:t xml:space="preserve"> în sectorul economic încadrat la diviziunea 71 a NACE Rev. 2 (Activități de arhitectură și inginerie; testări și analize tehnice) în regiunile </w:t>
      </w:r>
      <w:proofErr w:type="spellStart"/>
      <w:r w:rsidRPr="003E66AD">
        <w:t>Övre</w:t>
      </w:r>
      <w:proofErr w:type="spellEnd"/>
      <w:r w:rsidRPr="003E66AD">
        <w:t xml:space="preserve"> </w:t>
      </w:r>
      <w:proofErr w:type="spellStart"/>
      <w:r w:rsidRPr="003E66AD">
        <w:t>Norrland</w:t>
      </w:r>
      <w:proofErr w:type="spellEnd"/>
      <w:r w:rsidRPr="003E66AD">
        <w:t xml:space="preserve"> (SE33), Stockholm (SE11) și </w:t>
      </w:r>
      <w:proofErr w:type="spellStart"/>
      <w:r w:rsidRPr="003E66AD">
        <w:t>Östra</w:t>
      </w:r>
      <w:proofErr w:type="spellEnd"/>
      <w:r w:rsidRPr="003E66AD">
        <w:t xml:space="preserve"> </w:t>
      </w:r>
      <w:proofErr w:type="spellStart"/>
      <w:r w:rsidRPr="003E66AD">
        <w:t>Mellansverige</w:t>
      </w:r>
      <w:proofErr w:type="spellEnd"/>
      <w:r w:rsidRPr="003E66AD">
        <w:t xml:space="preserve"> (SE12), înregistrându-se 5 829 de disponibilizări în perioada de referință pentru cerere, cuprinsă între 28 noiembrie 2024 și 28 martie 2025, și 657 de disponibilizări înainte sau după perioada de referință; </w:t>
      </w:r>
    </w:p>
    <w:p w14:paraId="1C0AFD23" w14:textId="77777777" w:rsidR="00056BAA" w:rsidRPr="003E66AD" w:rsidRDefault="00056BAA" w:rsidP="00056BAA">
      <w:pPr>
        <w:pStyle w:val="NormalHanging12a"/>
      </w:pPr>
      <w:r w:rsidRPr="003E66AD">
        <w:t xml:space="preserve">C. </w:t>
      </w:r>
      <w:r w:rsidRPr="003E66AD">
        <w:tab/>
        <w:t xml:space="preserve">întrucât, în perioada de referință pentru cerere, au fost identificate în total 5 829 de disponibilizări, dintre care 5 561 de lucrători disponibilizați a căror activitate a încetat la </w:t>
      </w:r>
      <w:proofErr w:type="spellStart"/>
      <w:r w:rsidRPr="003E66AD">
        <w:t>Northvolt</w:t>
      </w:r>
      <w:proofErr w:type="spellEnd"/>
      <w:r w:rsidRPr="003E66AD">
        <w:t xml:space="preserve"> AB (</w:t>
      </w:r>
      <w:proofErr w:type="spellStart"/>
      <w:r w:rsidRPr="003E66AD">
        <w:t>Northvolt</w:t>
      </w:r>
      <w:proofErr w:type="spellEnd"/>
      <w:r w:rsidRPr="003E66AD">
        <w:t>) și filialele sale</w:t>
      </w:r>
      <w:r w:rsidRPr="003E66AD">
        <w:rPr>
          <w:vertAlign w:val="superscript"/>
        </w:rPr>
        <w:footnoteReference w:id="6"/>
      </w:r>
      <w:r w:rsidRPr="003E66AD">
        <w:t xml:space="preserve"> și 268 de lucrători disponibilizați de la 8 furnizori și producători din aval ai </w:t>
      </w:r>
      <w:proofErr w:type="spellStart"/>
      <w:r w:rsidRPr="003E66AD">
        <w:t>Northvolt</w:t>
      </w:r>
      <w:proofErr w:type="spellEnd"/>
      <w:r w:rsidRPr="003E66AD">
        <w:t>;</w:t>
      </w:r>
    </w:p>
    <w:p w14:paraId="6C9DE2D5" w14:textId="77777777" w:rsidR="00056BAA" w:rsidRPr="003E66AD" w:rsidRDefault="00056BAA" w:rsidP="00056BAA">
      <w:pPr>
        <w:pStyle w:val="NormalHanging12a"/>
      </w:pPr>
      <w:r w:rsidRPr="003E66AD">
        <w:t>D.</w:t>
      </w:r>
      <w:r w:rsidRPr="003E66AD">
        <w:tab/>
        <w:t xml:space="preserve">întrucât cererea se bazează pe criteriile de intervenție de la articolul 4 alineatul (2) litera (a) din Regulamentul privind FEG; întrucât, pentru cei 657 de lucrători disponibilizați a căror activitate a încetat înainte sau după perioada de referință de patru luni, se poate stabili o legătură clară de cauzalitate cu evenimentul care a declanșat încetarea activității lucrătorilor disponibilizați în perioada de referință, astfel cum prevede articolul 6 alineatul (2) din Regulamentul privind FEG; </w:t>
      </w:r>
    </w:p>
    <w:p w14:paraId="0013EB49" w14:textId="77777777" w:rsidR="00056BAA" w:rsidRPr="003E66AD" w:rsidRDefault="00056BAA" w:rsidP="00056BAA">
      <w:pPr>
        <w:pStyle w:val="NormalHanging12a"/>
      </w:pPr>
      <w:r w:rsidRPr="003E66AD">
        <w:t xml:space="preserve">E. </w:t>
      </w:r>
      <w:r w:rsidRPr="003E66AD">
        <w:tab/>
        <w:t xml:space="preserve">întrucât </w:t>
      </w:r>
      <w:proofErr w:type="spellStart"/>
      <w:r w:rsidRPr="003E66AD">
        <w:t>Northvolt</w:t>
      </w:r>
      <w:proofErr w:type="spellEnd"/>
      <w:r w:rsidRPr="003E66AD">
        <w:t xml:space="preserve"> era specializată în activități de arhitectură și inginerie, testare tehnică și fabricare a bateriilor; întrucât compania s-a declarat în faliment la 12 martie 2025 din cauza problemelor cu producția, în primul rând ca urmare a unei oferte excedentare cauzate de concurența intensă exercitată de importurile originare în principal din China, care domină piața mondială, reprezentând peste 80 % din producția mondială de baterii; </w:t>
      </w:r>
    </w:p>
    <w:p w14:paraId="17360432" w14:textId="77777777" w:rsidR="00056BAA" w:rsidRPr="003E66AD" w:rsidRDefault="00056BAA" w:rsidP="00056BAA">
      <w:pPr>
        <w:pStyle w:val="NormalHanging12a"/>
      </w:pPr>
      <w:r w:rsidRPr="003E66AD">
        <w:t>F.</w:t>
      </w:r>
      <w:r w:rsidRPr="003E66AD">
        <w:tab/>
        <w:t xml:space="preserve">întrucât Europa are nevoie de o industrie a bateriilor puternică și competitivă pentru a reduce dependențele strategice dăunătoare, a-și cimenta autonomia industrială și a-și atinge obiectivele aferente tranziției climatice și celei energetice; întrucât industria bateriilor și a furnizorilor se confruntă cu costuri ridicate de energie și de capital, cu întârzieri de producție, cu denaturări ale pieței mondiale, precum și cu o presiune tot </w:t>
      </w:r>
      <w:r w:rsidRPr="003E66AD">
        <w:lastRenderedPageBreak/>
        <w:t>mai mare din partea producătorilor concurenți din țări terțe, mai cu seamă din China</w:t>
      </w:r>
      <w:r w:rsidRPr="003E66AD">
        <w:rPr>
          <w:vertAlign w:val="superscript"/>
        </w:rPr>
        <w:footnoteReference w:id="7"/>
      </w:r>
      <w:r w:rsidRPr="003E66AD">
        <w:t>;</w:t>
      </w:r>
    </w:p>
    <w:p w14:paraId="0E4BC03E" w14:textId="77777777" w:rsidR="00056BAA" w:rsidRPr="003E66AD" w:rsidRDefault="00056BAA" w:rsidP="00056BAA">
      <w:pPr>
        <w:pStyle w:val="NormalHanging12a"/>
      </w:pPr>
      <w:r w:rsidRPr="003E66AD">
        <w:t>G.</w:t>
      </w:r>
      <w:r w:rsidRPr="003E66AD">
        <w:tab/>
        <w:t>întrucât serviciul public de ocupare a forței de muncă din Suedia (</w:t>
      </w:r>
      <w:proofErr w:type="spellStart"/>
      <w:r w:rsidRPr="003E66AD">
        <w:t>Arbetsförmedlingen</w:t>
      </w:r>
      <w:proofErr w:type="spellEnd"/>
      <w:r w:rsidRPr="003E66AD">
        <w:t xml:space="preserve">) asigură </w:t>
      </w:r>
      <w:proofErr w:type="spellStart"/>
      <w:r w:rsidRPr="003E66AD">
        <w:t>prefinanțarea</w:t>
      </w:r>
      <w:proofErr w:type="spellEnd"/>
      <w:r w:rsidRPr="003E66AD">
        <w:t xml:space="preserve"> și cofinanțarea națională a măsurilor;</w:t>
      </w:r>
    </w:p>
    <w:p w14:paraId="0B1AD600" w14:textId="0EDAF311" w:rsidR="00056BAA" w:rsidRPr="003E66AD" w:rsidRDefault="00056BAA" w:rsidP="00056BAA">
      <w:pPr>
        <w:pStyle w:val="NormalHanging12a"/>
      </w:pPr>
      <w:r w:rsidRPr="003E66AD">
        <w:t>H.</w:t>
      </w:r>
      <w:r w:rsidRPr="003E66AD">
        <w:tab/>
        <w:t xml:space="preserve">întrucât au fost respectate cerințele prevăzute de </w:t>
      </w:r>
      <w:r w:rsidR="00CC6F80" w:rsidRPr="003E66AD">
        <w:t>dreptul</w:t>
      </w:r>
      <w:r w:rsidRPr="003E66AD">
        <w:t xml:space="preserve"> Uniunii </w:t>
      </w:r>
      <w:r w:rsidR="00CC6F80" w:rsidRPr="003E66AD">
        <w:t xml:space="preserve">și dreptul intern referitoare la </w:t>
      </w:r>
      <w:r w:rsidRPr="003E66AD">
        <w:t>concedieril</w:t>
      </w:r>
      <w:r w:rsidR="00CC6F80" w:rsidRPr="003E66AD">
        <w:t>e</w:t>
      </w:r>
      <w:r w:rsidRPr="003E66AD">
        <w:t xml:space="preserve"> colective;</w:t>
      </w:r>
    </w:p>
    <w:p w14:paraId="1F906642" w14:textId="77777777" w:rsidR="00056BAA" w:rsidRPr="003E66AD" w:rsidRDefault="00056BAA" w:rsidP="00056BAA">
      <w:pPr>
        <w:pStyle w:val="NormalHanging12a"/>
      </w:pPr>
      <w:r w:rsidRPr="003E66AD">
        <w:t>I.</w:t>
      </w:r>
      <w:r w:rsidRPr="003E66AD">
        <w:tab/>
        <w:t>întrucât contribuțiile financiare din FEG ar trebui să fie canalizate în primul rând spre măsuri de politică active pe piața muncii și spre servicii personalizate care urmăresc să-i reintegreze rapid pe beneficiari în posturi decente și sustenabile în sectorul lor inițial de activitate sau în afara sa, pregătindu-i în același timp pentru o economie europeană mai verde și mai digitală;</w:t>
      </w:r>
    </w:p>
    <w:p w14:paraId="01AFB25D" w14:textId="00AB9125" w:rsidR="00056BAA" w:rsidRPr="003E66AD" w:rsidRDefault="00056BAA" w:rsidP="00056BAA">
      <w:pPr>
        <w:pStyle w:val="NormalHanging12a"/>
      </w:pPr>
      <w:r w:rsidRPr="003E66AD">
        <w:t>J.</w:t>
      </w:r>
      <w:r w:rsidRPr="003E66AD">
        <w:tab/>
        <w:t xml:space="preserve">întrucât, potrivit articolului 8 din Regulamentul (UE, Euratom) 2020/2093, modificat prin Regulamentul (UE, Euratom) 2024/765, FEG nu poate depăși cuantumul anual maxim de 30 de milioane EUR (la prețurile din 2018), </w:t>
      </w:r>
    </w:p>
    <w:p w14:paraId="4C5A4684" w14:textId="77777777" w:rsidR="00056BAA" w:rsidRPr="003E66AD" w:rsidRDefault="00056BAA" w:rsidP="00056BAA">
      <w:pPr>
        <w:pStyle w:val="NormalHanging12a"/>
      </w:pPr>
      <w:r w:rsidRPr="003E66AD">
        <w:t>1.</w:t>
      </w:r>
      <w:r w:rsidRPr="003E66AD">
        <w:tab/>
        <w:t>este de acord cu Comisia că sunt îndeplinite condițiile prevăzute la articolul 4 alineatul (2) litera (a) din Regulamentul privind FEG și că Suedia are dreptul la o contribuție financiară în valoare de 8 526 322 EUR în temeiul regulamentului respectiv, ceea ce reprezintă 60 % din costul total de 14 210 537 EUR, care cuprinde cheltuieli cu servicii personalizate de 13 663 977 EUR și cheltuieli pentru activități de pregătire, gestionare, informare și publicitate, control și raportare în valoare de 546 560 EUR;</w:t>
      </w:r>
    </w:p>
    <w:p w14:paraId="3E5020A7" w14:textId="50EBF43C" w:rsidR="00056BAA" w:rsidRPr="003E66AD" w:rsidRDefault="00056BAA" w:rsidP="00056BAA">
      <w:pPr>
        <w:pStyle w:val="NormalHanging12a"/>
      </w:pPr>
      <w:r w:rsidRPr="003E66AD">
        <w:t xml:space="preserve">2. </w:t>
      </w:r>
      <w:r w:rsidRPr="003E66AD">
        <w:tab/>
        <w:t>observă că autoritățile suedeze au depus cererea la 16 iunie 2025 și că, pe baza informațiilor suplimentare furnizate de Suedia, Comisia și-a finalizat evaluarea la 28 octombrie 2025, după mai bine de patru luni, și a adus-o la cunoștința Parlamentului în aceeași zi; subliniază că este important să se reducă semnificativ intervalul de timp dintre depunerea unei cereri de asistență din FEG și decizia de finanțare, pentru a avea siguranța că sprijinul financiar poate fi mobilizat fără amânare; subliniază că trebuie simplificate și accelerate procedurile interne, fără a submina echilibrul instituțional, în special drepturile Parlamentului de autoritate bugetară;</w:t>
      </w:r>
    </w:p>
    <w:p w14:paraId="23018A53" w14:textId="77777777" w:rsidR="00056BAA" w:rsidRPr="003E66AD" w:rsidRDefault="00056BAA" w:rsidP="00056BAA">
      <w:pPr>
        <w:pStyle w:val="NormalHanging12a"/>
      </w:pPr>
      <w:r w:rsidRPr="003E66AD">
        <w:t>3.</w:t>
      </w:r>
      <w:r w:rsidRPr="003E66AD">
        <w:tab/>
        <w:t xml:space="preserve">observă că cererea se referă la 6 486 de lucrători disponibilizați afectați de un eveniment major de restructurare la </w:t>
      </w:r>
      <w:proofErr w:type="spellStart"/>
      <w:r w:rsidRPr="003E66AD">
        <w:t>Northvolt</w:t>
      </w:r>
      <w:proofErr w:type="spellEnd"/>
      <w:r w:rsidRPr="003E66AD">
        <w:t>, care a generat cel mai mare faliment din Suedia din perioada modernă; mai observă că numărul total de beneficiari vizați care sunt așteptați să participe la măsuri este de 5 800 de lucrători disponibilizați;</w:t>
      </w:r>
    </w:p>
    <w:p w14:paraId="0D245BF6" w14:textId="77777777" w:rsidR="00056BAA" w:rsidRPr="003E66AD" w:rsidRDefault="00056BAA" w:rsidP="00056BAA">
      <w:pPr>
        <w:pStyle w:val="NormalHanging12a"/>
      </w:pPr>
      <w:r w:rsidRPr="003E66AD">
        <w:t>4.</w:t>
      </w:r>
      <w:r w:rsidRPr="003E66AD">
        <w:tab/>
        <w:t xml:space="preserve">reține că disponibilizările din orașul </w:t>
      </w:r>
      <w:proofErr w:type="spellStart"/>
      <w:r w:rsidRPr="003E66AD">
        <w:t>Skellefteå</w:t>
      </w:r>
      <w:proofErr w:type="spellEnd"/>
      <w:r w:rsidRPr="003E66AD">
        <w:t xml:space="preserve"> au avut un impact grav, rata șomajului ajungând la 8,2 % în anul precedent; consideră demn de reținut că majoritatea lucrătorilor disponibilizați au un nivel ridicat de educație și mai puțin de 54 de ani, precum și competențe de specialitate în producția de baterii și inginerie; subliniază că sunt necesare acțiuni rapide pentru a preveni declinul regional structural și evidențiază că este important să se promoveze locuri de muncă de înaltă calitate, orientate spre viitor, pentru a asigura reziliența economică și socială pe termen lung;</w:t>
      </w:r>
    </w:p>
    <w:p w14:paraId="46E89C9F" w14:textId="77777777" w:rsidR="00056BAA" w:rsidRPr="003E66AD" w:rsidRDefault="00056BAA" w:rsidP="00056BAA">
      <w:pPr>
        <w:pStyle w:val="NormalHanging12a"/>
        <w:rPr>
          <w:bCs/>
          <w:iCs/>
        </w:rPr>
      </w:pPr>
      <w:r w:rsidRPr="003E66AD">
        <w:t>5.</w:t>
      </w:r>
      <w:r w:rsidRPr="003E66AD">
        <w:tab/>
        <w:t xml:space="preserve">reține că, în august 2025, întreprinderea americană </w:t>
      </w:r>
      <w:proofErr w:type="spellStart"/>
      <w:r w:rsidRPr="003E66AD">
        <w:t>Lyten</w:t>
      </w:r>
      <w:proofErr w:type="spellEnd"/>
      <w:r w:rsidRPr="003E66AD">
        <w:t xml:space="preserve">, lider mondial la bateriile litiu-sulf, a încheiat un acord obligatoriu pentru a cumpăra până la sfârșitul anului 2025 </w:t>
      </w:r>
      <w:r w:rsidRPr="003E66AD">
        <w:lastRenderedPageBreak/>
        <w:t xml:space="preserve">activele pe care </w:t>
      </w:r>
      <w:proofErr w:type="spellStart"/>
      <w:r w:rsidRPr="003E66AD">
        <w:t>Northvolt</w:t>
      </w:r>
      <w:proofErr w:type="spellEnd"/>
      <w:r w:rsidRPr="003E66AD">
        <w:t xml:space="preserve"> le mai are în Suedia, Germania și Polonia și are de gând să reangajeze forța de muncă disponibilizată, dat fiind că are capacitatea de a le oferi posturi echivalente în regiune;</w:t>
      </w:r>
      <w:r w:rsidRPr="003E66AD">
        <w:rPr>
          <w:b/>
          <w:i/>
        </w:rPr>
        <w:t xml:space="preserve"> </w:t>
      </w:r>
      <w:r w:rsidRPr="003E66AD">
        <w:t>subliniază că reangajarea ar trebui considerată o opțiune prioritară și că toate sumele neutilizate ar trebui restituite Comisiei în cazul preluării;</w:t>
      </w:r>
    </w:p>
    <w:p w14:paraId="64CD58B3" w14:textId="77777777" w:rsidR="00056BAA" w:rsidRPr="003E66AD" w:rsidRDefault="00056BAA" w:rsidP="00056BAA">
      <w:pPr>
        <w:pStyle w:val="NormalHanging12a"/>
        <w:rPr>
          <w:bCs/>
          <w:iCs/>
        </w:rPr>
      </w:pPr>
      <w:r w:rsidRPr="003E66AD">
        <w:t>6.</w:t>
      </w:r>
      <w:r w:rsidRPr="003E66AD">
        <w:tab/>
        <w:t>reamintește că, de acord cu sindicatele și partenerii sociali, serviciile personalizate care urmează să fie furnizate tuturor lucrătorilor constau în următoarele acțiuni: evaluare aprofundată și planificare individuală, activități de căutare a unui loc de muncă și îndrumare profesională, sprijin pentru a demara propria afacere și sprijin pentru investiții, formare pentru piața muncii, cursuri de formare, sprijin special pentru a intra pe piața muncii sau a continua educația, alocații și cursuri de competențe digitale; subliniază că autoritățile suedeze au obligația de a recunoaște originea și de a asigura vizibilitatea finanțării din partea Uniunii, precum și de a evidenția valoarea adăugată pe care o are intervenția pentru Uniune, oferind informații coerente, eficace și specifice unor categorii de public diverse, inclusiv informații specifice pentru beneficiari, autoritățile locale și regionale, partenerii sociali, mass-media și publicul larg;</w:t>
      </w:r>
    </w:p>
    <w:p w14:paraId="34D0BC2C" w14:textId="77777777" w:rsidR="00056BAA" w:rsidRPr="003E66AD" w:rsidRDefault="00056BAA" w:rsidP="00056BAA">
      <w:pPr>
        <w:pStyle w:val="NormalHanging12a"/>
        <w:rPr>
          <w:bCs/>
          <w:iCs/>
        </w:rPr>
      </w:pPr>
      <w:r w:rsidRPr="003E66AD">
        <w:t>7.</w:t>
      </w:r>
      <w:r w:rsidRPr="003E66AD">
        <w:tab/>
        <w:t>subliniază că aptitudinile și calificările lucrătorilor disponibilizați rămân esențiale pentru o economie europeană adaptată exigențelor viitorului, care să realizeze tranziția verde; consideră, prin urmare, că mobilizarea FEG trebuie integrată într-un răspuns cu politici mai ample, pentru a garanta că lucrătorii afectați au acces la perspective adecvate, în conformitate cu aptitudinile și calificările lor;</w:t>
      </w:r>
    </w:p>
    <w:p w14:paraId="46CFA21A" w14:textId="77777777" w:rsidR="00056BAA" w:rsidRPr="003E66AD" w:rsidRDefault="00056BAA" w:rsidP="00056BAA">
      <w:pPr>
        <w:pStyle w:val="NormalHanging12a"/>
      </w:pPr>
      <w:r w:rsidRPr="003E66AD">
        <w:t>8.</w:t>
      </w:r>
      <w:r w:rsidRPr="003E66AD">
        <w:tab/>
        <w:t>solicită evaluări finale aprofundate ale măsurilor aplicate, inclusiv informații clare despre destinația fondurilor și cheltuirea lor în conformitate cu planurile aprobate, îndeosebi în cazuri de sprijin financiar direct, ca sprijinul pentru a demara o afacere și pentru investiții; solicită totodată date despre numărul de lucrători reintegrați cu succes pe piața muncii, precum și numărul celor care au parcurs până la capăt măsurile de formare și perfecționare;</w:t>
      </w:r>
    </w:p>
    <w:p w14:paraId="268A892D" w14:textId="77777777" w:rsidR="00056BAA" w:rsidRPr="003E66AD" w:rsidRDefault="00056BAA" w:rsidP="00056BAA">
      <w:pPr>
        <w:pStyle w:val="NormalHanging12a"/>
      </w:pPr>
      <w:r w:rsidRPr="003E66AD">
        <w:t>9.</w:t>
      </w:r>
      <w:r w:rsidRPr="003E66AD">
        <w:tab/>
        <w:t>constată că Suedia a început atât să ofere servicii personalizate beneficiarilor vizați, cât și să suporte cheltuieli administrative pentru a executa măsurile din FEG la 25 octombrie 2024 și că, prin urmare, perioada de eligibilitate pentru o contribuție financiară din FEG va începe așadar la această dată și va dura 24 de luni sau, respectiv, va începe la data intrării în vigoare a deciziei de finanțare și va dura 31 de luni;</w:t>
      </w:r>
    </w:p>
    <w:p w14:paraId="2BBD52FF" w14:textId="77777777" w:rsidR="00056BAA" w:rsidRPr="003E66AD" w:rsidRDefault="00056BAA" w:rsidP="00056BAA">
      <w:pPr>
        <w:pStyle w:val="NormalHanging12a"/>
      </w:pPr>
      <w:r w:rsidRPr="003E66AD">
        <w:t>10.</w:t>
      </w:r>
      <w:r w:rsidRPr="003E66AD">
        <w:tab/>
        <w:t>observă că autoritățile suedeze au dat asigurări că, pentru accesul la acțiunile propuse și pentru punerea lor în aplicare, se vor respecta principiile egalității de tratament și nediscriminării și se va evita orice formă de dublă finanțare;</w:t>
      </w:r>
    </w:p>
    <w:p w14:paraId="1925DDB3" w14:textId="77777777" w:rsidR="00056BAA" w:rsidRPr="003E66AD" w:rsidRDefault="00056BAA" w:rsidP="00056BAA">
      <w:pPr>
        <w:pStyle w:val="NormalHanging12a"/>
      </w:pPr>
      <w:r w:rsidRPr="003E66AD">
        <w:t>11.</w:t>
      </w:r>
      <w:r w:rsidRPr="003E66AD">
        <w:tab/>
        <w:t xml:space="preserve">reamintește că asistența din partea FEG nu trebuie să înlocuiască acțiunile care intră în responsabilitatea întreprinderilor, în temeiul legislației naționale sau al acordurilor colective; </w:t>
      </w:r>
    </w:p>
    <w:p w14:paraId="5CB6E66E" w14:textId="77777777" w:rsidR="00056BAA" w:rsidRPr="003E66AD" w:rsidRDefault="00056BAA" w:rsidP="00056BAA">
      <w:pPr>
        <w:pStyle w:val="NormalHanging12a"/>
      </w:pPr>
      <w:r w:rsidRPr="003E66AD">
        <w:t>12.</w:t>
      </w:r>
      <w:r w:rsidRPr="003E66AD">
        <w:tab/>
        <w:t xml:space="preserve">subliniază că Uniunea trebuie să facă de urgență eforturi coerente și coordonate pentru a asigura competitivitatea și autonomia strategică, în strânsă colaborare cu statele membre și cu regiunile, pentru a proteja baza europeană de locuri de muncă în industrie, adaptând-o exigențelor viitorului, așa încât să răspundă dezideratului european de autonomie industrială și să cimenteze poziția Uniunii în sectoare strategice, ca industria bateriilor și rețeaua de furnizori, promovând, totodată, tranziția verde și digitală a Uniunii; subliniază că numai o economie europeană solidă, </w:t>
      </w:r>
      <w:proofErr w:type="spellStart"/>
      <w:r w:rsidRPr="003E66AD">
        <w:t>rezilientă</w:t>
      </w:r>
      <w:proofErr w:type="spellEnd"/>
      <w:r w:rsidRPr="003E66AD">
        <w:t xml:space="preserve"> și durabilă poate preveni cu succes concedierile la scară largă, în așa fel încât în final să nu mai fie nevoie </w:t>
      </w:r>
      <w:r w:rsidRPr="003E66AD">
        <w:lastRenderedPageBreak/>
        <w:t>așa de mult de intervenția FEG; subliniază că trebuie să se recunoască și să scoată în evidență clar finanțarea din partea Uniunii pentru ca oamenii să vadă valoarea sa adăugată și pentru a reliefa solidaritatea europeană reprezentată de FEG; cere să se asigure o comunicare coerentă și bine personalizată cu beneficiarii, autoritățile regionale și locale, partenerii sociali, mass-media și publicul larg; regretă că industria bateriilor din Uniune suferă din cauza subvențiilor pe care guvernul chinez le acordă producătorilor săi, ceea ce denaturează concurența la nivel mondial;</w:t>
      </w:r>
    </w:p>
    <w:p w14:paraId="6FB2F1F5" w14:textId="77777777" w:rsidR="00056BAA" w:rsidRPr="003E66AD" w:rsidRDefault="00056BAA" w:rsidP="00056BAA">
      <w:pPr>
        <w:pStyle w:val="NormalHanging12a"/>
      </w:pPr>
      <w:r w:rsidRPr="003E66AD">
        <w:t>13.</w:t>
      </w:r>
      <w:r w:rsidRPr="003E66AD">
        <w:tab/>
        <w:t>aprobă decizia anexată la prezenta rezoluție;</w:t>
      </w:r>
    </w:p>
    <w:p w14:paraId="3EF948B4" w14:textId="77777777" w:rsidR="00056BAA" w:rsidRPr="003E66AD" w:rsidRDefault="00056BAA" w:rsidP="00056BAA">
      <w:pPr>
        <w:pStyle w:val="NormalHanging12a"/>
      </w:pPr>
      <w:r w:rsidRPr="003E66AD">
        <w:t>14.</w:t>
      </w:r>
      <w:r w:rsidRPr="003E66AD">
        <w:tab/>
        <w:t xml:space="preserve">încredințează Președintei sarcina de a semna această decizie împreună cu Președintele Consiliului și de a asigura publicarea sa în </w:t>
      </w:r>
      <w:r w:rsidRPr="003E66AD">
        <w:rPr>
          <w:i/>
          <w:iCs/>
        </w:rPr>
        <w:t>Jurnalul Oficial al Uniunii Europene</w:t>
      </w:r>
      <w:r w:rsidRPr="003E66AD">
        <w:t>;</w:t>
      </w:r>
    </w:p>
    <w:p w14:paraId="7C66EF3D" w14:textId="77777777" w:rsidR="00056BAA" w:rsidRPr="003E66AD" w:rsidRDefault="00056BAA" w:rsidP="00056BAA">
      <w:pPr>
        <w:pStyle w:val="NormalHanging12a"/>
      </w:pPr>
      <w:r w:rsidRPr="003E66AD">
        <w:t>15.</w:t>
      </w:r>
      <w:r w:rsidRPr="003E66AD">
        <w:tab/>
        <w:t>încredințează Președintei sarcina de a transmite prezenta rezoluție, împreună cu anexa, Consiliului și Comisiei.</w:t>
      </w:r>
    </w:p>
    <w:p w14:paraId="13F4ECCD" w14:textId="77777777" w:rsidR="00056BAA" w:rsidRPr="003E66AD" w:rsidRDefault="00056BAA" w:rsidP="00056BAA">
      <w:pPr>
        <w:rPr>
          <w:noProof/>
        </w:rPr>
      </w:pPr>
    </w:p>
    <w:p w14:paraId="362D2ED8" w14:textId="77777777" w:rsidR="00056BAA" w:rsidRPr="003E66AD" w:rsidRDefault="00056BAA" w:rsidP="00056BAA">
      <w:pPr>
        <w:pStyle w:val="PageHeading"/>
        <w:rPr>
          <w:noProof/>
        </w:rPr>
        <w:sectPr w:rsidR="00056BAA" w:rsidRPr="003E66AD" w:rsidSect="0054352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47EF5D" w14:textId="77777777" w:rsidR="00686C37" w:rsidRPr="00686C37" w:rsidRDefault="00056BAA" w:rsidP="00056BAA">
      <w:pPr>
        <w:pStyle w:val="PageHeading"/>
        <w:rPr>
          <w:rFonts w:ascii="Times New Roman" w:hAnsi="Times New Roman" w:cs="Times New Roman"/>
        </w:rPr>
      </w:pPr>
      <w:bookmarkStart w:id="7" w:name="_Toc216080704"/>
      <w:r w:rsidRPr="00686C37">
        <w:rPr>
          <w:rFonts w:ascii="Times New Roman" w:hAnsi="Times New Roman" w:cs="Times New Roman"/>
        </w:rPr>
        <w:lastRenderedPageBreak/>
        <w:t>ANEXĂ</w:t>
      </w:r>
    </w:p>
    <w:p w14:paraId="7E6ADB0C" w14:textId="475EFE20" w:rsidR="00056BAA" w:rsidRPr="00686C37" w:rsidRDefault="00056BAA" w:rsidP="00056BAA">
      <w:pPr>
        <w:pStyle w:val="PageHeading"/>
        <w:rPr>
          <w:rFonts w:ascii="Times New Roman" w:hAnsi="Times New Roman" w:cs="Times New Roman"/>
          <w:noProof/>
        </w:rPr>
      </w:pPr>
      <w:r w:rsidRPr="00686C37">
        <w:rPr>
          <w:rFonts w:ascii="Times New Roman" w:hAnsi="Times New Roman" w:cs="Times New Roman"/>
        </w:rPr>
        <w:t>DECIZIA PARLAMENTULUI EUROPEAN ȘI A CONSILIULUI</w:t>
      </w:r>
      <w:bookmarkEnd w:id="7"/>
    </w:p>
    <w:p w14:paraId="64625F9B" w14:textId="070579B1" w:rsidR="00056BAA" w:rsidRDefault="00056BAA" w:rsidP="00056BAA">
      <w:pPr>
        <w:pStyle w:val="NormalBold24a"/>
      </w:pPr>
      <w:r w:rsidRPr="003E66AD">
        <w:t>privind mobilizarea Fondului european de ajustare la globalizare pentru lucrătorii disponibilizați în urma unei cereri din partea Suedi</w:t>
      </w:r>
      <w:r w:rsidR="007A32A6" w:rsidRPr="003E66AD">
        <w:t>ei</w:t>
      </w:r>
      <w:r w:rsidRPr="003E66AD">
        <w:t xml:space="preserve"> – EGF/2025/003 SE/</w:t>
      </w:r>
      <w:proofErr w:type="spellStart"/>
      <w:r w:rsidRPr="003E66AD">
        <w:t>Northvolt</w:t>
      </w:r>
      <w:proofErr w:type="spellEnd"/>
    </w:p>
    <w:p w14:paraId="2F40B798" w14:textId="08F77ADD" w:rsidR="00686C37" w:rsidRPr="00272DA5" w:rsidRDefault="00686C37" w:rsidP="00686C37">
      <w:pPr>
        <w:spacing w:before="120"/>
        <w:rPr>
          <w:i/>
          <w:noProof/>
        </w:rPr>
      </w:pPr>
      <w:r w:rsidRPr="00272DA5">
        <w:rPr>
          <w:i/>
          <w:noProof/>
        </w:rPr>
        <w:t xml:space="preserve">(Textul prezentei anexe nu este reprodus aici, întrucât corespunde cu actul final, Decizia </w:t>
      </w:r>
      <w:r w:rsidRPr="00686C37">
        <w:rPr>
          <w:rStyle w:val="ATHeading3Char"/>
          <w:b w:val="0"/>
          <w:bCs/>
          <w:i/>
        </w:rPr>
        <w:t>(UE) 2025/</w:t>
      </w:r>
      <w:r w:rsidRPr="00686C37">
        <w:rPr>
          <w:rStyle w:val="ATHeading3Char"/>
          <w:b w:val="0"/>
          <w:bCs/>
          <w:i/>
        </w:rPr>
        <w:t>2661</w:t>
      </w:r>
      <w:r w:rsidRPr="00686C37">
        <w:rPr>
          <w:rStyle w:val="ATHeading3Char"/>
          <w:b w:val="0"/>
          <w:bCs/>
          <w:i/>
        </w:rPr>
        <w:t>.</w:t>
      </w:r>
      <w:r w:rsidRPr="00686C37">
        <w:rPr>
          <w:i/>
          <w:noProof/>
        </w:rPr>
        <w:t>)</w:t>
      </w:r>
    </w:p>
    <w:p w14:paraId="4A00C8D7" w14:textId="77777777" w:rsidR="00686C37" w:rsidRPr="003E66AD" w:rsidRDefault="00686C37" w:rsidP="00056BAA">
      <w:pPr>
        <w:pStyle w:val="NormalBold24a"/>
      </w:pPr>
    </w:p>
    <w:sectPr w:rsidR="00686C37" w:rsidRPr="003E66AD" w:rsidSect="0054352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F8133" w14:textId="77777777" w:rsidR="00271DBF" w:rsidRPr="0054352E" w:rsidRDefault="00271DBF">
      <w:r w:rsidRPr="0054352E">
        <w:separator/>
      </w:r>
    </w:p>
  </w:endnote>
  <w:endnote w:type="continuationSeparator" w:id="0">
    <w:p w14:paraId="294C7999" w14:textId="77777777" w:rsidR="00271DBF" w:rsidRPr="0054352E" w:rsidRDefault="00271DBF">
      <w:r w:rsidRPr="005435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EEA42" w14:textId="77777777" w:rsidR="00056BAA" w:rsidRPr="0054352E" w:rsidRDefault="00056BAA" w:rsidP="00D14154">
    <w:pPr>
      <w:pStyle w:val="EPFooter"/>
    </w:pPr>
    <w:r w:rsidRPr="0054352E">
      <w:t>PE</w:t>
    </w:r>
    <w:r w:rsidRPr="0054352E">
      <w:rPr>
        <w:rStyle w:val="HideTWBExt"/>
      </w:rPr>
      <w:t>&lt;</w:t>
    </w:r>
    <w:proofErr w:type="spellStart"/>
    <w:r w:rsidRPr="0054352E">
      <w:rPr>
        <w:rStyle w:val="HideTWBExt"/>
      </w:rPr>
      <w:t>NoPE</w:t>
    </w:r>
    <w:proofErr w:type="spellEnd"/>
    <w:r w:rsidRPr="0054352E">
      <w:rPr>
        <w:rStyle w:val="HideTWBExt"/>
      </w:rPr>
      <w:t>&gt;</w:t>
    </w:r>
    <w:r w:rsidRPr="0054352E">
      <w:t>779.349</w:t>
    </w:r>
    <w:r w:rsidRPr="0054352E">
      <w:rPr>
        <w:rStyle w:val="HideTWBExt"/>
      </w:rPr>
      <w:t>&lt;/</w:t>
    </w:r>
    <w:proofErr w:type="spellStart"/>
    <w:r w:rsidRPr="0054352E">
      <w:rPr>
        <w:rStyle w:val="HideTWBExt"/>
      </w:rPr>
      <w:t>NoPE</w:t>
    </w:r>
    <w:proofErr w:type="spellEnd"/>
    <w:r w:rsidRPr="0054352E">
      <w:rPr>
        <w:rStyle w:val="HideTWBExt"/>
      </w:rPr>
      <w:t>&gt;&lt;Version&gt;</w:t>
    </w:r>
    <w:r w:rsidRPr="0054352E">
      <w:t>v03-00</w:t>
    </w:r>
    <w:r w:rsidRPr="0054352E">
      <w:rPr>
        <w:rStyle w:val="HideTWBExt"/>
      </w:rPr>
      <w:t>&lt;/</w:t>
    </w:r>
    <w:proofErr w:type="spellStart"/>
    <w:r w:rsidRPr="0054352E">
      <w:rPr>
        <w:rStyle w:val="HideTWBExt"/>
      </w:rPr>
      <w:t>Version</w:t>
    </w:r>
    <w:proofErr w:type="spellEnd"/>
    <w:r w:rsidRPr="0054352E">
      <w:rPr>
        <w:rStyle w:val="HideTWBExt"/>
      </w:rPr>
      <w:t>&gt;</w:t>
    </w:r>
    <w:r w:rsidRPr="0054352E">
      <w:tab/>
    </w:r>
    <w:r w:rsidRPr="0054352E">
      <w:fldChar w:fldCharType="begin"/>
    </w:r>
    <w:r w:rsidRPr="0054352E">
      <w:instrText xml:space="preserve"> PAGE  \* MERGEFORMAT </w:instrText>
    </w:r>
    <w:r w:rsidRPr="0054352E">
      <w:fldChar w:fldCharType="separate"/>
    </w:r>
    <w:r w:rsidRPr="0054352E">
      <w:rPr>
        <w:noProof/>
      </w:rPr>
      <w:t>18</w:t>
    </w:r>
    <w:r w:rsidRPr="0054352E">
      <w:fldChar w:fldCharType="end"/>
    </w:r>
    <w:r w:rsidRPr="0054352E">
      <w:t>/</w:t>
    </w:r>
    <w:r w:rsidR="00686C37">
      <w:fldChar w:fldCharType="begin"/>
    </w:r>
    <w:r w:rsidR="00686C37">
      <w:instrText xml:space="preserve"> NUMPAGES  \* MERGEFORMAT </w:instrText>
    </w:r>
    <w:r w:rsidR="00686C37">
      <w:fldChar w:fldCharType="separate"/>
    </w:r>
    <w:r w:rsidRPr="0054352E">
      <w:rPr>
        <w:noProof/>
      </w:rPr>
      <w:t>20</w:t>
    </w:r>
    <w:r w:rsidR="00686C37">
      <w:rPr>
        <w:noProof/>
      </w:rPr>
      <w:fldChar w:fldCharType="end"/>
    </w:r>
    <w:r w:rsidRPr="0054352E">
      <w:tab/>
    </w:r>
    <w:r w:rsidRPr="0054352E">
      <w:rPr>
        <w:rStyle w:val="HideTWBExt"/>
      </w:rPr>
      <w:t>&lt;PathFdR&gt;</w:t>
    </w:r>
    <w:r w:rsidRPr="0054352E">
      <w:t>RR\1332680RO.docx</w:t>
    </w:r>
    <w:r w:rsidRPr="0054352E">
      <w:rPr>
        <w:rStyle w:val="HideTWBExt"/>
      </w:rPr>
      <w:t>&lt;/</w:t>
    </w:r>
    <w:proofErr w:type="spellStart"/>
    <w:r w:rsidRPr="0054352E">
      <w:rPr>
        <w:rStyle w:val="HideTWBExt"/>
      </w:rPr>
      <w:t>PathFdR</w:t>
    </w:r>
    <w:proofErr w:type="spellEnd"/>
    <w:r w:rsidRPr="0054352E">
      <w:rPr>
        <w:rStyle w:val="HideTWBExt"/>
      </w:rPr>
      <w:t>&gt;</w:t>
    </w:r>
  </w:p>
  <w:p w14:paraId="354DB720" w14:textId="77777777" w:rsidR="00056BAA" w:rsidRPr="0054352E" w:rsidRDefault="00056BAA" w:rsidP="00D14154">
    <w:pPr>
      <w:pStyle w:val="EPFooter2"/>
    </w:pPr>
    <w:r w:rsidRPr="0054352E">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3FCA6" w14:textId="77777777" w:rsidR="00056BAA" w:rsidRPr="0054352E" w:rsidRDefault="00056BAA" w:rsidP="00D14154">
    <w:pPr>
      <w:pStyle w:val="EPFooter"/>
    </w:pPr>
    <w:r w:rsidRPr="0054352E">
      <w:rPr>
        <w:rStyle w:val="HideTWBExt"/>
      </w:rPr>
      <w:t>&lt;PathFdR&gt;</w:t>
    </w:r>
    <w:r w:rsidRPr="0054352E">
      <w:t>RR\1332680RO.docx</w:t>
    </w:r>
    <w:r w:rsidRPr="0054352E">
      <w:rPr>
        <w:rStyle w:val="HideTWBExt"/>
      </w:rPr>
      <w:t>&lt;/</w:t>
    </w:r>
    <w:proofErr w:type="spellStart"/>
    <w:r w:rsidRPr="0054352E">
      <w:rPr>
        <w:rStyle w:val="HideTWBExt"/>
      </w:rPr>
      <w:t>PathFdR</w:t>
    </w:r>
    <w:proofErr w:type="spellEnd"/>
    <w:r w:rsidRPr="0054352E">
      <w:rPr>
        <w:rStyle w:val="HideTWBExt"/>
      </w:rPr>
      <w:t>&gt;</w:t>
    </w:r>
    <w:r w:rsidRPr="0054352E">
      <w:tab/>
    </w:r>
    <w:r w:rsidRPr="0054352E">
      <w:tab/>
      <w:t>PE</w:t>
    </w:r>
    <w:r w:rsidRPr="0054352E">
      <w:rPr>
        <w:rStyle w:val="HideTWBExt"/>
      </w:rPr>
      <w:t>&lt;</w:t>
    </w:r>
    <w:proofErr w:type="spellStart"/>
    <w:r w:rsidRPr="0054352E">
      <w:rPr>
        <w:rStyle w:val="HideTWBExt"/>
      </w:rPr>
      <w:t>NoPE</w:t>
    </w:r>
    <w:proofErr w:type="spellEnd"/>
    <w:r w:rsidRPr="0054352E">
      <w:rPr>
        <w:rStyle w:val="HideTWBExt"/>
      </w:rPr>
      <w:t>&gt;</w:t>
    </w:r>
    <w:r w:rsidRPr="0054352E">
      <w:t>779.349</w:t>
    </w:r>
    <w:r w:rsidRPr="0054352E">
      <w:rPr>
        <w:rStyle w:val="HideTWBExt"/>
      </w:rPr>
      <w:t>&lt;/</w:t>
    </w:r>
    <w:proofErr w:type="spellStart"/>
    <w:r w:rsidRPr="0054352E">
      <w:rPr>
        <w:rStyle w:val="HideTWBExt"/>
      </w:rPr>
      <w:t>NoPE</w:t>
    </w:r>
    <w:proofErr w:type="spellEnd"/>
    <w:r w:rsidRPr="0054352E">
      <w:rPr>
        <w:rStyle w:val="HideTWBExt"/>
      </w:rPr>
      <w:t>&gt;&lt;Version&gt;</w:t>
    </w:r>
    <w:r w:rsidRPr="0054352E">
      <w:t>v03-00</w:t>
    </w:r>
    <w:r w:rsidRPr="0054352E">
      <w:rPr>
        <w:rStyle w:val="HideTWBExt"/>
      </w:rPr>
      <w:t>&lt;/</w:t>
    </w:r>
    <w:proofErr w:type="spellStart"/>
    <w:r w:rsidRPr="0054352E">
      <w:rPr>
        <w:rStyle w:val="HideTWBExt"/>
      </w:rPr>
      <w:t>Version</w:t>
    </w:r>
    <w:proofErr w:type="spellEnd"/>
    <w:r w:rsidRPr="0054352E">
      <w:rPr>
        <w:rStyle w:val="HideTWBExt"/>
      </w:rPr>
      <w:t>&gt;</w:t>
    </w:r>
  </w:p>
  <w:p w14:paraId="78801583" w14:textId="77777777" w:rsidR="00056BAA" w:rsidRPr="0054352E" w:rsidRDefault="00056BAA" w:rsidP="00D14154">
    <w:pPr>
      <w:pStyle w:val="EPFooter2"/>
    </w:pPr>
    <w:r w:rsidRPr="0054352E">
      <w:t>RO</w:t>
    </w:r>
    <w:r w:rsidRPr="0054352E">
      <w:tab/>
    </w:r>
    <w:r w:rsidRPr="0054352E">
      <w:rPr>
        <w:b w:val="0"/>
        <w:i/>
        <w:color w:val="C0C0C0"/>
        <w:sz w:val="22"/>
      </w:rPr>
      <w:t>Unită în diversitate</w:t>
    </w:r>
    <w:r w:rsidRPr="0054352E">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35610" w14:textId="77777777" w:rsidR="00064002" w:rsidRPr="0054352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A2EC7" w14:textId="77777777" w:rsidR="00064002" w:rsidRPr="0054352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A6D3A" w14:textId="77777777" w:rsidR="00064002" w:rsidRPr="005435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81926" w14:textId="77777777" w:rsidR="00271DBF" w:rsidRPr="0054352E" w:rsidRDefault="00271DBF">
      <w:r w:rsidRPr="0054352E">
        <w:separator/>
      </w:r>
    </w:p>
  </w:footnote>
  <w:footnote w:type="continuationSeparator" w:id="0">
    <w:p w14:paraId="4C078B35" w14:textId="77777777" w:rsidR="00271DBF" w:rsidRPr="0054352E" w:rsidRDefault="00271DBF">
      <w:r w:rsidRPr="0054352E">
        <w:continuationSeparator/>
      </w:r>
    </w:p>
  </w:footnote>
  <w:footnote w:id="1">
    <w:p w14:paraId="6900757F" w14:textId="08B108A6" w:rsidR="00056BAA" w:rsidRPr="0054352E" w:rsidRDefault="00056BAA" w:rsidP="0054352E">
      <w:pPr>
        <w:pStyle w:val="FootnoteText"/>
        <w:ind w:left="567" w:hanging="567"/>
        <w:rPr>
          <w:sz w:val="24"/>
          <w:lang w:val="ro-RO"/>
        </w:rPr>
      </w:pPr>
      <w:r w:rsidRPr="0054352E">
        <w:rPr>
          <w:rStyle w:val="FootnoteReference"/>
          <w:sz w:val="24"/>
          <w:lang w:val="ro-RO"/>
        </w:rPr>
        <w:footnoteRef/>
      </w:r>
      <w:r w:rsidR="0054352E" w:rsidRPr="0054352E">
        <w:rPr>
          <w:sz w:val="24"/>
          <w:lang w:val="ro-RO"/>
        </w:rPr>
        <w:t xml:space="preserve"> </w:t>
      </w:r>
      <w:r w:rsidR="0054352E" w:rsidRPr="0054352E">
        <w:rPr>
          <w:sz w:val="24"/>
          <w:lang w:val="ro-RO"/>
        </w:rPr>
        <w:tab/>
      </w:r>
      <w:r w:rsidRPr="0054352E">
        <w:rPr>
          <w:sz w:val="24"/>
          <w:lang w:val="ro-RO"/>
        </w:rPr>
        <w:t xml:space="preserve">JO L 153, 3.5.2021, p. 48, ELI: </w:t>
      </w:r>
      <w:hyperlink r:id="rId1" w:history="1">
        <w:r w:rsidRPr="0054352E">
          <w:rPr>
            <w:rStyle w:val="Hyperlink"/>
            <w:sz w:val="24"/>
            <w:lang w:val="ro-RO"/>
          </w:rPr>
          <w:t>http://data.europa.eu/eli/reg/2021/691/oj</w:t>
        </w:r>
      </w:hyperlink>
      <w:r w:rsidRPr="0054352E">
        <w:rPr>
          <w:sz w:val="24"/>
          <w:lang w:val="ro-RO"/>
        </w:rPr>
        <w:t>.</w:t>
      </w:r>
    </w:p>
  </w:footnote>
  <w:footnote w:id="2">
    <w:p w14:paraId="51A8722F" w14:textId="06F836F3" w:rsidR="00056BAA" w:rsidRPr="0054352E" w:rsidRDefault="00056BAA" w:rsidP="0054352E">
      <w:pPr>
        <w:pStyle w:val="FootnoteText"/>
        <w:ind w:left="567" w:hanging="567"/>
        <w:rPr>
          <w:sz w:val="24"/>
          <w:lang w:val="ro-RO"/>
        </w:rPr>
      </w:pPr>
      <w:r w:rsidRPr="0054352E">
        <w:rPr>
          <w:rStyle w:val="FootnoteReference"/>
          <w:sz w:val="24"/>
          <w:lang w:val="ro-RO"/>
        </w:rPr>
        <w:footnoteRef/>
      </w:r>
      <w:r w:rsidR="0054352E" w:rsidRPr="0054352E">
        <w:rPr>
          <w:sz w:val="24"/>
          <w:lang w:val="ro-RO"/>
        </w:rPr>
        <w:t xml:space="preserve"> </w:t>
      </w:r>
      <w:r w:rsidR="0054352E" w:rsidRPr="0054352E">
        <w:rPr>
          <w:sz w:val="24"/>
          <w:lang w:val="ro-RO"/>
        </w:rPr>
        <w:tab/>
      </w:r>
      <w:r w:rsidRPr="0054352E">
        <w:rPr>
          <w:sz w:val="24"/>
          <w:lang w:val="ro-RO"/>
        </w:rPr>
        <w:t xml:space="preserve">JO L 433 I, 22.12.2020, p. 11, ELI: </w:t>
      </w:r>
      <w:hyperlink r:id="rId2" w:history="1">
        <w:r w:rsidRPr="0054352E">
          <w:rPr>
            <w:rStyle w:val="Hyperlink"/>
            <w:sz w:val="24"/>
            <w:lang w:val="ro-RO"/>
          </w:rPr>
          <w:t>http://data.europa.eu/eli/reg/2020/2093/oj</w:t>
        </w:r>
      </w:hyperlink>
      <w:r w:rsidRPr="0054352E">
        <w:rPr>
          <w:sz w:val="24"/>
          <w:lang w:val="ro-RO"/>
        </w:rPr>
        <w:t>.</w:t>
      </w:r>
    </w:p>
  </w:footnote>
  <w:footnote w:id="3">
    <w:p w14:paraId="4631683D" w14:textId="46B12813" w:rsidR="00056BAA" w:rsidRPr="0054352E" w:rsidRDefault="00056BAA" w:rsidP="0054352E">
      <w:pPr>
        <w:pStyle w:val="FootnoteText"/>
        <w:ind w:left="567" w:hanging="567"/>
        <w:rPr>
          <w:sz w:val="24"/>
          <w:lang w:val="ro-RO"/>
        </w:rPr>
      </w:pPr>
      <w:r w:rsidRPr="0054352E">
        <w:rPr>
          <w:rStyle w:val="FootnoteReference"/>
          <w:sz w:val="24"/>
          <w:lang w:val="ro-RO"/>
        </w:rPr>
        <w:footnoteRef/>
      </w:r>
      <w:r w:rsidR="0054352E" w:rsidRPr="0054352E">
        <w:rPr>
          <w:sz w:val="24"/>
          <w:shd w:val="clear" w:color="auto" w:fill="FFFFFF"/>
          <w:lang w:val="ro-RO"/>
        </w:rPr>
        <w:t xml:space="preserve"> </w:t>
      </w:r>
      <w:r w:rsidR="0054352E" w:rsidRPr="0054352E">
        <w:rPr>
          <w:sz w:val="24"/>
          <w:shd w:val="clear" w:color="auto" w:fill="FFFFFF"/>
          <w:lang w:val="ro-RO"/>
        </w:rPr>
        <w:tab/>
      </w:r>
      <w:r w:rsidRPr="0054352E">
        <w:rPr>
          <w:sz w:val="24"/>
          <w:shd w:val="clear" w:color="auto" w:fill="FFFFFF"/>
          <w:lang w:val="ro-RO"/>
        </w:rPr>
        <w:t>Regulamentul (UE, Euratom) 2024/765 al Consiliului din 29 februarie 2024 de modificare a Regulamentului (UE, Euratom) 2020/2093 de stabilire a cadrului financiar multianual pentru perioada 2021-2027 (JO L, 2024/765, 29.2.2024, ELI:</w:t>
      </w:r>
      <w:r w:rsidRPr="0054352E">
        <w:rPr>
          <w:color w:val="333333"/>
          <w:sz w:val="24"/>
          <w:shd w:val="clear" w:color="auto" w:fill="FFFFFF"/>
          <w:lang w:val="ro-RO"/>
        </w:rPr>
        <w:t xml:space="preserve"> </w:t>
      </w:r>
      <w:hyperlink r:id="rId3" w:history="1">
        <w:r w:rsidRPr="0054352E">
          <w:rPr>
            <w:rStyle w:val="Hyperlink"/>
            <w:sz w:val="24"/>
            <w:shd w:val="clear" w:color="auto" w:fill="FFFFFF"/>
            <w:lang w:val="ro-RO"/>
          </w:rPr>
          <w:t>http://data.europa.eu/eli/reg/2024/765/oj</w:t>
        </w:r>
      </w:hyperlink>
      <w:r w:rsidRPr="0054352E">
        <w:rPr>
          <w:i/>
          <w:color w:val="333333"/>
          <w:sz w:val="24"/>
          <w:shd w:val="clear" w:color="auto" w:fill="FFFFFF"/>
          <w:lang w:val="ro-RO"/>
        </w:rPr>
        <w:t>).</w:t>
      </w:r>
    </w:p>
  </w:footnote>
  <w:footnote w:id="4">
    <w:p w14:paraId="7078CCF7" w14:textId="65EF7374" w:rsidR="00056BAA" w:rsidRPr="0054352E" w:rsidRDefault="00056BAA" w:rsidP="0054352E">
      <w:pPr>
        <w:pStyle w:val="FootnoteText"/>
        <w:ind w:left="567" w:hanging="567"/>
        <w:rPr>
          <w:sz w:val="24"/>
          <w:lang w:val="ro-RO"/>
        </w:rPr>
      </w:pPr>
      <w:r w:rsidRPr="0054352E">
        <w:rPr>
          <w:rStyle w:val="FootnoteReference"/>
          <w:sz w:val="24"/>
          <w:lang w:val="ro-RO"/>
        </w:rPr>
        <w:footnoteRef/>
      </w:r>
      <w:r w:rsidR="0054352E" w:rsidRPr="0054352E">
        <w:rPr>
          <w:sz w:val="24"/>
          <w:lang w:val="ro-RO"/>
        </w:rPr>
        <w:t xml:space="preserve"> </w:t>
      </w:r>
      <w:r w:rsidR="0054352E" w:rsidRPr="0054352E">
        <w:rPr>
          <w:sz w:val="24"/>
          <w:lang w:val="ro-RO"/>
        </w:rPr>
        <w:tab/>
      </w:r>
      <w:r w:rsidRPr="0054352E">
        <w:rPr>
          <w:sz w:val="24"/>
          <w:lang w:val="ro-RO"/>
        </w:rPr>
        <w:t xml:space="preserve">JO L 433 I, 22.12.2020, p. 28, ELI: </w:t>
      </w:r>
      <w:hyperlink r:id="rId4" w:history="1">
        <w:r w:rsidRPr="0054352E">
          <w:rPr>
            <w:rStyle w:val="Hyperlink"/>
            <w:sz w:val="24"/>
            <w:lang w:val="ro-RO"/>
          </w:rPr>
          <w:t>http://data.europa.eu/eli/agree_interinstit/2020/1222/oj</w:t>
        </w:r>
      </w:hyperlink>
      <w:r w:rsidRPr="0054352E">
        <w:rPr>
          <w:sz w:val="24"/>
          <w:lang w:val="ro-RO"/>
        </w:rPr>
        <w:t>.</w:t>
      </w:r>
    </w:p>
  </w:footnote>
  <w:footnote w:id="5">
    <w:p w14:paraId="655C13A5" w14:textId="14FCADA1" w:rsidR="00056BAA" w:rsidRPr="0054352E" w:rsidRDefault="00056BAA" w:rsidP="0054352E">
      <w:pPr>
        <w:pStyle w:val="FootnoteText"/>
        <w:ind w:left="567" w:hanging="567"/>
        <w:rPr>
          <w:sz w:val="24"/>
          <w:lang w:val="ro-RO"/>
        </w:rPr>
      </w:pPr>
      <w:r w:rsidRPr="0054352E">
        <w:rPr>
          <w:rStyle w:val="FootnoteReference"/>
          <w:sz w:val="24"/>
          <w:lang w:val="ro-RO"/>
        </w:rPr>
        <w:footnoteRef/>
      </w:r>
      <w:r w:rsidR="0054352E" w:rsidRPr="0054352E">
        <w:rPr>
          <w:sz w:val="24"/>
          <w:lang w:val="ro-RO"/>
        </w:rPr>
        <w:t xml:space="preserve"> </w:t>
      </w:r>
      <w:r w:rsidR="0054352E" w:rsidRPr="0054352E">
        <w:rPr>
          <w:sz w:val="24"/>
          <w:lang w:val="ro-RO"/>
        </w:rPr>
        <w:tab/>
      </w:r>
      <w:r w:rsidRPr="0054352E">
        <w:rPr>
          <w:sz w:val="24"/>
          <w:lang w:val="ro-RO"/>
        </w:rPr>
        <w:t>În sensul articolului 3 din Regulamentul privind FEG.</w:t>
      </w:r>
    </w:p>
  </w:footnote>
  <w:footnote w:id="6">
    <w:p w14:paraId="186A7AC8" w14:textId="1AB2A91C" w:rsidR="00056BAA" w:rsidRPr="0054352E" w:rsidRDefault="00056BAA" w:rsidP="0054352E">
      <w:pPr>
        <w:pStyle w:val="FootnoteText"/>
        <w:ind w:left="567" w:hanging="567"/>
        <w:rPr>
          <w:sz w:val="24"/>
          <w:lang w:val="ro-RO"/>
        </w:rPr>
      </w:pPr>
      <w:r w:rsidRPr="0054352E">
        <w:rPr>
          <w:rStyle w:val="FootnoteReference"/>
          <w:sz w:val="24"/>
          <w:lang w:val="ro-RO"/>
        </w:rPr>
        <w:footnoteRef/>
      </w:r>
      <w:r w:rsidR="0054352E" w:rsidRPr="0054352E">
        <w:rPr>
          <w:sz w:val="24"/>
          <w:lang w:val="ro-RO"/>
        </w:rPr>
        <w:t xml:space="preserve"> </w:t>
      </w:r>
      <w:r w:rsidR="0054352E" w:rsidRPr="0054352E">
        <w:rPr>
          <w:sz w:val="24"/>
          <w:lang w:val="ro-RO"/>
        </w:rPr>
        <w:tab/>
      </w:r>
      <w:r w:rsidR="009B2612">
        <w:rPr>
          <w:sz w:val="24"/>
          <w:lang w:val="ro-RO"/>
        </w:rPr>
        <w:t>I</w:t>
      </w:r>
      <w:r w:rsidRPr="0054352E">
        <w:rPr>
          <w:sz w:val="24"/>
          <w:lang w:val="ro-RO"/>
        </w:rPr>
        <w:t xml:space="preserve">nclusiv întreprinderile mixte </w:t>
      </w:r>
      <w:proofErr w:type="spellStart"/>
      <w:r w:rsidRPr="0054352E">
        <w:rPr>
          <w:sz w:val="24"/>
          <w:lang w:val="ro-RO"/>
        </w:rPr>
        <w:t>Northvolt</w:t>
      </w:r>
      <w:proofErr w:type="spellEnd"/>
      <w:r w:rsidRPr="0054352E">
        <w:rPr>
          <w:sz w:val="24"/>
          <w:lang w:val="ro-RO"/>
        </w:rPr>
        <w:t xml:space="preserve"> și Volvo </w:t>
      </w:r>
      <w:proofErr w:type="spellStart"/>
      <w:r w:rsidRPr="0054352E">
        <w:rPr>
          <w:sz w:val="24"/>
          <w:lang w:val="ro-RO"/>
        </w:rPr>
        <w:t>Cars</w:t>
      </w:r>
      <w:proofErr w:type="spellEnd"/>
      <w:r w:rsidRPr="0054352E">
        <w:rPr>
          <w:sz w:val="24"/>
          <w:lang w:val="ro-RO"/>
        </w:rPr>
        <w:t xml:space="preserve">, unde, la începutul anului 2025, Volvo </w:t>
      </w:r>
      <w:proofErr w:type="spellStart"/>
      <w:r w:rsidRPr="0054352E">
        <w:rPr>
          <w:sz w:val="24"/>
          <w:lang w:val="ro-RO"/>
        </w:rPr>
        <w:t>Cars</w:t>
      </w:r>
      <w:proofErr w:type="spellEnd"/>
      <w:r w:rsidRPr="0054352E">
        <w:rPr>
          <w:sz w:val="24"/>
          <w:lang w:val="ro-RO"/>
        </w:rPr>
        <w:t xml:space="preserve"> a cumpărat toate acțiunile ca să fie proprietar unic al </w:t>
      </w:r>
      <w:r w:rsidR="009B2612">
        <w:rPr>
          <w:sz w:val="24"/>
          <w:lang w:val="ro-RO"/>
        </w:rPr>
        <w:t>respectivelor</w:t>
      </w:r>
      <w:r w:rsidRPr="0054352E">
        <w:rPr>
          <w:sz w:val="24"/>
          <w:lang w:val="ro-RO"/>
        </w:rPr>
        <w:t xml:space="preserve"> societăți.</w:t>
      </w:r>
    </w:p>
  </w:footnote>
  <w:footnote w:id="7">
    <w:p w14:paraId="47F51C54" w14:textId="73C5BE86" w:rsidR="00056BAA" w:rsidRPr="0054352E" w:rsidRDefault="00056BAA" w:rsidP="0054352E">
      <w:pPr>
        <w:pStyle w:val="FootnoteText"/>
        <w:ind w:left="567" w:hanging="567"/>
        <w:rPr>
          <w:sz w:val="24"/>
          <w:lang w:val="ro-RO"/>
        </w:rPr>
      </w:pPr>
      <w:r w:rsidRPr="0054352E">
        <w:rPr>
          <w:rStyle w:val="FootnoteReference"/>
          <w:sz w:val="24"/>
          <w:lang w:val="ro-RO"/>
        </w:rPr>
        <w:footnoteRef/>
      </w:r>
      <w:r w:rsidR="0054352E" w:rsidRPr="0054352E">
        <w:rPr>
          <w:sz w:val="24"/>
          <w:lang w:val="ro-RO"/>
        </w:rPr>
        <w:t xml:space="preserve"> </w:t>
      </w:r>
      <w:r w:rsidR="0054352E" w:rsidRPr="0054352E">
        <w:rPr>
          <w:sz w:val="24"/>
          <w:lang w:val="ro-RO"/>
        </w:rPr>
        <w:tab/>
      </w:r>
      <w:r w:rsidRPr="0054352E">
        <w:rPr>
          <w:sz w:val="24"/>
          <w:lang w:val="ro-RO"/>
        </w:rPr>
        <w:t xml:space="preserve">Programul de lucru al Comisiei pentru 2026, Momentul independenței Europei </w:t>
      </w:r>
      <w:hyperlink r:id="rId5" w:history="1">
        <w:r w:rsidRPr="0054352E">
          <w:rPr>
            <w:rStyle w:val="Hyperlink"/>
            <w:sz w:val="24"/>
            <w:lang w:val="ro-RO"/>
          </w:rPr>
          <w:t>https://commission.europa.eu/strategy-and-policy/strategy-documents/commission-work-programme/commission-work-programme-2026_en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5E70" w14:textId="77777777" w:rsidR="00064002" w:rsidRPr="005435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52BFE" w14:textId="77777777" w:rsidR="00064002" w:rsidRPr="005435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D8703" w14:textId="77777777" w:rsidR="00064002" w:rsidRPr="005435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7253081">
    <w:abstractNumId w:val="9"/>
  </w:num>
  <w:num w:numId="2" w16cid:durableId="868681220">
    <w:abstractNumId w:val="9"/>
  </w:num>
  <w:num w:numId="3" w16cid:durableId="1296183410">
    <w:abstractNumId w:val="7"/>
  </w:num>
  <w:num w:numId="4" w16cid:durableId="752825085">
    <w:abstractNumId w:val="7"/>
  </w:num>
  <w:num w:numId="5" w16cid:durableId="1766540061">
    <w:abstractNumId w:val="6"/>
  </w:num>
  <w:num w:numId="6" w16cid:durableId="553543509">
    <w:abstractNumId w:val="6"/>
  </w:num>
  <w:num w:numId="7" w16cid:durableId="318390617">
    <w:abstractNumId w:val="5"/>
  </w:num>
  <w:num w:numId="8" w16cid:durableId="851652566">
    <w:abstractNumId w:val="5"/>
  </w:num>
  <w:num w:numId="9" w16cid:durableId="1653483715">
    <w:abstractNumId w:val="4"/>
  </w:num>
  <w:num w:numId="10" w16cid:durableId="281809246">
    <w:abstractNumId w:val="4"/>
  </w:num>
  <w:num w:numId="11" w16cid:durableId="2081056562">
    <w:abstractNumId w:val="8"/>
  </w:num>
  <w:num w:numId="12" w16cid:durableId="36516210">
    <w:abstractNumId w:val="8"/>
  </w:num>
  <w:num w:numId="13" w16cid:durableId="229507329">
    <w:abstractNumId w:val="3"/>
  </w:num>
  <w:num w:numId="14" w16cid:durableId="2068527128">
    <w:abstractNumId w:val="3"/>
  </w:num>
  <w:num w:numId="15" w16cid:durableId="1677880073">
    <w:abstractNumId w:val="2"/>
  </w:num>
  <w:num w:numId="16" w16cid:durableId="435908134">
    <w:abstractNumId w:val="2"/>
  </w:num>
  <w:num w:numId="17" w16cid:durableId="1775593306">
    <w:abstractNumId w:val="1"/>
  </w:num>
  <w:num w:numId="18" w16cid:durableId="1272929770">
    <w:abstractNumId w:val="1"/>
  </w:num>
  <w:num w:numId="19" w16cid:durableId="407114430">
    <w:abstractNumId w:val="0"/>
  </w:num>
  <w:num w:numId="20" w16cid:durableId="1841118593">
    <w:abstractNumId w:val="0"/>
  </w:num>
  <w:num w:numId="21" w16cid:durableId="113790809">
    <w:abstractNumId w:val="9"/>
  </w:num>
  <w:num w:numId="22" w16cid:durableId="486824659">
    <w:abstractNumId w:val="7"/>
  </w:num>
  <w:num w:numId="23" w16cid:durableId="64226853">
    <w:abstractNumId w:val="6"/>
  </w:num>
  <w:num w:numId="24" w16cid:durableId="278151084">
    <w:abstractNumId w:val="5"/>
  </w:num>
  <w:num w:numId="25" w16cid:durableId="1359426155">
    <w:abstractNumId w:val="4"/>
  </w:num>
  <w:num w:numId="26" w16cid:durableId="954944410">
    <w:abstractNumId w:val="8"/>
  </w:num>
  <w:num w:numId="27" w16cid:durableId="602037946">
    <w:abstractNumId w:val="3"/>
  </w:num>
  <w:num w:numId="28" w16cid:durableId="90050091">
    <w:abstractNumId w:val="2"/>
  </w:num>
  <w:num w:numId="29" w16cid:durableId="814496437">
    <w:abstractNumId w:val="1"/>
  </w:num>
  <w:num w:numId="30" w16cid:durableId="1970626016">
    <w:abstractNumId w:val="0"/>
  </w:num>
  <w:num w:numId="31" w16cid:durableId="519586257">
    <w:abstractNumId w:val="9"/>
  </w:num>
  <w:num w:numId="32" w16cid:durableId="1848709485">
    <w:abstractNumId w:val="7"/>
  </w:num>
  <w:num w:numId="33" w16cid:durableId="315033052">
    <w:abstractNumId w:val="6"/>
  </w:num>
  <w:num w:numId="34" w16cid:durableId="663125904">
    <w:abstractNumId w:val="5"/>
  </w:num>
  <w:num w:numId="35" w16cid:durableId="267204407">
    <w:abstractNumId w:val="4"/>
  </w:num>
  <w:num w:numId="36" w16cid:durableId="1979604152">
    <w:abstractNumId w:val="8"/>
  </w:num>
  <w:num w:numId="37" w16cid:durableId="254023543">
    <w:abstractNumId w:val="3"/>
  </w:num>
  <w:num w:numId="38" w16cid:durableId="1775129257">
    <w:abstractNumId w:val="2"/>
  </w:num>
  <w:num w:numId="39" w16cid:durableId="501117730">
    <w:abstractNumId w:val="1"/>
  </w:num>
  <w:num w:numId="40" w16cid:durableId="1359507535">
    <w:abstractNumId w:val="0"/>
  </w:num>
  <w:num w:numId="41" w16cid:durableId="1004698814">
    <w:abstractNumId w:val="10"/>
  </w:num>
  <w:num w:numId="42" w16cid:durableId="2042321854">
    <w:abstractNumId w:val="10"/>
  </w:num>
  <w:num w:numId="43" w16cid:durableId="1393040949">
    <w:abstractNumId w:val="10"/>
  </w:num>
  <w:num w:numId="44" w16cid:durableId="1085686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RO"/>
    <w:docVar w:name="dvnumam" w:val="0"/>
    <w:docVar w:name="dvpe" w:val="779.349"/>
    <w:docVar w:name="dvrapporteur" w:val="Raportoare: "/>
    <w:docVar w:name="dvtitre" w:val="Rezoluția Parlamentului European din ... 2025 referitoare la propunerea de decizie a Parlamentului European și a Consiliului privind mobilizarea Fondului european de ajustare la globalizare pentru lucrătorii disponibilizați în urma unei cereri din partea Suediei – EGF/2025/003 SE/Northvolt(COM(2025)0621 – C10-0270/2025 – 2025/0326(BUD))"/>
  </w:docVars>
  <w:rsids>
    <w:rsidRoot w:val="00271DBF"/>
    <w:rsid w:val="00002272"/>
    <w:rsid w:val="00056BAA"/>
    <w:rsid w:val="00064002"/>
    <w:rsid w:val="000677B9"/>
    <w:rsid w:val="000831BA"/>
    <w:rsid w:val="000A42CC"/>
    <w:rsid w:val="000C4201"/>
    <w:rsid w:val="000E7DD9"/>
    <w:rsid w:val="0010095E"/>
    <w:rsid w:val="00125B37"/>
    <w:rsid w:val="0013516D"/>
    <w:rsid w:val="001723B5"/>
    <w:rsid w:val="00187494"/>
    <w:rsid w:val="001D200C"/>
    <w:rsid w:val="001E5DF2"/>
    <w:rsid w:val="001F32AE"/>
    <w:rsid w:val="00271DBF"/>
    <w:rsid w:val="002767FF"/>
    <w:rsid w:val="002B18FE"/>
    <w:rsid w:val="002B5493"/>
    <w:rsid w:val="002C6663"/>
    <w:rsid w:val="00325AC7"/>
    <w:rsid w:val="00343214"/>
    <w:rsid w:val="00361C00"/>
    <w:rsid w:val="00395FA1"/>
    <w:rsid w:val="003E15D4"/>
    <w:rsid w:val="003E66AD"/>
    <w:rsid w:val="00411CCE"/>
    <w:rsid w:val="0041666E"/>
    <w:rsid w:val="00421060"/>
    <w:rsid w:val="004706B8"/>
    <w:rsid w:val="00471C19"/>
    <w:rsid w:val="004867E3"/>
    <w:rsid w:val="00494A28"/>
    <w:rsid w:val="004C0004"/>
    <w:rsid w:val="004C5D52"/>
    <w:rsid w:val="0050519A"/>
    <w:rsid w:val="005072A1"/>
    <w:rsid w:val="00514517"/>
    <w:rsid w:val="0054352E"/>
    <w:rsid w:val="00545827"/>
    <w:rsid w:val="00560270"/>
    <w:rsid w:val="00571077"/>
    <w:rsid w:val="005C2568"/>
    <w:rsid w:val="005F1B17"/>
    <w:rsid w:val="006037C0"/>
    <w:rsid w:val="006631B6"/>
    <w:rsid w:val="00680577"/>
    <w:rsid w:val="00686C37"/>
    <w:rsid w:val="006F74FA"/>
    <w:rsid w:val="00731ADD"/>
    <w:rsid w:val="00734777"/>
    <w:rsid w:val="007416E6"/>
    <w:rsid w:val="00747932"/>
    <w:rsid w:val="00751A4A"/>
    <w:rsid w:val="00756632"/>
    <w:rsid w:val="00762C74"/>
    <w:rsid w:val="00786EC0"/>
    <w:rsid w:val="007A32A6"/>
    <w:rsid w:val="007B48C5"/>
    <w:rsid w:val="007D1690"/>
    <w:rsid w:val="007D5733"/>
    <w:rsid w:val="007E22AD"/>
    <w:rsid w:val="00817416"/>
    <w:rsid w:val="00842779"/>
    <w:rsid w:val="00865F67"/>
    <w:rsid w:val="00881A7B"/>
    <w:rsid w:val="008840E5"/>
    <w:rsid w:val="00887B3E"/>
    <w:rsid w:val="008C2AC6"/>
    <w:rsid w:val="00930C23"/>
    <w:rsid w:val="0093193B"/>
    <w:rsid w:val="00941B71"/>
    <w:rsid w:val="009509D8"/>
    <w:rsid w:val="00950B64"/>
    <w:rsid w:val="00981893"/>
    <w:rsid w:val="009B261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8E2"/>
    <w:rsid w:val="00C23CD4"/>
    <w:rsid w:val="00C3478A"/>
    <w:rsid w:val="00C61C0C"/>
    <w:rsid w:val="00C75569"/>
    <w:rsid w:val="00C941CB"/>
    <w:rsid w:val="00CC2357"/>
    <w:rsid w:val="00CC6F80"/>
    <w:rsid w:val="00CF071A"/>
    <w:rsid w:val="00D0270D"/>
    <w:rsid w:val="00D058B8"/>
    <w:rsid w:val="00D13027"/>
    <w:rsid w:val="00D56C11"/>
    <w:rsid w:val="00D834A0"/>
    <w:rsid w:val="00D872DF"/>
    <w:rsid w:val="00D91E21"/>
    <w:rsid w:val="00DA7FCD"/>
    <w:rsid w:val="00E25C92"/>
    <w:rsid w:val="00E365E1"/>
    <w:rsid w:val="00E820A4"/>
    <w:rsid w:val="00E85540"/>
    <w:rsid w:val="00EB006A"/>
    <w:rsid w:val="00EB4772"/>
    <w:rsid w:val="00EC259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B80BC"/>
  <w15:chartTrackingRefBased/>
  <w15:docId w15:val="{89F26DF8-CED2-4C34-A4A9-B727A1523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56BA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056BAA"/>
    <w:pPr>
      <w:keepNext/>
      <w:spacing w:after="480"/>
      <w:jc w:val="center"/>
    </w:pPr>
    <w:rPr>
      <w:rFonts w:ascii="Arial" w:hAnsi="Arial" w:cs="Arial"/>
      <w:b/>
    </w:rPr>
  </w:style>
  <w:style w:type="paragraph" w:customStyle="1" w:styleId="NormalHanging12a">
    <w:name w:val="NormalHanging12a"/>
    <w:basedOn w:val="Normal"/>
    <w:rsid w:val="00056BAA"/>
    <w:pPr>
      <w:spacing w:after="240"/>
      <w:ind w:left="567" w:hanging="567"/>
    </w:pPr>
  </w:style>
  <w:style w:type="paragraph" w:styleId="Header">
    <w:name w:val="header"/>
    <w:basedOn w:val="Normal"/>
    <w:link w:val="HeaderChar"/>
    <w:rsid w:val="00056BAA"/>
    <w:pPr>
      <w:tabs>
        <w:tab w:val="center" w:pos="4513"/>
        <w:tab w:val="right" w:pos="9026"/>
      </w:tabs>
    </w:pPr>
  </w:style>
  <w:style w:type="character" w:customStyle="1" w:styleId="HeaderChar">
    <w:name w:val="Header Char"/>
    <w:basedOn w:val="DefaultParagraphFont"/>
    <w:link w:val="Header"/>
    <w:rsid w:val="00056BAA"/>
    <w:rPr>
      <w:sz w:val="24"/>
      <w:lang w:val="ro-RO"/>
    </w:rPr>
  </w:style>
  <w:style w:type="paragraph" w:customStyle="1" w:styleId="NormalBold24a">
    <w:name w:val="NormalBold24a"/>
    <w:basedOn w:val="Normal"/>
    <w:rsid w:val="00056BAA"/>
    <w:pPr>
      <w:spacing w:after="480"/>
    </w:pPr>
    <w:rPr>
      <w:b/>
      <w:bCs/>
    </w:rPr>
  </w:style>
  <w:style w:type="paragraph" w:customStyle="1" w:styleId="EPFooter">
    <w:name w:val="EPFooter"/>
    <w:basedOn w:val="Normal"/>
    <w:rsid w:val="00056BAA"/>
    <w:pPr>
      <w:tabs>
        <w:tab w:val="center" w:pos="4535"/>
        <w:tab w:val="right" w:pos="9071"/>
      </w:tabs>
      <w:spacing w:before="240" w:after="240"/>
    </w:pPr>
    <w:rPr>
      <w:color w:val="010000"/>
      <w:sz w:val="22"/>
    </w:rPr>
  </w:style>
  <w:style w:type="paragraph" w:customStyle="1" w:styleId="EPComma">
    <w:name w:val="EPComma"/>
    <w:basedOn w:val="Normal"/>
    <w:rsid w:val="00056BAA"/>
    <w:pPr>
      <w:spacing w:before="480" w:after="240"/>
    </w:pPr>
  </w:style>
  <w:style w:type="character" w:styleId="Hyperlink">
    <w:name w:val="Hyperlink"/>
    <w:basedOn w:val="DefaultParagraphFont"/>
    <w:rsid w:val="00056BAA"/>
    <w:rPr>
      <w:color w:val="0563C1" w:themeColor="hyperlink"/>
      <w:u w:val="single"/>
    </w:rPr>
  </w:style>
  <w:style w:type="paragraph" w:customStyle="1" w:styleId="Institutionquisigne">
    <w:name w:val="Institution qui signe"/>
    <w:basedOn w:val="Normal"/>
    <w:next w:val="Personnequisigne"/>
    <w:rsid w:val="00056BAA"/>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56BAA"/>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56BA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56BA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56BAA"/>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056BAA"/>
    <w:pPr>
      <w:widowControl/>
      <w:tabs>
        <w:tab w:val="left" w:pos="4252"/>
      </w:tabs>
    </w:pPr>
    <w:rPr>
      <w:rFonts w:eastAsiaTheme="minorHAnsi"/>
      <w:i/>
      <w:szCs w:val="22"/>
      <w:lang w:eastAsia="en-US"/>
    </w:rPr>
  </w:style>
  <w:style w:type="paragraph" w:customStyle="1" w:styleId="ManualConsidrant">
    <w:name w:val="Manual Considérant"/>
    <w:basedOn w:val="Normal"/>
    <w:rsid w:val="00056BAA"/>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056BAA"/>
    <w:rPr>
      <w:rFonts w:ascii="Arial" w:hAnsi="Arial" w:cs="Arial"/>
      <w:b/>
      <w:sz w:val="24"/>
      <w:lang w:val="ro-RO"/>
    </w:rPr>
  </w:style>
  <w:style w:type="paragraph" w:styleId="Revision">
    <w:name w:val="Revision"/>
    <w:hidden/>
    <w:uiPriority w:val="99"/>
    <w:semiHidden/>
    <w:rsid w:val="0013516D"/>
    <w:rPr>
      <w:sz w:val="24"/>
      <w:lang w:val="ro-RO"/>
    </w:rPr>
  </w:style>
  <w:style w:type="character" w:styleId="CommentReference">
    <w:name w:val="annotation reference"/>
    <w:basedOn w:val="DefaultParagraphFont"/>
    <w:rsid w:val="007A32A6"/>
    <w:rPr>
      <w:sz w:val="16"/>
      <w:szCs w:val="16"/>
    </w:rPr>
  </w:style>
  <w:style w:type="paragraph" w:styleId="CommentText">
    <w:name w:val="annotation text"/>
    <w:basedOn w:val="Normal"/>
    <w:link w:val="CommentTextChar"/>
    <w:rsid w:val="007A32A6"/>
    <w:rPr>
      <w:sz w:val="20"/>
    </w:rPr>
  </w:style>
  <w:style w:type="character" w:customStyle="1" w:styleId="CommentTextChar">
    <w:name w:val="Comment Text Char"/>
    <w:basedOn w:val="DefaultParagraphFont"/>
    <w:link w:val="CommentText"/>
    <w:rsid w:val="007A32A6"/>
    <w:rPr>
      <w:lang w:val="ro-RO"/>
    </w:rPr>
  </w:style>
  <w:style w:type="paragraph" w:styleId="CommentSubject">
    <w:name w:val="annotation subject"/>
    <w:basedOn w:val="CommentText"/>
    <w:next w:val="CommentText"/>
    <w:link w:val="CommentSubjectChar"/>
    <w:rsid w:val="007A32A6"/>
    <w:rPr>
      <w:b/>
      <w:bCs/>
    </w:rPr>
  </w:style>
  <w:style w:type="character" w:customStyle="1" w:styleId="CommentSubjectChar">
    <w:name w:val="Comment Subject Char"/>
    <w:basedOn w:val="CommentTextChar"/>
    <w:link w:val="CommentSubject"/>
    <w:rsid w:val="007A32A6"/>
    <w:rPr>
      <w:b/>
      <w:bCs/>
      <w:lang w:val="ro-RO"/>
    </w:rPr>
  </w:style>
  <w:style w:type="character" w:styleId="UnresolvedMention">
    <w:name w:val="Unresolved Mention"/>
    <w:basedOn w:val="DefaultParagraphFont"/>
    <w:uiPriority w:val="99"/>
    <w:semiHidden/>
    <w:unhideWhenUsed/>
    <w:rsid w:val="007A32A6"/>
    <w:rPr>
      <w:color w:val="605E5C"/>
      <w:shd w:val="clear" w:color="auto" w:fill="E1DFDD"/>
    </w:rPr>
  </w:style>
  <w:style w:type="paragraph" w:styleId="Footer">
    <w:name w:val="footer"/>
    <w:basedOn w:val="Normal"/>
    <w:link w:val="FooterChar"/>
    <w:rsid w:val="00941B71"/>
    <w:pPr>
      <w:tabs>
        <w:tab w:val="center" w:pos="4513"/>
        <w:tab w:val="right" w:pos="9026"/>
      </w:tabs>
    </w:pPr>
  </w:style>
  <w:style w:type="character" w:customStyle="1" w:styleId="FooterChar">
    <w:name w:val="Footer Char"/>
    <w:basedOn w:val="DefaultParagraphFont"/>
    <w:link w:val="Footer"/>
    <w:rsid w:val="00941B71"/>
    <w:rPr>
      <w:sz w:val="24"/>
      <w:lang w:val="ro-RO"/>
    </w:rPr>
  </w:style>
  <w:style w:type="character" w:customStyle="1" w:styleId="ATHeading3Char">
    <w:name w:val="AT Heading 3 Char"/>
    <w:link w:val="ATHeading3"/>
    <w:locked/>
    <w:rsid w:val="00686C37"/>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1867</Words>
  <Characters>11166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2026-03-12T16:07:00Z</dcterms:created>
  <dcterms:modified xsi:type="dcterms:W3CDTF">2026-03-12T16:07:00Z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P10_TA(2025)0325_</vt:lpwstr>
  </property>
  <property fmtid="{D5CDD505-2E9C-101B-9397-08002B2CF9AE}" pid="4" name="&lt;Type&gt;">
    <vt:lpwstr>RR</vt:lpwstr>
  </property>
</Properties>
</file>