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D1AA9" w14:paraId="1FD9E33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0F1053B" w14:textId="77777777" w:rsidR="00751A4A" w:rsidRPr="004D1AA9" w:rsidRDefault="005F239A" w:rsidP="0010095E">
            <w:pPr>
              <w:pStyle w:val="EPName"/>
            </w:pPr>
            <w:r w:rsidRPr="004D1AA9">
              <w:t>Európsky parlament</w:t>
            </w:r>
          </w:p>
          <w:p w14:paraId="39625936" w14:textId="77777777" w:rsidR="00751A4A" w:rsidRPr="004D1AA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D1AA9">
              <w:t>2024</w:t>
            </w:r>
            <w:r w:rsidR="00817416" w:rsidRPr="004D1AA9">
              <w:t>-202</w:t>
            </w:r>
            <w:r w:rsidRPr="004D1AA9">
              <w:t>9</w:t>
            </w:r>
          </w:p>
        </w:tc>
        <w:tc>
          <w:tcPr>
            <w:tcW w:w="2268" w:type="dxa"/>
            <w:shd w:val="clear" w:color="auto" w:fill="auto"/>
          </w:tcPr>
          <w:p w14:paraId="0D054FFA" w14:textId="77777777" w:rsidR="00751A4A" w:rsidRPr="004D1AA9" w:rsidRDefault="00187494" w:rsidP="0010095E">
            <w:pPr>
              <w:pStyle w:val="EPLogo"/>
            </w:pPr>
            <w:r w:rsidRPr="004D1AA9">
              <w:rPr>
                <w:noProof/>
                <w:lang w:eastAsia="ja-JP"/>
              </w:rPr>
              <w:drawing>
                <wp:inline distT="0" distB="0" distL="0" distR="0" wp14:anchorId="694C9D90" wp14:editId="3B457AF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EE9412" w14:textId="77777777" w:rsidR="00D058B8" w:rsidRPr="004D1AA9" w:rsidRDefault="00D058B8" w:rsidP="004C5D52">
      <w:pPr>
        <w:pStyle w:val="LineTop"/>
      </w:pPr>
    </w:p>
    <w:p w14:paraId="4FB316E8" w14:textId="77777777" w:rsidR="00680577" w:rsidRPr="004D1AA9" w:rsidRDefault="005F239A" w:rsidP="00680577">
      <w:pPr>
        <w:pStyle w:val="EPBodyTA1"/>
      </w:pPr>
      <w:r w:rsidRPr="004D1AA9">
        <w:t>PRIJATÉ TEXTY</w:t>
      </w:r>
    </w:p>
    <w:p w14:paraId="2482AE1B" w14:textId="77777777" w:rsidR="00D058B8" w:rsidRPr="004D1AA9" w:rsidRDefault="00D058B8" w:rsidP="00D058B8">
      <w:pPr>
        <w:pStyle w:val="LineBottom"/>
      </w:pPr>
    </w:p>
    <w:p w14:paraId="445E03E5" w14:textId="6A596914" w:rsidR="005F239A" w:rsidRPr="004D1AA9" w:rsidRDefault="005F239A" w:rsidP="005F239A">
      <w:pPr>
        <w:pStyle w:val="ATHeading1"/>
      </w:pPr>
      <w:bookmarkStart w:id="0" w:name="TANumber"/>
      <w:r w:rsidRPr="004D1AA9">
        <w:t>P10_TA(2025)0</w:t>
      </w:r>
      <w:bookmarkEnd w:id="0"/>
      <w:r w:rsidR="004D1AA9">
        <w:t>325</w:t>
      </w:r>
    </w:p>
    <w:p w14:paraId="65C849F9" w14:textId="68E69691" w:rsidR="005F239A" w:rsidRPr="004D1AA9" w:rsidRDefault="005F239A" w:rsidP="005F239A">
      <w:pPr>
        <w:pStyle w:val="ATHeading2"/>
      </w:pPr>
      <w:bookmarkStart w:id="1" w:name="title"/>
      <w:r w:rsidRPr="004D1AA9">
        <w:t>Mobilizácia Európskeho fondu na prispôsobenie sa globalizácii na pomoc pracovníkom, ktorí prišli o</w:t>
      </w:r>
      <w:r w:rsidR="00F97852" w:rsidRPr="004D1AA9">
        <w:t> </w:t>
      </w:r>
      <w:r w:rsidRPr="004D1AA9">
        <w:t>zamestnanie</w:t>
      </w:r>
      <w:r w:rsidR="00F97852" w:rsidRPr="004D1AA9">
        <w:t>, na základe</w:t>
      </w:r>
      <w:r w:rsidRPr="004D1AA9">
        <w:t xml:space="preserve"> žiados</w:t>
      </w:r>
      <w:r w:rsidR="00F97852" w:rsidRPr="004D1AA9">
        <w:t>ti</w:t>
      </w:r>
      <w:r w:rsidRPr="004D1AA9">
        <w:t xml:space="preserve"> </w:t>
      </w:r>
      <w:r w:rsidR="00F97852" w:rsidRPr="004D1AA9">
        <w:t xml:space="preserve">Švédska – </w:t>
      </w:r>
      <w:r w:rsidRPr="004D1AA9">
        <w:t>EGF/2025/003 SE/</w:t>
      </w:r>
      <w:proofErr w:type="spellStart"/>
      <w:r w:rsidRPr="004D1AA9">
        <w:t>Northvolt</w:t>
      </w:r>
      <w:bookmarkEnd w:id="1"/>
      <w:proofErr w:type="spellEnd"/>
    </w:p>
    <w:p w14:paraId="4FCAB0DE" w14:textId="77777777" w:rsidR="005F239A" w:rsidRPr="004D1AA9" w:rsidRDefault="005F239A" w:rsidP="005F239A">
      <w:pPr>
        <w:rPr>
          <w:i/>
          <w:vanish/>
        </w:rPr>
      </w:pPr>
      <w:r w:rsidRPr="004D1AA9">
        <w:rPr>
          <w:i/>
        </w:rPr>
        <w:fldChar w:fldCharType="begin"/>
      </w:r>
      <w:r w:rsidRPr="004D1AA9">
        <w:rPr>
          <w:i/>
        </w:rPr>
        <w:instrText xml:space="preserve"> TC"(</w:instrText>
      </w:r>
      <w:bookmarkStart w:id="2" w:name="DocNumber"/>
      <w:r w:rsidRPr="004D1AA9">
        <w:rPr>
          <w:i/>
        </w:rPr>
        <w:instrText>A10-0239/2025</w:instrText>
      </w:r>
      <w:bookmarkEnd w:id="2"/>
      <w:r w:rsidRPr="004D1AA9">
        <w:rPr>
          <w:i/>
        </w:rPr>
        <w:instrText xml:space="preserve"> - Spravodajkyňa: Aura Salla)"\l3 \n&gt; \* MERGEFORMAT </w:instrText>
      </w:r>
      <w:r w:rsidRPr="004D1AA9">
        <w:rPr>
          <w:i/>
        </w:rPr>
        <w:fldChar w:fldCharType="end"/>
      </w:r>
    </w:p>
    <w:p w14:paraId="2DF02591" w14:textId="77777777" w:rsidR="005F239A" w:rsidRPr="004D1AA9" w:rsidRDefault="005F239A" w:rsidP="005F239A">
      <w:pPr>
        <w:rPr>
          <w:vanish/>
        </w:rPr>
      </w:pPr>
      <w:bookmarkStart w:id="3" w:name="Commission"/>
      <w:r w:rsidRPr="004D1AA9">
        <w:rPr>
          <w:vanish/>
        </w:rPr>
        <w:t>Výbor pre rozpočet</w:t>
      </w:r>
      <w:bookmarkEnd w:id="3"/>
    </w:p>
    <w:p w14:paraId="70DDFB3F" w14:textId="77777777" w:rsidR="005F239A" w:rsidRPr="004D1AA9" w:rsidRDefault="005F239A" w:rsidP="005F239A">
      <w:pPr>
        <w:rPr>
          <w:vanish/>
        </w:rPr>
      </w:pPr>
      <w:bookmarkStart w:id="4" w:name="PE"/>
      <w:r w:rsidRPr="004D1AA9">
        <w:rPr>
          <w:vanish/>
        </w:rPr>
        <w:t>PE779.349</w:t>
      </w:r>
      <w:bookmarkEnd w:id="4"/>
    </w:p>
    <w:p w14:paraId="0EFC9C59" w14:textId="712B379A" w:rsidR="005F239A" w:rsidRPr="004D1AA9" w:rsidRDefault="005F239A" w:rsidP="005F239A">
      <w:pPr>
        <w:pStyle w:val="ATHeading3"/>
      </w:pPr>
      <w:bookmarkStart w:id="5" w:name="Sujet"/>
      <w:r w:rsidRPr="004D1AA9">
        <w:t>Uznesenie Európskeho parlamentu z</w:t>
      </w:r>
      <w:r w:rsidR="00F97852" w:rsidRPr="004D1AA9">
        <w:t>o</w:t>
      </w:r>
      <w:r w:rsidRPr="004D1AA9">
        <w:t xml:space="preserve"> </w:t>
      </w:r>
      <w:r w:rsidR="00F97852" w:rsidRPr="004D1AA9">
        <w:t>16</w:t>
      </w:r>
      <w:r w:rsidRPr="004D1AA9">
        <w:t>. decembra 2025 o návrhu rozhodnutia Európskeho parlamentu a Rady o mobilizácii Európskeho fondu na prispôsobenie sa globalizácii na pomoc pracovníkom, ktorí prišli o zamestnanie, na základe žiadosti Švédska – EGF/2025/003 SE/</w:t>
      </w:r>
      <w:proofErr w:type="spellStart"/>
      <w:r w:rsidRPr="004D1AA9">
        <w:t>Northvolt</w:t>
      </w:r>
      <w:bookmarkEnd w:id="5"/>
      <w:proofErr w:type="spellEnd"/>
      <w:r w:rsidRPr="004D1AA9">
        <w:t xml:space="preserve"> </w:t>
      </w:r>
      <w:bookmarkStart w:id="6" w:name="References"/>
      <w:r w:rsidRPr="004D1AA9">
        <w:t>(COM(2025)0621 – C10-0270/2025 – 2025/0326(BUD))</w:t>
      </w:r>
      <w:bookmarkEnd w:id="6"/>
    </w:p>
    <w:p w14:paraId="2602C689" w14:textId="77777777" w:rsidR="00F24402" w:rsidRPr="004D1AA9" w:rsidRDefault="00F24402" w:rsidP="00F24402">
      <w:pPr>
        <w:pStyle w:val="EPComma"/>
        <w:rPr>
          <w:noProof/>
        </w:rPr>
      </w:pPr>
      <w:r w:rsidRPr="004D1AA9">
        <w:rPr>
          <w:i/>
        </w:rPr>
        <w:t>Európsky parlament</w:t>
      </w:r>
      <w:r w:rsidRPr="004D1AA9">
        <w:t>,</w:t>
      </w:r>
    </w:p>
    <w:p w14:paraId="53873D2D" w14:textId="77777777" w:rsidR="00F24402" w:rsidRPr="004D1AA9" w:rsidRDefault="00F24402" w:rsidP="00F24402">
      <w:pPr>
        <w:pStyle w:val="NormalHanging12a"/>
        <w:rPr>
          <w:noProof/>
        </w:rPr>
      </w:pPr>
      <w:r w:rsidRPr="004D1AA9">
        <w:t>–</w:t>
      </w:r>
      <w:r w:rsidRPr="004D1AA9">
        <w:tab/>
        <w:t>so zreteľom na návrh Komisie pre Európsky parlament a Radu (COM(2025)0621 – C10</w:t>
      </w:r>
      <w:r w:rsidRPr="004D1AA9">
        <w:noBreakHyphen/>
        <w:t>0270/2025),</w:t>
      </w:r>
    </w:p>
    <w:p w14:paraId="0642C529" w14:textId="2201039C" w:rsidR="00F24402" w:rsidRPr="004D1AA9" w:rsidRDefault="00F24402" w:rsidP="00F24402">
      <w:pPr>
        <w:pStyle w:val="NormalHanging12a"/>
      </w:pPr>
      <w:r w:rsidRPr="004D1AA9">
        <w:t>–</w:t>
      </w:r>
      <w:r w:rsidRPr="004D1AA9">
        <w:tab/>
        <w:t>so zreteľom na nariadenie Európskeho parlamentu a Rady (EÚ) 2021/691 z 28. apríla 2021 o Európskom fonde na prispôsobenie sa globalizácii na pomoc pracovníkom, ktorí prišli o zamestnanie (EGF), ktorým sa zrušuje nariadenie (EÚ) č. 1309/2013</w:t>
      </w:r>
      <w:r w:rsidRPr="004D1AA9">
        <w:rPr>
          <w:vertAlign w:val="superscript"/>
        </w:rPr>
        <w:footnoteReference w:id="1"/>
      </w:r>
      <w:r w:rsidRPr="004D1AA9">
        <w:t xml:space="preserve"> (</w:t>
      </w:r>
      <w:r w:rsidR="00D43C03" w:rsidRPr="004D1AA9">
        <w:t>ďalej len „</w:t>
      </w:r>
      <w:r w:rsidRPr="004D1AA9">
        <w:t>nariadenie o</w:t>
      </w:r>
      <w:r w:rsidR="00D43C03" w:rsidRPr="004D1AA9">
        <w:t> </w:t>
      </w:r>
      <w:r w:rsidRPr="004D1AA9">
        <w:t>EGF</w:t>
      </w:r>
      <w:r w:rsidR="00D43C03" w:rsidRPr="004D1AA9">
        <w:t>“</w:t>
      </w:r>
      <w:r w:rsidRPr="004D1AA9">
        <w:t xml:space="preserve">), </w:t>
      </w:r>
    </w:p>
    <w:p w14:paraId="4A927941" w14:textId="1A68A214" w:rsidR="00F24402" w:rsidRPr="004D1AA9" w:rsidRDefault="00F24402" w:rsidP="00F24402">
      <w:pPr>
        <w:pStyle w:val="NormalHanging12a"/>
        <w:rPr>
          <w:noProof/>
        </w:rPr>
      </w:pPr>
      <w:r w:rsidRPr="004D1AA9">
        <w:t>–</w:t>
      </w:r>
      <w:r w:rsidRPr="004D1AA9">
        <w:tab/>
        <w:t xml:space="preserve">so zreteľom na nariadenie Rady (EÚ, </w:t>
      </w:r>
      <w:proofErr w:type="spellStart"/>
      <w:r w:rsidRPr="004D1AA9">
        <w:t>Euratom</w:t>
      </w:r>
      <w:proofErr w:type="spellEnd"/>
      <w:r w:rsidRPr="004D1AA9">
        <w:t>) 2020/2093 zo 17. decembra 2020, ktorým sa stanovuje viacročný finančný rámec na roky 2021 až 2027</w:t>
      </w:r>
      <w:r w:rsidRPr="004D1AA9">
        <w:rPr>
          <w:noProof/>
          <w:vertAlign w:val="superscript"/>
        </w:rPr>
        <w:footnoteReference w:id="2"/>
      </w:r>
      <w:r w:rsidRPr="004D1AA9">
        <w:t>, zmenené nariadením</w:t>
      </w:r>
      <w:r w:rsidR="00F204C7" w:rsidRPr="004D1AA9">
        <w:t xml:space="preserve"> Rady</w:t>
      </w:r>
      <w:r w:rsidRPr="004D1AA9">
        <w:t xml:space="preserve"> (EÚ, </w:t>
      </w:r>
      <w:proofErr w:type="spellStart"/>
      <w:r w:rsidRPr="004D1AA9">
        <w:t>Euratom</w:t>
      </w:r>
      <w:proofErr w:type="spellEnd"/>
      <w:r w:rsidRPr="004D1AA9">
        <w:t>) 2024/765</w:t>
      </w:r>
      <w:r w:rsidRPr="004D1AA9">
        <w:rPr>
          <w:noProof/>
          <w:vertAlign w:val="superscript"/>
        </w:rPr>
        <w:footnoteReference w:id="3"/>
      </w:r>
      <w:r w:rsidRPr="004D1AA9">
        <w:t xml:space="preserve">, a najmä na jeho článok 8, </w:t>
      </w:r>
    </w:p>
    <w:p w14:paraId="704297C4" w14:textId="77777777" w:rsidR="00F24402" w:rsidRPr="004D1AA9" w:rsidRDefault="00F24402" w:rsidP="00F24402">
      <w:pPr>
        <w:pStyle w:val="NormalHanging12a"/>
        <w:rPr>
          <w:noProof/>
        </w:rPr>
      </w:pPr>
      <w:r w:rsidRPr="004D1AA9">
        <w:t>–</w:t>
      </w:r>
      <w:r w:rsidRPr="004D1AA9">
        <w:tab/>
        <w:t xml:space="preserve">so zreteľom na </w:t>
      </w:r>
      <w:proofErr w:type="spellStart"/>
      <w:r w:rsidRPr="004D1AA9">
        <w:t>Medziinštitucionálnu</w:t>
      </w:r>
      <w:proofErr w:type="spellEnd"/>
      <w:r w:rsidRPr="004D1AA9">
        <w:t xml:space="preserve"> dohodu zo 16. decembra 2020 medzi Európskym parlamentom, Radou Európskej únie a Európskou komisiou o rozpočtovej disciplíne, spolupráci v rozpočtových záležitostiach a správnom finančnom riadení, ako aj o nových vlastných zdrojoch vrátane plánu na zavedenie nových vlastných zdrojov</w:t>
      </w:r>
      <w:r w:rsidRPr="004D1AA9">
        <w:rPr>
          <w:rStyle w:val="FootnoteReference"/>
          <w:noProof/>
        </w:rPr>
        <w:footnoteReference w:id="4"/>
      </w:r>
      <w:r w:rsidRPr="004D1AA9">
        <w:t xml:space="preserve">, </w:t>
      </w:r>
      <w:r w:rsidRPr="004D1AA9">
        <w:lastRenderedPageBreak/>
        <w:t>a najmä na jej bod 9,</w:t>
      </w:r>
    </w:p>
    <w:p w14:paraId="45C51C49" w14:textId="77777777" w:rsidR="00F24402" w:rsidRPr="004D1AA9" w:rsidRDefault="00F24402" w:rsidP="00F24402">
      <w:pPr>
        <w:pStyle w:val="NormalHanging12a"/>
      </w:pPr>
      <w:r w:rsidRPr="004D1AA9">
        <w:t>–</w:t>
      </w:r>
      <w:r w:rsidRPr="004D1AA9">
        <w:tab/>
        <w:t>so zreteľom na stanovisko Výboru pre zamestnanosť a sociálne veci,</w:t>
      </w:r>
    </w:p>
    <w:p w14:paraId="35DAED85" w14:textId="77777777" w:rsidR="00F24402" w:rsidRPr="004D1AA9" w:rsidRDefault="00F24402" w:rsidP="00F24402">
      <w:pPr>
        <w:pStyle w:val="NormalHanging12a"/>
      </w:pPr>
      <w:r w:rsidRPr="004D1AA9">
        <w:t>–</w:t>
      </w:r>
      <w:r w:rsidRPr="004D1AA9">
        <w:tab/>
        <w:t>so zreteľom na správu Výboru pre rozpočet (A10-0239/2025),</w:t>
      </w:r>
    </w:p>
    <w:p w14:paraId="2AD6C85B" w14:textId="77777777" w:rsidR="00F24402" w:rsidRPr="004D1AA9" w:rsidRDefault="00F24402" w:rsidP="00F24402">
      <w:pPr>
        <w:pStyle w:val="NormalHanging12a"/>
        <w:rPr>
          <w:noProof/>
        </w:rPr>
      </w:pPr>
      <w:r w:rsidRPr="004D1AA9">
        <w:t>A.</w:t>
      </w:r>
      <w:r w:rsidRPr="004D1AA9">
        <w:tab/>
        <w:t>keďže Únia vytvorila legislatívne a rozpočtové nástroje s cieľom poskytovať dodatočnú podporu pracovníkom, ktorých zasiahli dôsledky veľkých štrukturálnych zmien v usporiadaní svetového obchodu či dôsledky globálnej finančnej a hospodárskej krízy, a pomôcť im pri opätovnom začleňovaní do trhu práce; keďže táto pomoc sa poskytuje formou finančnej podpory pracovníkom a podnikom, pre ktoré pracovali;</w:t>
      </w:r>
    </w:p>
    <w:p w14:paraId="0CD11803" w14:textId="15CFA336" w:rsidR="00F24402" w:rsidRPr="004D1AA9" w:rsidRDefault="00F24402" w:rsidP="00F24402">
      <w:pPr>
        <w:pStyle w:val="NormalHanging12a"/>
      </w:pPr>
      <w:r w:rsidRPr="004D1AA9">
        <w:t xml:space="preserve">B. </w:t>
      </w:r>
      <w:r w:rsidRPr="004D1AA9">
        <w:tab/>
        <w:t>keďže Švédsko predložilo žiadosť EGF/2025/003 SE/</w:t>
      </w:r>
      <w:proofErr w:type="spellStart"/>
      <w:r w:rsidRPr="004D1AA9">
        <w:t>Northvolt</w:t>
      </w:r>
      <w:proofErr w:type="spellEnd"/>
      <w:r w:rsidRPr="004D1AA9">
        <w:t xml:space="preserve"> o finančný príspevok z Európskeho fondu na prispôsobenie sa globalizácii (</w:t>
      </w:r>
      <w:r w:rsidR="00CC6E63" w:rsidRPr="004D1AA9">
        <w:t>ďalej len „</w:t>
      </w:r>
      <w:r w:rsidRPr="004D1AA9">
        <w:t>EGF</w:t>
      </w:r>
      <w:r w:rsidR="00CC6E63" w:rsidRPr="004D1AA9">
        <w:t>“</w:t>
      </w:r>
      <w:r w:rsidRPr="004D1AA9">
        <w:t>) po tom, ako bolo prepustených 6 486 pracovníkov</w:t>
      </w:r>
      <w:r w:rsidRPr="004D1AA9">
        <w:rPr>
          <w:vertAlign w:val="superscript"/>
        </w:rPr>
        <w:footnoteReference w:id="5"/>
      </w:r>
      <w:r w:rsidRPr="004D1AA9">
        <w:t xml:space="preserve"> v hospodárskom odvetví zaradenom do divízie 71 klasifikácie NACE </w:t>
      </w:r>
      <w:proofErr w:type="spellStart"/>
      <w:r w:rsidRPr="004D1AA9">
        <w:t>Revision</w:t>
      </w:r>
      <w:proofErr w:type="spellEnd"/>
      <w:r w:rsidRPr="004D1AA9">
        <w:t xml:space="preserve"> 2 (architektonické a inžinierske činnosti; technické testovanie a analýza) v regiónoch </w:t>
      </w:r>
      <w:proofErr w:type="spellStart"/>
      <w:r w:rsidRPr="004D1AA9">
        <w:t>Övre</w:t>
      </w:r>
      <w:proofErr w:type="spellEnd"/>
      <w:r w:rsidRPr="004D1AA9">
        <w:t xml:space="preserve"> </w:t>
      </w:r>
      <w:proofErr w:type="spellStart"/>
      <w:r w:rsidRPr="004D1AA9">
        <w:t>Norrland</w:t>
      </w:r>
      <w:proofErr w:type="spellEnd"/>
      <w:r w:rsidRPr="004D1AA9">
        <w:t xml:space="preserve"> (SE33), Štokholm (SE11) a </w:t>
      </w:r>
      <w:proofErr w:type="spellStart"/>
      <w:r w:rsidRPr="004D1AA9">
        <w:t>Östra</w:t>
      </w:r>
      <w:proofErr w:type="spellEnd"/>
      <w:r w:rsidRPr="004D1AA9">
        <w:t xml:space="preserve"> </w:t>
      </w:r>
      <w:proofErr w:type="spellStart"/>
      <w:r w:rsidRPr="004D1AA9">
        <w:t>Mellansverige</w:t>
      </w:r>
      <w:proofErr w:type="spellEnd"/>
      <w:r w:rsidRPr="004D1AA9">
        <w:t xml:space="preserve"> (SE12), pričom 5 829 pracovníkov bolo prepustených v referenčnom období pre žiadosť od 28. novembra 2024 do 28. marca 2025 a 657 pracovníkov pred referenčným obdobím alebo po ňom; </w:t>
      </w:r>
    </w:p>
    <w:p w14:paraId="4C92F378" w14:textId="77777777" w:rsidR="00F24402" w:rsidRPr="004D1AA9" w:rsidRDefault="00F24402" w:rsidP="00F24402">
      <w:pPr>
        <w:pStyle w:val="NormalHanging12a"/>
      </w:pPr>
      <w:r w:rsidRPr="004D1AA9">
        <w:t xml:space="preserve">C. </w:t>
      </w:r>
      <w:r w:rsidRPr="004D1AA9">
        <w:tab/>
        <w:t xml:space="preserve">keďže počas referenčného obdobia, na ktoré sa vzťahuje táto žiadosť, bolo podľa zistení celkovo prepustených 5 829 pracovníkov, z toho 5 561, ktorých činnosť bola ukončená v spoločnosti </w:t>
      </w:r>
      <w:proofErr w:type="spellStart"/>
      <w:r w:rsidRPr="004D1AA9">
        <w:t>Northvolt</w:t>
      </w:r>
      <w:proofErr w:type="spellEnd"/>
      <w:r w:rsidRPr="004D1AA9">
        <w:t xml:space="preserve"> AB (</w:t>
      </w:r>
      <w:proofErr w:type="spellStart"/>
      <w:r w:rsidRPr="004D1AA9">
        <w:t>Northvolt</w:t>
      </w:r>
      <w:proofErr w:type="spellEnd"/>
      <w:r w:rsidRPr="004D1AA9">
        <w:t>) a jej dcérskych spoločnostiach</w:t>
      </w:r>
      <w:r w:rsidRPr="004D1AA9">
        <w:rPr>
          <w:vertAlign w:val="superscript"/>
        </w:rPr>
        <w:footnoteReference w:id="6"/>
      </w:r>
      <w:r w:rsidRPr="004D1AA9">
        <w:t xml:space="preserve">, a 268 u 8 dodávateľov a nadväzujúcich výrobcov spoločnosti </w:t>
      </w:r>
      <w:proofErr w:type="spellStart"/>
      <w:r w:rsidRPr="004D1AA9">
        <w:t>Northvolt</w:t>
      </w:r>
      <w:proofErr w:type="spellEnd"/>
      <w:r w:rsidRPr="004D1AA9">
        <w:t>;</w:t>
      </w:r>
    </w:p>
    <w:p w14:paraId="3C932E44" w14:textId="77777777" w:rsidR="00F24402" w:rsidRPr="004D1AA9" w:rsidRDefault="00F24402" w:rsidP="00F24402">
      <w:pPr>
        <w:pStyle w:val="NormalHanging12a"/>
      </w:pPr>
      <w:r w:rsidRPr="004D1AA9">
        <w:t>D.</w:t>
      </w:r>
      <w:r w:rsidRPr="004D1AA9">
        <w:tab/>
        <w:t xml:space="preserve">keďže žiadosť je založená na intervenčných kritériách uvedených v článku 4 ods. 2 písm. a) nariadenia o EGF; keďže v prípade 657 prepustených pracovníkov, ktorých činnosť bola ukončená pred referenčným obdobím štyroch mesiacov alebo po ňom, možno preukázať jasnú príčinnú súvislosť s udalosťou, ktorá viedla k ukončeniu činnosti prepustených pracovníkov počas referenčného obdobia, ako sa vyžaduje v článku 6 ods. 2 nariadenia o EGF; </w:t>
      </w:r>
    </w:p>
    <w:p w14:paraId="7562C137" w14:textId="77777777" w:rsidR="00F24402" w:rsidRPr="004D1AA9" w:rsidRDefault="00F24402" w:rsidP="00F24402">
      <w:pPr>
        <w:pStyle w:val="NormalHanging12a"/>
      </w:pPr>
      <w:r w:rsidRPr="004D1AA9">
        <w:t xml:space="preserve">E. </w:t>
      </w:r>
      <w:r w:rsidRPr="004D1AA9">
        <w:tab/>
        <w:t xml:space="preserve">keďže spoločnosť </w:t>
      </w:r>
      <w:proofErr w:type="spellStart"/>
      <w:r w:rsidRPr="004D1AA9">
        <w:t>Northvolt</w:t>
      </w:r>
      <w:proofErr w:type="spellEnd"/>
      <w:r w:rsidRPr="004D1AA9">
        <w:t xml:space="preserve"> sa špecializovala na architektonické a inžinierske činnosti, technické testovanie a výrobu batérií; keďže spoločnosť podala 12. marca 2025 návrh na vyhlásenie konkurzu z dôvodu ťažkostí súvisiacich s výrobou, najmä v dôsledku nadmernej ponuky spôsobenej intenzívnou konkurenciou výrobkov dovážaných najmä z Číny, ktorá dominuje na svetovom trhu s viac ako 80 % podielom na celosvetovej výrobe batérií; </w:t>
      </w:r>
    </w:p>
    <w:p w14:paraId="689B4500" w14:textId="77777777" w:rsidR="00F24402" w:rsidRPr="004D1AA9" w:rsidRDefault="00F24402" w:rsidP="00F24402">
      <w:pPr>
        <w:pStyle w:val="NormalHanging12a"/>
      </w:pPr>
      <w:r w:rsidRPr="004D1AA9">
        <w:t>F.</w:t>
      </w:r>
      <w:r w:rsidRPr="004D1AA9">
        <w:tab/>
        <w:t xml:space="preserve">keďže Európa potrebuje silné a konkurencieschopné odvetvie batérií, aby znížila škodlivé strategické závislosti, zvýšila svoju priemyselnú autonómiu a dosiahla svoje ciele v oblasti klimatickej a energetickej transformácie; keďže odvetvie batérií a dodávateľský priemysel čelia vysokým nákladom na energiu a kapitál, oneskoreniam výroby, narušeniam svetového trhu, ako aj rastúcemu konkurenčnému tlaku zo strany </w:t>
      </w:r>
      <w:r w:rsidRPr="004D1AA9">
        <w:lastRenderedPageBreak/>
        <w:t>výrobcov z tretích krajín, najmä Číny</w:t>
      </w:r>
      <w:r w:rsidRPr="004D1AA9">
        <w:rPr>
          <w:vertAlign w:val="superscript"/>
        </w:rPr>
        <w:footnoteReference w:id="7"/>
      </w:r>
      <w:r w:rsidRPr="004D1AA9">
        <w:t>;</w:t>
      </w:r>
    </w:p>
    <w:p w14:paraId="27B3121A" w14:textId="77777777" w:rsidR="00F24402" w:rsidRPr="004D1AA9" w:rsidRDefault="00F24402" w:rsidP="00F24402">
      <w:pPr>
        <w:pStyle w:val="NormalHanging12a"/>
      </w:pPr>
      <w:r w:rsidRPr="004D1AA9">
        <w:t>G.</w:t>
      </w:r>
      <w:r w:rsidRPr="004D1AA9">
        <w:tab/>
        <w:t>keďže švédske verejné služby zamestnanosti (</w:t>
      </w:r>
      <w:proofErr w:type="spellStart"/>
      <w:r w:rsidRPr="004D1AA9">
        <w:t>Arbetsförmedlingen</w:t>
      </w:r>
      <w:proofErr w:type="spellEnd"/>
      <w:r w:rsidRPr="004D1AA9">
        <w:t>) poskytujú vnútroštátne predbežné financovanie a spolufinancovanie opatrení;</w:t>
      </w:r>
    </w:p>
    <w:p w14:paraId="1BCA4803" w14:textId="5E94B819" w:rsidR="00F24402" w:rsidRPr="004D1AA9" w:rsidRDefault="00F24402" w:rsidP="00F24402">
      <w:pPr>
        <w:pStyle w:val="NormalHanging12a"/>
      </w:pPr>
      <w:r w:rsidRPr="004D1AA9">
        <w:t>H.</w:t>
      </w:r>
      <w:r w:rsidRPr="004D1AA9">
        <w:tab/>
        <w:t>keďže boli splnené požiadavky stanovené v práv</w:t>
      </w:r>
      <w:r w:rsidR="00D43C03" w:rsidRPr="004D1AA9">
        <w:t>e</w:t>
      </w:r>
      <w:r w:rsidRPr="004D1AA9">
        <w:t xml:space="preserve"> Únie a vo vnútroštátn</w:t>
      </w:r>
      <w:r w:rsidR="00B67D60" w:rsidRPr="004D1AA9">
        <w:t>om</w:t>
      </w:r>
      <w:r w:rsidRPr="004D1AA9">
        <w:t xml:space="preserve"> </w:t>
      </w:r>
      <w:r w:rsidR="00B67D60" w:rsidRPr="004D1AA9">
        <w:t>práve</w:t>
      </w:r>
      <w:r w:rsidRPr="004D1AA9">
        <w:t xml:space="preserve"> týkajú</w:t>
      </w:r>
      <w:r w:rsidR="00D43C03" w:rsidRPr="004D1AA9">
        <w:t>com sa</w:t>
      </w:r>
      <w:r w:rsidRPr="004D1AA9">
        <w:t xml:space="preserve"> hromadného prepúšťania;</w:t>
      </w:r>
    </w:p>
    <w:p w14:paraId="3A396964" w14:textId="77777777" w:rsidR="00F24402" w:rsidRPr="004D1AA9" w:rsidRDefault="00F24402" w:rsidP="00F24402">
      <w:pPr>
        <w:pStyle w:val="NormalHanging12a"/>
      </w:pPr>
      <w:r w:rsidRPr="004D1AA9">
        <w:t>I.</w:t>
      </w:r>
      <w:r w:rsidRPr="004D1AA9">
        <w:tab/>
        <w:t xml:space="preserve">keďže finančné príspevky z EGF by mali byť zacielené predovšetkým na aktívne opatrenia politiky trhu práce a </w:t>
      </w:r>
      <w:proofErr w:type="spellStart"/>
      <w:r w:rsidRPr="004D1AA9">
        <w:t>personalizované</w:t>
      </w:r>
      <w:proofErr w:type="spellEnd"/>
      <w:r w:rsidRPr="004D1AA9">
        <w:t xml:space="preserve"> služby zamerané na rýchle opätovné začlenenie príjemcov do dôstojného a udržateľného zamestnania v rámci ich pôvodného odvetvia činnosti alebo mimo neho a zároveň na ich prípravu na ekologickejšie a digitálnejšie európske hospodárstvo;</w:t>
      </w:r>
    </w:p>
    <w:p w14:paraId="478CF40C" w14:textId="0A677AF7" w:rsidR="00F24402" w:rsidRPr="004D1AA9" w:rsidRDefault="00F24402" w:rsidP="00F24402">
      <w:pPr>
        <w:pStyle w:val="NormalHanging12a"/>
      </w:pPr>
      <w:r w:rsidRPr="004D1AA9">
        <w:t>J.</w:t>
      </w:r>
      <w:r w:rsidRPr="004D1AA9">
        <w:tab/>
        <w:t xml:space="preserve">keďže EGF nesmie prekročiť maximálnu ročnú sumu 30 miliónov EUR (v cenách roku 2018), ako sa stanovuje v článku 8 nariadenia (EÚ, </w:t>
      </w:r>
      <w:proofErr w:type="spellStart"/>
      <w:r w:rsidRPr="004D1AA9">
        <w:t>Euratom</w:t>
      </w:r>
      <w:proofErr w:type="spellEnd"/>
      <w:r w:rsidRPr="004D1AA9">
        <w:t xml:space="preserve">) 2020/2093 zmeneného nariadením (EÚ, </w:t>
      </w:r>
      <w:proofErr w:type="spellStart"/>
      <w:r w:rsidRPr="004D1AA9">
        <w:t>Euratom</w:t>
      </w:r>
      <w:proofErr w:type="spellEnd"/>
      <w:r w:rsidRPr="004D1AA9">
        <w:t xml:space="preserve">) 2024/765; </w:t>
      </w:r>
    </w:p>
    <w:p w14:paraId="057B5E95" w14:textId="7459DF84" w:rsidR="00F24402" w:rsidRPr="004D1AA9" w:rsidRDefault="00F24402" w:rsidP="00F24402">
      <w:pPr>
        <w:pStyle w:val="NormalHanging12a"/>
      </w:pPr>
      <w:r w:rsidRPr="004D1AA9">
        <w:t>1.</w:t>
      </w:r>
      <w:r w:rsidRPr="004D1AA9">
        <w:tab/>
        <w:t xml:space="preserve">súhlasí s Komisiou, že podmienky stanovené v článku 4 ods. 2 písm. a) nariadenia o EGF sú splnené a že Švédsko má podľa uvedeného nariadenia nárok na finančný príspevok vo výške 8 526 322 EUR, čo predstavuje 60 % celkových nákladov vo výške 14 210 537 EUR vrátane výdavkov na </w:t>
      </w:r>
      <w:proofErr w:type="spellStart"/>
      <w:r w:rsidRPr="004D1AA9">
        <w:t>personalizované</w:t>
      </w:r>
      <w:proofErr w:type="spellEnd"/>
      <w:r w:rsidRPr="004D1AA9">
        <w:t xml:space="preserve"> služby vo výške 13 663 977</w:t>
      </w:r>
      <w:r w:rsidR="002B0F7B" w:rsidRPr="004D1AA9">
        <w:t> </w:t>
      </w:r>
      <w:r w:rsidRPr="004D1AA9">
        <w:t>EUR a výdavkov na činnosti súvisiace s prípravou, riadením, informovaním a propagáciou, kontrolou a podávaním správ vo výške 546 560</w:t>
      </w:r>
      <w:r w:rsidR="002B0F7B" w:rsidRPr="004D1AA9">
        <w:t> </w:t>
      </w:r>
      <w:r w:rsidRPr="004D1AA9">
        <w:t>EUR;</w:t>
      </w:r>
    </w:p>
    <w:p w14:paraId="68E83505" w14:textId="77777777" w:rsidR="00F24402" w:rsidRPr="004D1AA9" w:rsidRDefault="00F24402" w:rsidP="00F24402">
      <w:pPr>
        <w:pStyle w:val="NormalHanging12a"/>
      </w:pPr>
      <w:r w:rsidRPr="004D1AA9">
        <w:t xml:space="preserve">2. </w:t>
      </w:r>
      <w:r w:rsidRPr="004D1AA9">
        <w:tab/>
        <w:t>konštatuje, že švédske orgány podali žiadosť 16. júna 2025 a že na základe dodatočných informácií, ktoré Švédsko poskytlo, Komisia dokončila svoje hodnotenie 28. októbra 2025, teda o viac ako štyri mesiace neskôr, a v ten istý deň o tom informovala Európsky parlament; zdôrazňuje, že je dôležité výrazne skrátiť čas medzi podaním žiadosti o pomoc z EGF a rozhodnutím o financovaní s cieľom zabezpečiť, aby sa finančná podpora mohla bezodkladne mobilizovať; zdôrazňuje potrebu zjednodušiť a urýchliť vnútorné postupy a zároveň v plnej miere zachovať inštitucionálnu rovnováhu, najmä práva Európskeho parlamentu ako rozpočtového orgánu;</w:t>
      </w:r>
    </w:p>
    <w:p w14:paraId="2F46F82E" w14:textId="77777777" w:rsidR="00F24402" w:rsidRPr="004D1AA9" w:rsidRDefault="00F24402" w:rsidP="00F24402">
      <w:pPr>
        <w:pStyle w:val="NormalHanging12a"/>
      </w:pPr>
      <w:r w:rsidRPr="004D1AA9">
        <w:t>3.</w:t>
      </w:r>
      <w:r w:rsidRPr="004D1AA9">
        <w:tab/>
        <w:t xml:space="preserve">konštatuje, že žiadosť sa týka 6 486 prepustených pracovníkov dotknutých významnou reštrukturalizáciou spoločnosti </w:t>
      </w:r>
      <w:proofErr w:type="spellStart"/>
      <w:r w:rsidRPr="004D1AA9">
        <w:t>Northvolt</w:t>
      </w:r>
      <w:proofErr w:type="spellEnd"/>
      <w:r w:rsidRPr="004D1AA9">
        <w:t>, ktorá viedla k najväčšiemu konkurzu v modernej histórii Švédska; ďalej konštatuje, že dotknutými prijímateľmi bude celkovo 5 800 prepustených pracovníkov, ktorí sa majú zúčastniť na opatreniach;</w:t>
      </w:r>
    </w:p>
    <w:p w14:paraId="50ABBDBF" w14:textId="77777777" w:rsidR="00F24402" w:rsidRPr="004D1AA9" w:rsidRDefault="00F24402" w:rsidP="00F24402">
      <w:pPr>
        <w:pStyle w:val="NormalHanging12a"/>
      </w:pPr>
      <w:r w:rsidRPr="004D1AA9">
        <w:t>4.</w:t>
      </w:r>
      <w:r w:rsidRPr="004D1AA9">
        <w:tab/>
        <w:t xml:space="preserve">berie na vedomie závažnosť prepúšťania v meste </w:t>
      </w:r>
      <w:proofErr w:type="spellStart"/>
      <w:r w:rsidRPr="004D1AA9">
        <w:t>Skellefteå</w:t>
      </w:r>
      <w:proofErr w:type="spellEnd"/>
      <w:r w:rsidRPr="004D1AA9">
        <w:t>, kde miera nezamestnanosti v predchádzajúcom roku dosiahla 8,2 %; berie na vedomie, že väčšina prepustených pracovníkov má vysokú úroveň vzdelania a menej než 54 rokov; vzhľadom na ich špecializované zručnosti v oblasti výroby batérií a inžinierstva zdôrazňuje, že treba urýchlene prijať opatrenia na zabránenie štrukturálnemu regionálnemu úpadku, a vyzdvihuje význam podpory kvalitných pracovných miest orientovaných na budúcnosť s cieľom zabezpečiť dlhodobú hospodársku a sociálnu odolnosť;</w:t>
      </w:r>
    </w:p>
    <w:p w14:paraId="679B3BB3" w14:textId="77777777" w:rsidR="00F24402" w:rsidRPr="004D1AA9" w:rsidRDefault="00F24402" w:rsidP="00F24402">
      <w:pPr>
        <w:pStyle w:val="NormalHanging12a"/>
        <w:rPr>
          <w:bCs/>
          <w:iCs/>
        </w:rPr>
      </w:pPr>
      <w:r w:rsidRPr="004D1AA9">
        <w:t>5.</w:t>
      </w:r>
      <w:r w:rsidRPr="004D1AA9">
        <w:tab/>
        <w:t xml:space="preserve">konštatuje, že v auguste 2025 americký startup </w:t>
      </w:r>
      <w:proofErr w:type="spellStart"/>
      <w:r w:rsidRPr="004D1AA9">
        <w:t>Lyten</w:t>
      </w:r>
      <w:proofErr w:type="spellEnd"/>
      <w:r w:rsidRPr="004D1AA9">
        <w:t xml:space="preserve">, globálny líder v oblasti lítiovo-sírnych batérií, uzavrel záväznú dohodu o prevzatí zvyšných aktív spoločnosti </w:t>
      </w:r>
      <w:proofErr w:type="spellStart"/>
      <w:r w:rsidRPr="004D1AA9">
        <w:t>Northvolt</w:t>
      </w:r>
      <w:proofErr w:type="spellEnd"/>
      <w:r w:rsidRPr="004D1AA9">
        <w:t xml:space="preserve"> </w:t>
      </w:r>
      <w:r w:rsidRPr="004D1AA9">
        <w:lastRenderedPageBreak/>
        <w:t>vo Švédsku, Nemecku a Poľsku do konca roka 2025 a plánuje opätovne prijať prepustených pracovníkov, pričom zohľadní možnosť ponúknuť im rovnocenné pozície v regióne;</w:t>
      </w:r>
      <w:r w:rsidRPr="004D1AA9">
        <w:rPr>
          <w:b/>
          <w:i/>
        </w:rPr>
        <w:t xml:space="preserve"> </w:t>
      </w:r>
      <w:r w:rsidRPr="004D1AA9">
        <w:t>zdôrazňuje, že opätovné zamestnanie by sa malo považovať za prvoradú možnosť a že v prípade prevzatia by sa všetky nevyužité sumy mali vrátiť Komisii;</w:t>
      </w:r>
    </w:p>
    <w:p w14:paraId="494E30C5" w14:textId="68E72EF6" w:rsidR="00F24402" w:rsidRPr="004D1AA9" w:rsidRDefault="00F24402" w:rsidP="00F24402">
      <w:pPr>
        <w:pStyle w:val="NormalHanging12a"/>
        <w:rPr>
          <w:bCs/>
          <w:iCs/>
        </w:rPr>
      </w:pPr>
      <w:r w:rsidRPr="004D1AA9">
        <w:t>6.</w:t>
      </w:r>
      <w:r w:rsidRPr="004D1AA9">
        <w:tab/>
        <w:t xml:space="preserve">pripomína, že po dohode s odborovými zväzmi a sociálnymi partnermi, </w:t>
      </w:r>
      <w:proofErr w:type="spellStart"/>
      <w:r w:rsidRPr="004D1AA9">
        <w:t>personalizované</w:t>
      </w:r>
      <w:proofErr w:type="spellEnd"/>
      <w:r w:rsidRPr="004D1AA9">
        <w:t xml:space="preserve"> služby, ktoré sa majú poskytovať všetkým pracovníkom, pozostávajú z týchto opatrení: hĺbkové posúdenie a individuálne plánovanie, činnosti pri hľadaní zamestnania a koučing, podpora pri začatí vlastného podnikania a investičná podpora, odborná príprava na začlenenie sa do trhu práce, kurzy odbornej prípravy, osobitná podpora pri vstupe na trh práce alebo účasti na ďalšom vzdelávaní, príspevky a odborná príprava v oblasti digitálnych zručností; zdôrazňuje, že švédske orgány musia uvádzať pôvod</w:t>
      </w:r>
      <w:r w:rsidR="00C43E4C" w:rsidRPr="004D1AA9">
        <w:t xml:space="preserve"> a</w:t>
      </w:r>
      <w:r w:rsidRPr="004D1AA9">
        <w:t xml:space="preserve"> zabezpečovať viditeľnosť financovania z Únie a poukazovať na pridanú hodnotu zásahu </w:t>
      </w:r>
      <w:r w:rsidR="00C43E4C" w:rsidRPr="004D1AA9">
        <w:t xml:space="preserve">pre </w:t>
      </w:r>
      <w:r w:rsidRPr="004D1AA9">
        <w:t>Úni</w:t>
      </w:r>
      <w:r w:rsidR="00C43E4C" w:rsidRPr="004D1AA9">
        <w:t>u</w:t>
      </w:r>
      <w:r w:rsidRPr="004D1AA9">
        <w:t xml:space="preserve"> poskytovaním súdržných, účinných a presne zameraných informácií rôznym cieľovým skupinám vrátane </w:t>
      </w:r>
      <w:r w:rsidR="00C43E4C" w:rsidRPr="004D1AA9">
        <w:t xml:space="preserve">cieľových </w:t>
      </w:r>
      <w:r w:rsidRPr="004D1AA9">
        <w:t>prijímateľov, miestnych a regionálnych orgánov, sociálnych partnerov, médií a verejnosti;</w:t>
      </w:r>
    </w:p>
    <w:p w14:paraId="57B1E13D" w14:textId="77777777" w:rsidR="00F24402" w:rsidRPr="004D1AA9" w:rsidRDefault="00F24402" w:rsidP="00F24402">
      <w:pPr>
        <w:pStyle w:val="NormalHanging12a"/>
        <w:rPr>
          <w:bCs/>
          <w:iCs/>
        </w:rPr>
      </w:pPr>
      <w:r w:rsidRPr="004D1AA9">
        <w:t>7.</w:t>
      </w:r>
      <w:r w:rsidRPr="004D1AA9">
        <w:tab/>
        <w:t>zdôrazňuje, že kvalifikácia a zručnosti prepustených pracovníkov sú aj naďalej rozhodujúce pre európske hospodárstvo odolné voči budúcim zmenám, ktoré dovedie do konca zelenú transformáciu; domnieva sa preto, že mobilizácia EGF musí byť súčasťou širšej politickej reakcie s cieľom zabezpečiť, aby dotknutí pracovníci našli primerané príležitosti zodpovedajúce ich kvalifikácii a zručnostiam;</w:t>
      </w:r>
    </w:p>
    <w:p w14:paraId="5E1ABBAC" w14:textId="77777777" w:rsidR="00F24402" w:rsidRPr="004D1AA9" w:rsidRDefault="00F24402" w:rsidP="00F24402">
      <w:pPr>
        <w:pStyle w:val="NormalHanging12a"/>
      </w:pPr>
      <w:r w:rsidRPr="004D1AA9">
        <w:t>8.</w:t>
      </w:r>
      <w:r w:rsidRPr="004D1AA9">
        <w:tab/>
        <w:t>požaduje dôkladné záverečné hodnotenie vykonaných opatrení vrátane jasných informácií o tom, ako sa finančné prostriedky využili a či boli vynaložené v súlade so schválenými plánmi, najmä v prípadoch priamej finančnej podpory, ako je podpora pre startupy a investície; ďalej žiada údaje o počte pracovníkov, ktorí sa úspešne opätovne začlenili do zamestnania, a o tých, ktorí dokončili opatrenia v oblasti odbornej prípravy a zvyšovania úrovne zručností;</w:t>
      </w:r>
    </w:p>
    <w:p w14:paraId="429E9F82" w14:textId="080194B2" w:rsidR="00F24402" w:rsidRPr="004D1AA9" w:rsidRDefault="00F24402" w:rsidP="00F24402">
      <w:pPr>
        <w:pStyle w:val="NormalHanging12a"/>
      </w:pPr>
      <w:r w:rsidRPr="004D1AA9">
        <w:t>9.</w:t>
      </w:r>
      <w:r w:rsidRPr="004D1AA9">
        <w:tab/>
        <w:t xml:space="preserve">poznamenáva, že Švédsko začalo poskytovať </w:t>
      </w:r>
      <w:proofErr w:type="spellStart"/>
      <w:r w:rsidRPr="004D1AA9">
        <w:t>personalizované</w:t>
      </w:r>
      <w:proofErr w:type="spellEnd"/>
      <w:r w:rsidRPr="004D1AA9">
        <w:t xml:space="preserve"> služby </w:t>
      </w:r>
      <w:r w:rsidR="00C43E4C" w:rsidRPr="004D1AA9">
        <w:t xml:space="preserve">cieľovým </w:t>
      </w:r>
      <w:r w:rsidRPr="004D1AA9">
        <w:t>prijímateľom a vznikli mu administratívne výdavky spojené s vykonávaním EGF 25. októbra 2024 a že obdobie oprávnenosti na finančný príspevok z EGF preto potrvá od tohto dátumu až do 24, resp. 31 mesiacov odo dňa nadobudnutia účinnosti rozhodnutia o financovaní;</w:t>
      </w:r>
    </w:p>
    <w:p w14:paraId="5A5A18E3" w14:textId="77777777" w:rsidR="00F24402" w:rsidRPr="004D1AA9" w:rsidRDefault="00F24402" w:rsidP="00F24402">
      <w:pPr>
        <w:pStyle w:val="NormalHanging12a"/>
      </w:pPr>
      <w:r w:rsidRPr="004D1AA9">
        <w:t>10.</w:t>
      </w:r>
      <w:r w:rsidRPr="004D1AA9">
        <w:tab/>
        <w:t>konštatuje, že švédske orgány poskytli uistenie, že pri prístupe k navrhovaným opatreniam a pri ich vykonávaní sa budú dodržiavať zásady rovnakého zaobchádzania a nediskriminácie a že sa zabráni akémukoľvek dvojitému financovaniu;</w:t>
      </w:r>
    </w:p>
    <w:p w14:paraId="4D79B46D" w14:textId="331268DE" w:rsidR="00F24402" w:rsidRPr="004D1AA9" w:rsidRDefault="00F24402" w:rsidP="00F24402">
      <w:pPr>
        <w:pStyle w:val="NormalHanging12a"/>
      </w:pPr>
      <w:r w:rsidRPr="004D1AA9">
        <w:t>11.</w:t>
      </w:r>
      <w:r w:rsidRPr="004D1AA9">
        <w:tab/>
        <w:t>opakuje, že pomoc z EGF nesmie nahrádzať opatrenia, za ktoré na základe vnútroštátn</w:t>
      </w:r>
      <w:r w:rsidR="00C43E4C" w:rsidRPr="004D1AA9">
        <w:t>eho</w:t>
      </w:r>
      <w:r w:rsidRPr="004D1AA9">
        <w:t xml:space="preserve"> práv</w:t>
      </w:r>
      <w:r w:rsidR="00C43E4C" w:rsidRPr="004D1AA9">
        <w:t>a</w:t>
      </w:r>
      <w:r w:rsidRPr="004D1AA9">
        <w:t xml:space="preserve"> alebo kolektívnych dohôd zodpovedajú podniky; </w:t>
      </w:r>
    </w:p>
    <w:p w14:paraId="510B8C05" w14:textId="77777777" w:rsidR="00F24402" w:rsidRPr="004D1AA9" w:rsidRDefault="00F24402" w:rsidP="00F24402">
      <w:pPr>
        <w:pStyle w:val="NormalHanging12a"/>
      </w:pPr>
      <w:r w:rsidRPr="004D1AA9">
        <w:t>12.</w:t>
      </w:r>
      <w:r w:rsidRPr="004D1AA9">
        <w:tab/>
        <w:t xml:space="preserve">zdôrazňuje, že je naliehavo potrebné vyvinúť súdržné a koordinované úsilie na úrovni Únie, aby sa zabezpečila konkurencieschopnosť a strategická autonómia, a to v úzkom partnerstve s členskými štátmi a regiónmi s cieľom chrániť nadčasovú priemyselnú základňu Európy, ktorá reaguje na požiadavky európskej priemyselnej autonómie a posilňuje pozíciu Únie v strategických odvetviach, ako je odvetvie batérií a dodávateľský priemysel, a zároveň podporuje zelenú a digitálnu transformáciu Únie; zdôrazňuje, že len silné, odolné a udržateľné európske hospodárstvo môže účinne zabraňovať rozsiahlemu prepúšťaniu, čím sa v prvom rade zníži potreba intervencie z EGF; zdôrazňuje, že treba zabezpečiť jasné uznanie a viditeľnosť financovania Únie </w:t>
      </w:r>
      <w:r w:rsidRPr="004D1AA9">
        <w:lastRenderedPageBreak/>
        <w:t>s cieľom poukázať na jeho pridanú hodnotu a európsku solidaritu, ktorú EGF predstavuje; vyzýva na dôslednú a presne cielenú komunikáciu s prijímateľmi, regionálnymi a miestnymi orgánmi, sociálnymi partnermi, médiami a širšou verejnosťou; vyjadruje poľutovanie nad tým, že odvetvie batérií v Únii trpí z dôvodu subvencií, ktoré čínska vláda poskytuje svojim výrobcom a ktoré narúšajú globálnu hospodársku súťaž;</w:t>
      </w:r>
    </w:p>
    <w:p w14:paraId="43076E2A" w14:textId="77777777" w:rsidR="00F24402" w:rsidRPr="004D1AA9" w:rsidRDefault="00F24402" w:rsidP="00F24402">
      <w:pPr>
        <w:pStyle w:val="NormalHanging12a"/>
      </w:pPr>
      <w:r w:rsidRPr="004D1AA9">
        <w:t>13.</w:t>
      </w:r>
      <w:r w:rsidRPr="004D1AA9">
        <w:tab/>
        <w:t>schvaľuje rozhodnutie, ktoré je uvedené v prílohe k tomuto uzneseniu;</w:t>
      </w:r>
    </w:p>
    <w:p w14:paraId="0F1A0CA4" w14:textId="77777777" w:rsidR="00F24402" w:rsidRPr="004D1AA9" w:rsidRDefault="00F24402" w:rsidP="00F24402">
      <w:pPr>
        <w:pStyle w:val="NormalHanging12a"/>
      </w:pPr>
      <w:r w:rsidRPr="004D1AA9">
        <w:t>14.</w:t>
      </w:r>
      <w:r w:rsidRPr="004D1AA9">
        <w:tab/>
        <w:t xml:space="preserve">poveruje svoju predsedníčku, aby podpísala toto rozhodnutie spoločne s predsedom Rady a aby zabezpečila jeho uverejnenie v </w:t>
      </w:r>
      <w:r w:rsidRPr="004D1AA9">
        <w:rPr>
          <w:i/>
        </w:rPr>
        <w:t>Úradnom vestníku Európskej únie</w:t>
      </w:r>
      <w:r w:rsidRPr="004D1AA9">
        <w:t>;</w:t>
      </w:r>
    </w:p>
    <w:p w14:paraId="756398B6" w14:textId="77777777" w:rsidR="00F24402" w:rsidRPr="004D1AA9" w:rsidRDefault="00F24402" w:rsidP="00F24402">
      <w:pPr>
        <w:pStyle w:val="NormalHanging12a"/>
      </w:pPr>
      <w:r w:rsidRPr="004D1AA9">
        <w:t>15.</w:t>
      </w:r>
      <w:r w:rsidRPr="004D1AA9">
        <w:tab/>
        <w:t>poveruje svoju predsedníčku, aby postúpila toto uznesenie spolu s prílohou Rade a Komisii.</w:t>
      </w:r>
    </w:p>
    <w:p w14:paraId="08E6739C" w14:textId="77777777" w:rsidR="00F24402" w:rsidRPr="004D1AA9" w:rsidRDefault="00F24402" w:rsidP="00F24402">
      <w:pPr>
        <w:rPr>
          <w:noProof/>
        </w:rPr>
      </w:pPr>
    </w:p>
    <w:p w14:paraId="0BEDD3F5" w14:textId="77777777" w:rsidR="00F24402" w:rsidRPr="004D1AA9" w:rsidRDefault="00F24402" w:rsidP="00F24402">
      <w:pPr>
        <w:pStyle w:val="PageHeading"/>
        <w:rPr>
          <w:noProof/>
        </w:rPr>
        <w:sectPr w:rsidR="00F24402" w:rsidRPr="004D1AA9" w:rsidSect="00F364F2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9517119" w14:textId="77777777" w:rsidR="000F47C8" w:rsidRPr="004D1AA9" w:rsidRDefault="00F24402" w:rsidP="00AA5D2E">
      <w:pPr>
        <w:pStyle w:val="PageHeading"/>
        <w:rPr>
          <w:rFonts w:ascii="Times New Roman" w:hAnsi="Times New Roman" w:cs="Times New Roman"/>
        </w:rPr>
      </w:pPr>
      <w:bookmarkStart w:id="7" w:name="_Toc216088815"/>
      <w:r w:rsidRPr="004D1AA9">
        <w:rPr>
          <w:rFonts w:ascii="Times New Roman" w:hAnsi="Times New Roman" w:cs="Times New Roman"/>
        </w:rPr>
        <w:lastRenderedPageBreak/>
        <w:t>PRÍLOHA</w:t>
      </w:r>
    </w:p>
    <w:p w14:paraId="3DE91EE4" w14:textId="0C6AB6C5" w:rsidR="00F24402" w:rsidRPr="004D1AA9" w:rsidRDefault="00F24402" w:rsidP="000F47C8">
      <w:pPr>
        <w:pStyle w:val="PageHeading"/>
        <w:rPr>
          <w:rFonts w:ascii="Times New Roman" w:hAnsi="Times New Roman" w:cs="Times New Roman"/>
          <w:noProof/>
        </w:rPr>
      </w:pPr>
      <w:r w:rsidRPr="004D1AA9">
        <w:rPr>
          <w:rFonts w:ascii="Times New Roman" w:hAnsi="Times New Roman" w:cs="Times New Roman"/>
        </w:rPr>
        <w:t>ROZHODNUTIE EURÓPSKEHO PARLAMENTU A RADY</w:t>
      </w:r>
      <w:bookmarkEnd w:id="7"/>
    </w:p>
    <w:p w14:paraId="3352F635" w14:textId="39B8058E" w:rsidR="00F24402" w:rsidRDefault="00F24402" w:rsidP="004D1AA9">
      <w:pPr>
        <w:pStyle w:val="NormalBold24a"/>
        <w:jc w:val="center"/>
      </w:pPr>
      <w:r w:rsidRPr="004D1AA9">
        <w:t xml:space="preserve">o mobilizácii Európskeho fondu na prispôsobenie sa globalizácii na pomoc pracovníkom, ktorí prišli o zamestnanie, na základe žiadosti Švédska </w:t>
      </w:r>
      <w:r w:rsidR="00C43E4C" w:rsidRPr="004D1AA9">
        <w:t>(</w:t>
      </w:r>
      <w:r w:rsidRPr="004D1AA9">
        <w:t>EGF/2025/003 SE/</w:t>
      </w:r>
      <w:proofErr w:type="spellStart"/>
      <w:r w:rsidRPr="004D1AA9">
        <w:t>Northvolt</w:t>
      </w:r>
      <w:proofErr w:type="spellEnd"/>
      <w:r w:rsidR="00C43E4C" w:rsidRPr="004D1AA9">
        <w:t>)</w:t>
      </w:r>
    </w:p>
    <w:p w14:paraId="0A54A7FC" w14:textId="03D76E91" w:rsidR="00AA5D2E" w:rsidRPr="00AA5D2E" w:rsidRDefault="00AA5D2E" w:rsidP="00AA5D2E">
      <w:pPr>
        <w:pStyle w:val="NormalBold24a"/>
        <w:rPr>
          <w:b w:val="0"/>
          <w:bCs w:val="0"/>
          <w:i/>
          <w:iCs/>
        </w:rPr>
      </w:pPr>
      <w:r w:rsidRPr="00AA5D2E">
        <w:rPr>
          <w:b w:val="0"/>
          <w:bCs w:val="0"/>
          <w:i/>
          <w:iCs/>
        </w:rPr>
        <w:t xml:space="preserve">(Znenie tejto prílohy sa neuvádza, pretože zodpovedá konečnému aktu, rozhodnutiu (EÚ) </w:t>
      </w:r>
      <w:r>
        <w:rPr>
          <w:b w:val="0"/>
          <w:bCs w:val="0"/>
          <w:i/>
          <w:iCs/>
        </w:rPr>
        <w:t>2025/2661</w:t>
      </w:r>
      <w:r w:rsidRPr="00AA5D2E">
        <w:rPr>
          <w:b w:val="0"/>
          <w:bCs w:val="0"/>
          <w:i/>
          <w:iCs/>
        </w:rPr>
        <w:t>.)</w:t>
      </w:r>
    </w:p>
    <w:p w14:paraId="6967669D" w14:textId="77777777" w:rsidR="00AA5D2E" w:rsidRPr="004D1AA9" w:rsidRDefault="00AA5D2E" w:rsidP="00AA5D2E">
      <w:pPr>
        <w:pStyle w:val="NormalBold24a"/>
      </w:pPr>
    </w:p>
    <w:sectPr w:rsidR="00AA5D2E" w:rsidRPr="004D1AA9" w:rsidSect="00F364F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D662AC" w14:textId="77777777" w:rsidR="005F239A" w:rsidRPr="00F364F2" w:rsidRDefault="005F239A">
      <w:r w:rsidRPr="00F364F2">
        <w:separator/>
      </w:r>
    </w:p>
  </w:endnote>
  <w:endnote w:type="continuationSeparator" w:id="0">
    <w:p w14:paraId="57ED040C" w14:textId="77777777" w:rsidR="005F239A" w:rsidRPr="00F364F2" w:rsidRDefault="005F239A">
      <w:r w:rsidRPr="00F364F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81DF0" w14:textId="77777777" w:rsidR="00F24402" w:rsidRPr="00F364F2" w:rsidRDefault="00F24402" w:rsidP="00594FFE">
    <w:pPr>
      <w:pStyle w:val="EPFooter"/>
    </w:pPr>
    <w:r w:rsidRPr="00F364F2">
      <w:t>PE</w:t>
    </w:r>
    <w:r w:rsidRPr="00F364F2">
      <w:rPr>
        <w:rStyle w:val="HideTWBExt"/>
      </w:rPr>
      <w:t>&lt;NoPE&gt;</w:t>
    </w:r>
    <w:r w:rsidRPr="00F364F2">
      <w:t>779.349</w:t>
    </w:r>
    <w:r w:rsidRPr="00F364F2">
      <w:rPr>
        <w:rStyle w:val="HideTWBExt"/>
      </w:rPr>
      <w:t>&lt;/NoPE&gt;&lt;Version&gt;</w:t>
    </w:r>
    <w:r w:rsidRPr="00F364F2">
      <w:t>v03-00</w:t>
    </w:r>
    <w:r w:rsidRPr="00F364F2">
      <w:rPr>
        <w:rStyle w:val="HideTWBExt"/>
      </w:rPr>
      <w:t>&lt;/Version&gt;</w:t>
    </w:r>
    <w:r w:rsidRPr="00F364F2">
      <w:tab/>
    </w:r>
    <w:r w:rsidRPr="00F364F2">
      <w:fldChar w:fldCharType="begin"/>
    </w:r>
    <w:r w:rsidRPr="00F364F2">
      <w:instrText xml:space="preserve"> PAGE  \* MERGEFORMAT </w:instrText>
    </w:r>
    <w:r w:rsidRPr="00F364F2">
      <w:fldChar w:fldCharType="separate"/>
    </w:r>
    <w:r w:rsidRPr="00F364F2">
      <w:rPr>
        <w:noProof/>
      </w:rPr>
      <w:t>2</w:t>
    </w:r>
    <w:r w:rsidRPr="00F364F2">
      <w:fldChar w:fldCharType="end"/>
    </w:r>
    <w:r w:rsidRPr="00F364F2">
      <w:t>/</w:t>
    </w:r>
    <w:r w:rsidR="00AA5D2E">
      <w:fldChar w:fldCharType="begin"/>
    </w:r>
    <w:r w:rsidR="00AA5D2E">
      <w:instrText xml:space="preserve"> NUMPAGES  \* MERGEFORMAT </w:instrText>
    </w:r>
    <w:r w:rsidR="00AA5D2E">
      <w:fldChar w:fldCharType="separate"/>
    </w:r>
    <w:r w:rsidRPr="00F364F2">
      <w:rPr>
        <w:noProof/>
      </w:rPr>
      <w:t>19</w:t>
    </w:r>
    <w:r w:rsidR="00AA5D2E">
      <w:rPr>
        <w:noProof/>
      </w:rPr>
      <w:fldChar w:fldCharType="end"/>
    </w:r>
    <w:r w:rsidRPr="00F364F2">
      <w:tab/>
    </w:r>
    <w:r w:rsidRPr="00F364F2">
      <w:rPr>
        <w:rStyle w:val="HideTWBExt"/>
      </w:rPr>
      <w:t>&lt;PathFdR&gt;</w:t>
    </w:r>
    <w:r w:rsidRPr="00F364F2">
      <w:t>RR\1332680SK.docx</w:t>
    </w:r>
    <w:r w:rsidRPr="00F364F2">
      <w:rPr>
        <w:rStyle w:val="HideTWBExt"/>
      </w:rPr>
      <w:t>&lt;/PathFdR&gt;</w:t>
    </w:r>
  </w:p>
  <w:p w14:paraId="7DA158AD" w14:textId="77777777" w:rsidR="00F24402" w:rsidRPr="00F364F2" w:rsidRDefault="00F24402" w:rsidP="00594FFE">
    <w:pPr>
      <w:pStyle w:val="EPFooter2"/>
    </w:pPr>
    <w:r w:rsidRPr="00F364F2"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A905D" w14:textId="77777777" w:rsidR="00F24402" w:rsidRPr="00F364F2" w:rsidRDefault="00F24402" w:rsidP="00594FFE">
    <w:pPr>
      <w:pStyle w:val="EPFooter"/>
    </w:pPr>
    <w:r w:rsidRPr="00F364F2">
      <w:rPr>
        <w:rStyle w:val="HideTWBExt"/>
      </w:rPr>
      <w:t>&lt;PathFdR&gt;</w:t>
    </w:r>
    <w:r w:rsidRPr="00F364F2">
      <w:t>RR\1332680SK.docx</w:t>
    </w:r>
    <w:r w:rsidRPr="00F364F2">
      <w:rPr>
        <w:rStyle w:val="HideTWBExt"/>
      </w:rPr>
      <w:t>&lt;/PathFdR&gt;</w:t>
    </w:r>
    <w:r w:rsidRPr="00F364F2">
      <w:tab/>
    </w:r>
    <w:r w:rsidRPr="00F364F2">
      <w:tab/>
      <w:t>PE</w:t>
    </w:r>
    <w:r w:rsidRPr="00F364F2">
      <w:rPr>
        <w:rStyle w:val="HideTWBExt"/>
      </w:rPr>
      <w:t>&lt;NoPE&gt;</w:t>
    </w:r>
    <w:r w:rsidRPr="00F364F2">
      <w:t>779.349</w:t>
    </w:r>
    <w:r w:rsidRPr="00F364F2">
      <w:rPr>
        <w:rStyle w:val="HideTWBExt"/>
      </w:rPr>
      <w:t>&lt;/NoPE&gt;&lt;Version&gt;</w:t>
    </w:r>
    <w:r w:rsidRPr="00F364F2">
      <w:t>v03-00</w:t>
    </w:r>
    <w:r w:rsidRPr="00F364F2">
      <w:rPr>
        <w:rStyle w:val="HideTWBExt"/>
      </w:rPr>
      <w:t>&lt;/Version&gt;</w:t>
    </w:r>
  </w:p>
  <w:p w14:paraId="03612278" w14:textId="77777777" w:rsidR="00F24402" w:rsidRPr="00F364F2" w:rsidRDefault="00F24402" w:rsidP="00594FFE">
    <w:pPr>
      <w:pStyle w:val="EPFooter2"/>
    </w:pPr>
    <w:r w:rsidRPr="00F364F2">
      <w:t>SK</w:t>
    </w:r>
    <w:r w:rsidRPr="00F364F2">
      <w:tab/>
    </w:r>
    <w:r w:rsidRPr="00F364F2">
      <w:rPr>
        <w:b w:val="0"/>
        <w:i/>
        <w:color w:val="C0C0C0"/>
        <w:sz w:val="22"/>
      </w:rPr>
      <w:t>Zjednotení v rozmanitosti</w:t>
    </w:r>
    <w:r w:rsidRPr="00F364F2"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0FBD5" w14:textId="77777777" w:rsidR="00064002" w:rsidRPr="00F364F2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08933" w14:textId="77777777" w:rsidR="00064002" w:rsidRPr="00F364F2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09093" w14:textId="77777777" w:rsidR="00064002" w:rsidRPr="00F364F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76FDEB" w14:textId="77777777" w:rsidR="005F239A" w:rsidRPr="00F364F2" w:rsidRDefault="005F239A">
      <w:r w:rsidRPr="00F364F2">
        <w:separator/>
      </w:r>
    </w:p>
  </w:footnote>
  <w:footnote w:type="continuationSeparator" w:id="0">
    <w:p w14:paraId="69662E5B" w14:textId="77777777" w:rsidR="005F239A" w:rsidRPr="00F364F2" w:rsidRDefault="005F239A">
      <w:r w:rsidRPr="00F364F2">
        <w:continuationSeparator/>
      </w:r>
    </w:p>
  </w:footnote>
  <w:footnote w:id="1">
    <w:p w14:paraId="5E283E02" w14:textId="6EC91623" w:rsidR="00F24402" w:rsidRPr="00F364F2" w:rsidRDefault="00F24402" w:rsidP="00F364F2">
      <w:pPr>
        <w:pStyle w:val="FootnoteText"/>
        <w:ind w:left="567" w:hanging="567"/>
        <w:rPr>
          <w:sz w:val="24"/>
          <w:lang w:val="sk-SK"/>
        </w:rPr>
      </w:pPr>
      <w:r w:rsidRPr="00F364F2">
        <w:rPr>
          <w:rStyle w:val="FootnoteReference"/>
          <w:sz w:val="24"/>
          <w:lang w:val="sk-SK"/>
        </w:rPr>
        <w:footnoteRef/>
      </w:r>
      <w:r w:rsidR="00F364F2" w:rsidRPr="00F364F2">
        <w:rPr>
          <w:sz w:val="24"/>
          <w:lang w:val="sk-SK"/>
        </w:rPr>
        <w:t xml:space="preserve"> </w:t>
      </w:r>
      <w:r w:rsidR="00F364F2" w:rsidRPr="00F364F2">
        <w:rPr>
          <w:sz w:val="24"/>
          <w:lang w:val="sk-SK"/>
        </w:rPr>
        <w:tab/>
      </w:r>
      <w:r w:rsidRPr="00F364F2">
        <w:rPr>
          <w:sz w:val="24"/>
          <w:lang w:val="sk-SK"/>
        </w:rPr>
        <w:t xml:space="preserve">Ú. v. EÚ L 153, 3.5.2021, s. 48, ELI: </w:t>
      </w:r>
      <w:hyperlink r:id="rId1" w:history="1">
        <w:r w:rsidRPr="00F364F2">
          <w:rPr>
            <w:rStyle w:val="Hyperlink"/>
            <w:sz w:val="24"/>
            <w:lang w:val="sk-SK"/>
          </w:rPr>
          <w:t>http://data.europa.eu/eli/reg/2021/691/oj</w:t>
        </w:r>
      </w:hyperlink>
      <w:r w:rsidRPr="00F364F2">
        <w:rPr>
          <w:sz w:val="24"/>
          <w:lang w:val="sk-SK"/>
        </w:rPr>
        <w:t>.</w:t>
      </w:r>
    </w:p>
  </w:footnote>
  <w:footnote w:id="2">
    <w:p w14:paraId="48DFB6FB" w14:textId="33633593" w:rsidR="00F24402" w:rsidRPr="00F364F2" w:rsidRDefault="00F24402" w:rsidP="00F364F2">
      <w:pPr>
        <w:pStyle w:val="FootnoteText"/>
        <w:ind w:left="567" w:hanging="567"/>
        <w:rPr>
          <w:sz w:val="24"/>
          <w:lang w:val="sk-SK"/>
        </w:rPr>
      </w:pPr>
      <w:r w:rsidRPr="00F364F2">
        <w:rPr>
          <w:rStyle w:val="FootnoteReference"/>
          <w:sz w:val="24"/>
          <w:lang w:val="sk-SK"/>
        </w:rPr>
        <w:footnoteRef/>
      </w:r>
      <w:r w:rsidR="00F364F2" w:rsidRPr="00F364F2">
        <w:rPr>
          <w:sz w:val="24"/>
          <w:lang w:val="sk-SK"/>
        </w:rPr>
        <w:t xml:space="preserve"> </w:t>
      </w:r>
      <w:r w:rsidR="00F364F2" w:rsidRPr="00F364F2">
        <w:rPr>
          <w:sz w:val="24"/>
          <w:lang w:val="sk-SK"/>
        </w:rPr>
        <w:tab/>
      </w:r>
      <w:r w:rsidRPr="00F364F2">
        <w:rPr>
          <w:sz w:val="24"/>
          <w:lang w:val="sk-SK"/>
        </w:rPr>
        <w:t xml:space="preserve">Ú. v. EÚ L 433 I, 22.12.2020, s. </w:t>
      </w:r>
      <w:r w:rsidRPr="00F364F2">
        <w:rPr>
          <w:sz w:val="24"/>
          <w:lang w:val="sk-SK"/>
        </w:rPr>
        <w:t xml:space="preserve">11, ELI: </w:t>
      </w:r>
      <w:hyperlink r:id="rId2" w:history="1">
        <w:r w:rsidRPr="00F364F2">
          <w:rPr>
            <w:rStyle w:val="Hyperlink"/>
            <w:sz w:val="24"/>
            <w:lang w:val="sk-SK"/>
          </w:rPr>
          <w:t>http://data.europa.eu/eli/reg/2020/2093/oj</w:t>
        </w:r>
      </w:hyperlink>
      <w:r w:rsidRPr="00F364F2">
        <w:rPr>
          <w:sz w:val="24"/>
          <w:lang w:val="sk-SK"/>
        </w:rPr>
        <w:t>.</w:t>
      </w:r>
    </w:p>
  </w:footnote>
  <w:footnote w:id="3">
    <w:p w14:paraId="497B965F" w14:textId="461C36F9" w:rsidR="00F24402" w:rsidRPr="00F364F2" w:rsidRDefault="00F24402" w:rsidP="00F364F2">
      <w:pPr>
        <w:pStyle w:val="FootnoteText"/>
        <w:ind w:left="567" w:hanging="567"/>
        <w:rPr>
          <w:sz w:val="24"/>
          <w:lang w:val="sk-SK"/>
        </w:rPr>
      </w:pPr>
      <w:r w:rsidRPr="00F364F2">
        <w:rPr>
          <w:rStyle w:val="FootnoteReference"/>
          <w:sz w:val="24"/>
          <w:lang w:val="sk-SK"/>
        </w:rPr>
        <w:footnoteRef/>
      </w:r>
      <w:r w:rsidR="00F364F2" w:rsidRPr="00F364F2">
        <w:rPr>
          <w:sz w:val="24"/>
          <w:shd w:val="clear" w:color="auto" w:fill="FFFFFF"/>
          <w:lang w:val="sk-SK"/>
        </w:rPr>
        <w:t xml:space="preserve"> </w:t>
      </w:r>
      <w:r w:rsidR="00F364F2" w:rsidRPr="00F364F2">
        <w:rPr>
          <w:sz w:val="24"/>
          <w:shd w:val="clear" w:color="auto" w:fill="FFFFFF"/>
          <w:lang w:val="sk-SK"/>
        </w:rPr>
        <w:tab/>
      </w:r>
      <w:r w:rsidRPr="00F364F2">
        <w:rPr>
          <w:sz w:val="24"/>
          <w:shd w:val="clear" w:color="auto" w:fill="FFFFFF"/>
          <w:lang w:val="sk-SK"/>
        </w:rPr>
        <w:t xml:space="preserve">Nariadenie Rady (EÚ, </w:t>
      </w:r>
      <w:proofErr w:type="spellStart"/>
      <w:r w:rsidRPr="00F364F2">
        <w:rPr>
          <w:sz w:val="24"/>
          <w:shd w:val="clear" w:color="auto" w:fill="FFFFFF"/>
          <w:lang w:val="sk-SK"/>
        </w:rPr>
        <w:t>Euratom</w:t>
      </w:r>
      <w:proofErr w:type="spellEnd"/>
      <w:r w:rsidRPr="00F364F2">
        <w:rPr>
          <w:sz w:val="24"/>
          <w:shd w:val="clear" w:color="auto" w:fill="FFFFFF"/>
          <w:lang w:val="sk-SK"/>
        </w:rPr>
        <w:t xml:space="preserve">) 2024/765 z 29. februára 2024, ktorým sa mení nariadenie (EÚ, </w:t>
      </w:r>
      <w:proofErr w:type="spellStart"/>
      <w:r w:rsidRPr="00F364F2">
        <w:rPr>
          <w:sz w:val="24"/>
          <w:shd w:val="clear" w:color="auto" w:fill="FFFFFF"/>
          <w:lang w:val="sk-SK"/>
        </w:rPr>
        <w:t>Euratom</w:t>
      </w:r>
      <w:proofErr w:type="spellEnd"/>
      <w:r w:rsidRPr="00F364F2">
        <w:rPr>
          <w:sz w:val="24"/>
          <w:shd w:val="clear" w:color="auto" w:fill="FFFFFF"/>
          <w:lang w:val="sk-SK"/>
        </w:rPr>
        <w:t xml:space="preserve">) 2020/2093, ktorým sa stanovuje viacročný finančný rámec na roky 2021 až 2027 (Ú. v. </w:t>
      </w:r>
      <w:r w:rsidRPr="00F364F2">
        <w:rPr>
          <w:sz w:val="24"/>
          <w:shd w:val="clear" w:color="auto" w:fill="FFFFFF"/>
          <w:lang w:val="sk-SK"/>
        </w:rPr>
        <w:t>EÚ L, 2024/765, 29.2.2024, ELI:</w:t>
      </w:r>
      <w:r w:rsidRPr="00F364F2">
        <w:rPr>
          <w:color w:val="333333"/>
          <w:sz w:val="24"/>
          <w:shd w:val="clear" w:color="auto" w:fill="FFFFFF"/>
          <w:lang w:val="sk-SK"/>
        </w:rPr>
        <w:t xml:space="preserve"> </w:t>
      </w:r>
      <w:hyperlink r:id="rId3" w:history="1">
        <w:r w:rsidRPr="00F364F2">
          <w:rPr>
            <w:rStyle w:val="Hyperlink"/>
            <w:sz w:val="24"/>
            <w:shd w:val="clear" w:color="auto" w:fill="FFFFFF"/>
            <w:lang w:val="sk-SK"/>
          </w:rPr>
          <w:t>http://data.europa.eu/eli/reg/2024/765/oj</w:t>
        </w:r>
      </w:hyperlink>
      <w:r w:rsidRPr="00F364F2">
        <w:rPr>
          <w:i/>
          <w:color w:val="333333"/>
          <w:sz w:val="24"/>
          <w:shd w:val="clear" w:color="auto" w:fill="FFFFFF"/>
          <w:lang w:val="sk-SK"/>
        </w:rPr>
        <w:t>).</w:t>
      </w:r>
    </w:p>
  </w:footnote>
  <w:footnote w:id="4">
    <w:p w14:paraId="25449687" w14:textId="1675833C" w:rsidR="00F24402" w:rsidRPr="00F364F2" w:rsidRDefault="00F24402" w:rsidP="00F364F2">
      <w:pPr>
        <w:pStyle w:val="FootnoteText"/>
        <w:ind w:left="567" w:hanging="567"/>
        <w:rPr>
          <w:sz w:val="24"/>
          <w:lang w:val="sk-SK"/>
        </w:rPr>
      </w:pPr>
      <w:r w:rsidRPr="00F364F2">
        <w:rPr>
          <w:rStyle w:val="FootnoteReference"/>
          <w:sz w:val="24"/>
          <w:lang w:val="sk-SK"/>
        </w:rPr>
        <w:footnoteRef/>
      </w:r>
      <w:r w:rsidR="00F364F2" w:rsidRPr="00F364F2">
        <w:rPr>
          <w:sz w:val="24"/>
          <w:lang w:val="sk-SK"/>
        </w:rPr>
        <w:t xml:space="preserve"> </w:t>
      </w:r>
      <w:r w:rsidR="00F364F2" w:rsidRPr="00F364F2">
        <w:rPr>
          <w:sz w:val="24"/>
          <w:lang w:val="sk-SK"/>
        </w:rPr>
        <w:tab/>
      </w:r>
      <w:r w:rsidRPr="00F364F2">
        <w:rPr>
          <w:sz w:val="24"/>
          <w:lang w:val="sk-SK"/>
        </w:rPr>
        <w:t xml:space="preserve">Ú. v. EÚ L 433 I, 22.12.2020, s. </w:t>
      </w:r>
      <w:r w:rsidRPr="00F364F2">
        <w:rPr>
          <w:sz w:val="24"/>
          <w:lang w:val="sk-SK"/>
        </w:rPr>
        <w:t xml:space="preserve">28, ELI: </w:t>
      </w:r>
      <w:hyperlink r:id="rId4" w:history="1">
        <w:r w:rsidRPr="00F364F2">
          <w:rPr>
            <w:rStyle w:val="Hyperlink"/>
            <w:sz w:val="24"/>
            <w:lang w:val="sk-SK"/>
          </w:rPr>
          <w:t>http://data.europa.eu/eli/agree_interinstit/2020/1222/oj</w:t>
        </w:r>
      </w:hyperlink>
      <w:r w:rsidRPr="00F364F2">
        <w:rPr>
          <w:sz w:val="24"/>
          <w:lang w:val="sk-SK"/>
        </w:rPr>
        <w:t>.</w:t>
      </w:r>
    </w:p>
  </w:footnote>
  <w:footnote w:id="5">
    <w:p w14:paraId="534F6E9E" w14:textId="4C9DE711" w:rsidR="00F24402" w:rsidRPr="00F364F2" w:rsidRDefault="00F24402" w:rsidP="00F364F2">
      <w:pPr>
        <w:pStyle w:val="FootnoteText"/>
        <w:ind w:left="567" w:hanging="567"/>
        <w:rPr>
          <w:sz w:val="24"/>
          <w:lang w:val="sk-SK"/>
        </w:rPr>
      </w:pPr>
      <w:r w:rsidRPr="00F364F2">
        <w:rPr>
          <w:rStyle w:val="FootnoteReference"/>
          <w:sz w:val="24"/>
          <w:lang w:val="sk-SK"/>
        </w:rPr>
        <w:footnoteRef/>
      </w:r>
      <w:r w:rsidR="00F364F2" w:rsidRPr="00F364F2">
        <w:rPr>
          <w:sz w:val="24"/>
          <w:lang w:val="sk-SK"/>
        </w:rPr>
        <w:t xml:space="preserve"> </w:t>
      </w:r>
      <w:r w:rsidR="00F364F2" w:rsidRPr="00F364F2">
        <w:rPr>
          <w:sz w:val="24"/>
          <w:lang w:val="sk-SK"/>
        </w:rPr>
        <w:tab/>
      </w:r>
      <w:r w:rsidRPr="00F364F2">
        <w:rPr>
          <w:sz w:val="24"/>
          <w:lang w:val="sk-SK"/>
        </w:rPr>
        <w:t>V zmysle článku 3 nariadenia o EGF.</w:t>
      </w:r>
    </w:p>
  </w:footnote>
  <w:footnote w:id="6">
    <w:p w14:paraId="2953785E" w14:textId="256D5FFD" w:rsidR="00F24402" w:rsidRPr="00F364F2" w:rsidRDefault="00F24402" w:rsidP="00F364F2">
      <w:pPr>
        <w:pStyle w:val="FootnoteText"/>
        <w:ind w:left="567" w:hanging="567"/>
        <w:rPr>
          <w:sz w:val="24"/>
          <w:lang w:val="sk-SK"/>
        </w:rPr>
      </w:pPr>
      <w:r w:rsidRPr="00F364F2">
        <w:rPr>
          <w:rStyle w:val="FootnoteReference"/>
          <w:sz w:val="24"/>
          <w:lang w:val="sk-SK"/>
        </w:rPr>
        <w:footnoteRef/>
      </w:r>
      <w:r w:rsidR="00F364F2" w:rsidRPr="00F364F2">
        <w:rPr>
          <w:sz w:val="24"/>
          <w:lang w:val="sk-SK"/>
        </w:rPr>
        <w:t xml:space="preserve"> </w:t>
      </w:r>
      <w:r w:rsidR="00F364F2" w:rsidRPr="00F364F2">
        <w:rPr>
          <w:sz w:val="24"/>
          <w:lang w:val="sk-SK"/>
        </w:rPr>
        <w:tab/>
      </w:r>
      <w:r w:rsidRPr="00F364F2">
        <w:rPr>
          <w:sz w:val="24"/>
          <w:lang w:val="sk-SK"/>
        </w:rPr>
        <w:t xml:space="preserve">Vrátane spoločných podnikov </w:t>
      </w:r>
      <w:proofErr w:type="spellStart"/>
      <w:r w:rsidRPr="00F364F2">
        <w:rPr>
          <w:sz w:val="24"/>
          <w:lang w:val="sk-SK"/>
        </w:rPr>
        <w:t>Northvolt</w:t>
      </w:r>
      <w:proofErr w:type="spellEnd"/>
      <w:r w:rsidRPr="00F364F2">
        <w:rPr>
          <w:sz w:val="24"/>
          <w:lang w:val="sk-SK"/>
        </w:rPr>
        <w:t xml:space="preserve"> a Volvo </w:t>
      </w:r>
      <w:proofErr w:type="spellStart"/>
      <w:r w:rsidRPr="00F364F2">
        <w:rPr>
          <w:sz w:val="24"/>
          <w:lang w:val="sk-SK"/>
        </w:rPr>
        <w:t>Cars</w:t>
      </w:r>
      <w:proofErr w:type="spellEnd"/>
      <w:r w:rsidRPr="00F364F2">
        <w:rPr>
          <w:sz w:val="24"/>
          <w:lang w:val="sk-SK"/>
        </w:rPr>
        <w:t xml:space="preserve">, pričom spoločnosť Volvo </w:t>
      </w:r>
      <w:proofErr w:type="spellStart"/>
      <w:r w:rsidRPr="00F364F2">
        <w:rPr>
          <w:sz w:val="24"/>
          <w:lang w:val="sk-SK"/>
        </w:rPr>
        <w:t>Cars</w:t>
      </w:r>
      <w:proofErr w:type="spellEnd"/>
      <w:r w:rsidRPr="00F364F2">
        <w:rPr>
          <w:sz w:val="24"/>
          <w:lang w:val="sk-SK"/>
        </w:rPr>
        <w:t xml:space="preserve"> začiatkom roka 2025 nadobudla všetky akcie týchto spoločností a stala sa tak ich výhradným vlastníkom.</w:t>
      </w:r>
    </w:p>
  </w:footnote>
  <w:footnote w:id="7">
    <w:p w14:paraId="023D873E" w14:textId="393E5B44" w:rsidR="00F24402" w:rsidRPr="00F364F2" w:rsidRDefault="00F24402" w:rsidP="00F364F2">
      <w:pPr>
        <w:pStyle w:val="FootnoteText"/>
        <w:ind w:left="567" w:hanging="567"/>
        <w:rPr>
          <w:sz w:val="24"/>
          <w:lang w:val="sk-SK"/>
        </w:rPr>
      </w:pPr>
      <w:r w:rsidRPr="00F364F2">
        <w:rPr>
          <w:rStyle w:val="FootnoteReference"/>
          <w:sz w:val="24"/>
          <w:lang w:val="sk-SK"/>
        </w:rPr>
        <w:footnoteRef/>
      </w:r>
      <w:r w:rsidR="00F364F2" w:rsidRPr="00F364F2">
        <w:rPr>
          <w:sz w:val="24"/>
          <w:lang w:val="sk-SK"/>
        </w:rPr>
        <w:t xml:space="preserve"> </w:t>
      </w:r>
      <w:r w:rsidR="00F364F2" w:rsidRPr="00F364F2">
        <w:rPr>
          <w:sz w:val="24"/>
          <w:lang w:val="sk-SK"/>
        </w:rPr>
        <w:tab/>
      </w:r>
      <w:r w:rsidRPr="00F364F2">
        <w:rPr>
          <w:sz w:val="24"/>
          <w:lang w:val="sk-SK"/>
        </w:rPr>
        <w:t xml:space="preserve">Pracovný program Komisie na rok 2026 – Rozhodujúci moment pre nezávislosť Európy </w:t>
      </w:r>
      <w:hyperlink r:id="rId5" w:history="1">
        <w:r w:rsidR="00F97852" w:rsidRPr="004D1AA9">
          <w:rPr>
            <w:rStyle w:val="Hyperlink"/>
            <w:sz w:val="24"/>
            <w:lang w:val="pl-PL"/>
          </w:rPr>
          <w:t>https://commission.europa.eu/strategy-and-policy/strategy-documents/commission-work-programme/commission-work-programme-2026_en</w:t>
        </w:r>
      </w:hyperlink>
      <w:r w:rsidRPr="00F364F2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A6FF6" w14:textId="77777777" w:rsidR="00064002" w:rsidRPr="00F364F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0CA6F" w14:textId="77777777" w:rsidR="00064002" w:rsidRPr="00F364F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37B21" w14:textId="77777777" w:rsidR="00064002" w:rsidRPr="00F364F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62883523">
    <w:abstractNumId w:val="9"/>
  </w:num>
  <w:num w:numId="2" w16cid:durableId="1044065428">
    <w:abstractNumId w:val="9"/>
  </w:num>
  <w:num w:numId="3" w16cid:durableId="1385373211">
    <w:abstractNumId w:val="7"/>
  </w:num>
  <w:num w:numId="4" w16cid:durableId="412775768">
    <w:abstractNumId w:val="7"/>
  </w:num>
  <w:num w:numId="5" w16cid:durableId="450708860">
    <w:abstractNumId w:val="6"/>
  </w:num>
  <w:num w:numId="6" w16cid:durableId="419377650">
    <w:abstractNumId w:val="6"/>
  </w:num>
  <w:num w:numId="7" w16cid:durableId="1942881330">
    <w:abstractNumId w:val="5"/>
  </w:num>
  <w:num w:numId="8" w16cid:durableId="1111825204">
    <w:abstractNumId w:val="5"/>
  </w:num>
  <w:num w:numId="9" w16cid:durableId="290324850">
    <w:abstractNumId w:val="4"/>
  </w:num>
  <w:num w:numId="10" w16cid:durableId="517277382">
    <w:abstractNumId w:val="4"/>
  </w:num>
  <w:num w:numId="11" w16cid:durableId="1084910589">
    <w:abstractNumId w:val="8"/>
  </w:num>
  <w:num w:numId="12" w16cid:durableId="905647836">
    <w:abstractNumId w:val="8"/>
  </w:num>
  <w:num w:numId="13" w16cid:durableId="1883639161">
    <w:abstractNumId w:val="3"/>
  </w:num>
  <w:num w:numId="14" w16cid:durableId="196623814">
    <w:abstractNumId w:val="3"/>
  </w:num>
  <w:num w:numId="15" w16cid:durableId="1825588723">
    <w:abstractNumId w:val="2"/>
  </w:num>
  <w:num w:numId="16" w16cid:durableId="1070927378">
    <w:abstractNumId w:val="2"/>
  </w:num>
  <w:num w:numId="17" w16cid:durableId="883829511">
    <w:abstractNumId w:val="1"/>
  </w:num>
  <w:num w:numId="18" w16cid:durableId="682393361">
    <w:abstractNumId w:val="1"/>
  </w:num>
  <w:num w:numId="19" w16cid:durableId="255359563">
    <w:abstractNumId w:val="0"/>
  </w:num>
  <w:num w:numId="20" w16cid:durableId="509950037">
    <w:abstractNumId w:val="0"/>
  </w:num>
  <w:num w:numId="21" w16cid:durableId="875309124">
    <w:abstractNumId w:val="9"/>
  </w:num>
  <w:num w:numId="22" w16cid:durableId="1755473020">
    <w:abstractNumId w:val="7"/>
  </w:num>
  <w:num w:numId="23" w16cid:durableId="271909524">
    <w:abstractNumId w:val="6"/>
  </w:num>
  <w:num w:numId="24" w16cid:durableId="816726814">
    <w:abstractNumId w:val="5"/>
  </w:num>
  <w:num w:numId="25" w16cid:durableId="22050598">
    <w:abstractNumId w:val="4"/>
  </w:num>
  <w:num w:numId="26" w16cid:durableId="1023365302">
    <w:abstractNumId w:val="8"/>
  </w:num>
  <w:num w:numId="27" w16cid:durableId="2003118876">
    <w:abstractNumId w:val="3"/>
  </w:num>
  <w:num w:numId="28" w16cid:durableId="1827041505">
    <w:abstractNumId w:val="2"/>
  </w:num>
  <w:num w:numId="29" w16cid:durableId="423305109">
    <w:abstractNumId w:val="1"/>
  </w:num>
  <w:num w:numId="30" w16cid:durableId="468523388">
    <w:abstractNumId w:val="0"/>
  </w:num>
  <w:num w:numId="31" w16cid:durableId="2127233250">
    <w:abstractNumId w:val="9"/>
  </w:num>
  <w:num w:numId="32" w16cid:durableId="1174343640">
    <w:abstractNumId w:val="7"/>
  </w:num>
  <w:num w:numId="33" w16cid:durableId="1637567324">
    <w:abstractNumId w:val="6"/>
  </w:num>
  <w:num w:numId="34" w16cid:durableId="1148934694">
    <w:abstractNumId w:val="5"/>
  </w:num>
  <w:num w:numId="35" w16cid:durableId="733819412">
    <w:abstractNumId w:val="4"/>
  </w:num>
  <w:num w:numId="36" w16cid:durableId="1584144609">
    <w:abstractNumId w:val="8"/>
  </w:num>
  <w:num w:numId="37" w16cid:durableId="1011222568">
    <w:abstractNumId w:val="3"/>
  </w:num>
  <w:num w:numId="38" w16cid:durableId="422145454">
    <w:abstractNumId w:val="2"/>
  </w:num>
  <w:num w:numId="39" w16cid:durableId="692725994">
    <w:abstractNumId w:val="1"/>
  </w:num>
  <w:num w:numId="40" w16cid:durableId="1719088930">
    <w:abstractNumId w:val="0"/>
  </w:num>
  <w:num w:numId="41" w16cid:durableId="1092898311">
    <w:abstractNumId w:val="10"/>
  </w:num>
  <w:num w:numId="42" w16cid:durableId="1123499758">
    <w:abstractNumId w:val="10"/>
  </w:num>
  <w:num w:numId="43" w16cid:durableId="1332954278">
    <w:abstractNumId w:val="10"/>
  </w:num>
  <w:num w:numId="44" w16cid:durableId="144870085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39/2025"/>
    <w:docVar w:name="dvlangue" w:val="SK"/>
    <w:docVar w:name="dvnumam" w:val="0"/>
    <w:docVar w:name="dvpe" w:val="779.349"/>
    <w:docVar w:name="dvrapporteur" w:val="Spravodajkyňa: "/>
    <w:docVar w:name="dvtitre" w:val="Uznesenie Európskeho parlamentu z xx. decembra 2025 o návrhu rozhodnutia Európskeho parlamentu a Rady o mobilizácii Európskeho fondu na prispôsobenie sa globalizácii na pomoc pracovníkom, ktorí prišli o zamestnanie, na základe žiadosti Švédska – EGF/2025/003 SE/Northvolt(COM(2025)0621 – C10-0270/2025 – 2025/0326(BUD))"/>
  </w:docVars>
  <w:rsids>
    <w:rsidRoot w:val="005F239A"/>
    <w:rsid w:val="00002272"/>
    <w:rsid w:val="000171B4"/>
    <w:rsid w:val="00064002"/>
    <w:rsid w:val="000677B9"/>
    <w:rsid w:val="000831BA"/>
    <w:rsid w:val="000A42CC"/>
    <w:rsid w:val="000E7DD9"/>
    <w:rsid w:val="000F47C8"/>
    <w:rsid w:val="0010095E"/>
    <w:rsid w:val="00125B37"/>
    <w:rsid w:val="00187494"/>
    <w:rsid w:val="001A2F9F"/>
    <w:rsid w:val="001F32AE"/>
    <w:rsid w:val="002767FF"/>
    <w:rsid w:val="002B0F7B"/>
    <w:rsid w:val="002B18FE"/>
    <w:rsid w:val="002B5493"/>
    <w:rsid w:val="00333585"/>
    <w:rsid w:val="00343214"/>
    <w:rsid w:val="00361C00"/>
    <w:rsid w:val="00395FA1"/>
    <w:rsid w:val="003E15D4"/>
    <w:rsid w:val="00411CCE"/>
    <w:rsid w:val="0041666E"/>
    <w:rsid w:val="00421060"/>
    <w:rsid w:val="00450572"/>
    <w:rsid w:val="00471C19"/>
    <w:rsid w:val="004867E3"/>
    <w:rsid w:val="00494A28"/>
    <w:rsid w:val="004C0004"/>
    <w:rsid w:val="004C5D52"/>
    <w:rsid w:val="004D1AA9"/>
    <w:rsid w:val="0050519A"/>
    <w:rsid w:val="005072A1"/>
    <w:rsid w:val="00514517"/>
    <w:rsid w:val="00545827"/>
    <w:rsid w:val="00560270"/>
    <w:rsid w:val="005C2568"/>
    <w:rsid w:val="005F1B17"/>
    <w:rsid w:val="005F239A"/>
    <w:rsid w:val="005F3195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4878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2A7E"/>
    <w:rsid w:val="00930C23"/>
    <w:rsid w:val="0093193B"/>
    <w:rsid w:val="009331E3"/>
    <w:rsid w:val="009509D8"/>
    <w:rsid w:val="00950B64"/>
    <w:rsid w:val="00951755"/>
    <w:rsid w:val="00981893"/>
    <w:rsid w:val="009A55D2"/>
    <w:rsid w:val="00A1687D"/>
    <w:rsid w:val="00A43E52"/>
    <w:rsid w:val="00A4678D"/>
    <w:rsid w:val="00A778C7"/>
    <w:rsid w:val="00AA5D2E"/>
    <w:rsid w:val="00AB441E"/>
    <w:rsid w:val="00AB6293"/>
    <w:rsid w:val="00AE0928"/>
    <w:rsid w:val="00AE3E0D"/>
    <w:rsid w:val="00AF3B82"/>
    <w:rsid w:val="00B12E95"/>
    <w:rsid w:val="00B22876"/>
    <w:rsid w:val="00B558F0"/>
    <w:rsid w:val="00B67D60"/>
    <w:rsid w:val="00BC1541"/>
    <w:rsid w:val="00BD48FE"/>
    <w:rsid w:val="00BD7BD8"/>
    <w:rsid w:val="00BE6ADC"/>
    <w:rsid w:val="00C05BFE"/>
    <w:rsid w:val="00C23CD4"/>
    <w:rsid w:val="00C43E4C"/>
    <w:rsid w:val="00C61C0C"/>
    <w:rsid w:val="00C941CB"/>
    <w:rsid w:val="00CC1B80"/>
    <w:rsid w:val="00CC2357"/>
    <w:rsid w:val="00CC6E63"/>
    <w:rsid w:val="00CF071A"/>
    <w:rsid w:val="00D058B8"/>
    <w:rsid w:val="00D43C03"/>
    <w:rsid w:val="00D56C11"/>
    <w:rsid w:val="00D610BE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04C7"/>
    <w:rsid w:val="00F24402"/>
    <w:rsid w:val="00F364F2"/>
    <w:rsid w:val="00F5134D"/>
    <w:rsid w:val="00F74202"/>
    <w:rsid w:val="00F87713"/>
    <w:rsid w:val="00F97852"/>
    <w:rsid w:val="00FB4360"/>
    <w:rsid w:val="00FC2D22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71D5B2"/>
  <w15:chartTrackingRefBased/>
  <w15:docId w15:val="{92D90501-B310-4613-93A5-0F1D5635E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16 Point,Superscript 6 Point,Footnote Reference Number,Footnote Reference_LVL6,Footnote Reference_LVL61,Footnote Reference_LVL62,Footnote Reference_LVL63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F2440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rsid w:val="00F2440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F24402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F2440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24402"/>
    <w:rPr>
      <w:sz w:val="24"/>
      <w:lang w:val="sk-SK"/>
    </w:rPr>
  </w:style>
  <w:style w:type="paragraph" w:customStyle="1" w:styleId="NormalBold24a">
    <w:name w:val="NormalBold24a"/>
    <w:basedOn w:val="Normal"/>
    <w:rsid w:val="00F24402"/>
    <w:pPr>
      <w:spacing w:after="480"/>
    </w:pPr>
    <w:rPr>
      <w:b/>
      <w:bCs/>
    </w:rPr>
  </w:style>
  <w:style w:type="paragraph" w:customStyle="1" w:styleId="EPFooter">
    <w:name w:val="EPFooter"/>
    <w:basedOn w:val="Normal"/>
    <w:rsid w:val="00F2440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F24402"/>
    <w:pPr>
      <w:spacing w:before="480" w:after="240"/>
    </w:pPr>
  </w:style>
  <w:style w:type="character" w:styleId="Hyperlink">
    <w:name w:val="Hyperlink"/>
    <w:basedOn w:val="DefaultParagraphFont"/>
    <w:rsid w:val="00F24402"/>
    <w:rPr>
      <w:color w:val="0563C1" w:themeColor="hyperlink"/>
      <w:u w:val="single"/>
    </w:rPr>
  </w:style>
  <w:style w:type="paragraph" w:customStyle="1" w:styleId="Institutionquisigne">
    <w:name w:val="Institution qui signe"/>
    <w:basedOn w:val="Normal"/>
    <w:next w:val="Personnequisigne"/>
    <w:rsid w:val="00F24402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F24402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F24402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F24402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F24402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F24402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F24402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character" w:customStyle="1" w:styleId="PageHeadingChar">
    <w:name w:val="PageHeading Char"/>
    <w:basedOn w:val="DefaultParagraphFont"/>
    <w:link w:val="PageHeading"/>
    <w:locked/>
    <w:rsid w:val="00F24402"/>
    <w:rPr>
      <w:rFonts w:ascii="Arial" w:hAnsi="Arial" w:cs="Arial"/>
      <w:b/>
      <w:sz w:val="24"/>
      <w:lang w:val="sk-SK"/>
    </w:rPr>
  </w:style>
  <w:style w:type="paragraph" w:styleId="Footer">
    <w:name w:val="footer"/>
    <w:basedOn w:val="Normal"/>
    <w:link w:val="FooterChar"/>
    <w:rsid w:val="0079487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94878"/>
    <w:rPr>
      <w:sz w:val="24"/>
      <w:lang w:val="sk-SK"/>
    </w:rPr>
  </w:style>
  <w:style w:type="paragraph" w:styleId="Revision">
    <w:name w:val="Revision"/>
    <w:hidden/>
    <w:uiPriority w:val="99"/>
    <w:semiHidden/>
    <w:rsid w:val="000F47C8"/>
    <w:rPr>
      <w:sz w:val="24"/>
      <w:lang w:val="sk-SK"/>
    </w:rPr>
  </w:style>
  <w:style w:type="character" w:styleId="UnresolvedMention">
    <w:name w:val="Unresolved Mention"/>
    <w:basedOn w:val="DefaultParagraphFont"/>
    <w:uiPriority w:val="99"/>
    <w:semiHidden/>
    <w:unhideWhenUsed/>
    <w:rsid w:val="000F47C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F97852"/>
    <w:rPr>
      <w:sz w:val="16"/>
      <w:szCs w:val="16"/>
    </w:rPr>
  </w:style>
  <w:style w:type="paragraph" w:styleId="CommentText">
    <w:name w:val="annotation text"/>
    <w:basedOn w:val="Normal"/>
    <w:link w:val="CommentTextChar"/>
    <w:rsid w:val="00F9785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97852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rsid w:val="00F978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97852"/>
    <w:rPr>
      <w:b/>
      <w:bCs/>
      <w:lang w:val="sk-SK"/>
    </w:rPr>
  </w:style>
  <w:style w:type="character" w:styleId="FollowedHyperlink">
    <w:name w:val="FollowedHyperlink"/>
    <w:basedOn w:val="DefaultParagraphFont"/>
    <w:rsid w:val="00F9785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629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2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4/765/oj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21/691/oj" TargetMode="External"/><Relationship Id="rId5" Type="http://schemas.openxmlformats.org/officeDocument/2006/relationships/hyperlink" Target="https://commission.europa.eu/strategy-and-policy/strategy-documents/commission-work-programme/commission-work-programme-2026_en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1644</Words>
  <Characters>10301</Characters>
  <Application>Microsoft Office Word</Application>
  <DocSecurity>0</DocSecurity>
  <Lines>206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2026-03-05T13:32:00Z</dcterms:created>
  <dcterms:modified xsi:type="dcterms:W3CDTF">2026-03-05T13:32:00Z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P10_TA(2025)0325_</vt:lpwstr>
  </property>
  <property fmtid="{D5CDD505-2E9C-101B-9397-08002B2CF9AE}" pid="4" name="&lt;Type&gt;">
    <vt:lpwstr>RR</vt:lpwstr>
  </property>
</Properties>
</file>