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2EBA" w14:paraId="7EBD0721" w14:textId="77777777" w:rsidTr="0010095E">
        <w:trPr>
          <w:trHeight w:hRule="exact" w:val="1418"/>
        </w:trPr>
        <w:tc>
          <w:tcPr>
            <w:tcW w:w="6804" w:type="dxa"/>
            <w:shd w:val="clear" w:color="auto" w:fill="auto"/>
            <w:vAlign w:val="center"/>
          </w:tcPr>
          <w:p w14:paraId="79DC7F13" w14:textId="77777777" w:rsidR="00751A4A" w:rsidRPr="00D22EBA" w:rsidRDefault="008B5464" w:rsidP="0010095E">
            <w:pPr>
              <w:pStyle w:val="EPName"/>
            </w:pPr>
            <w:r w:rsidRPr="00D22EBA">
              <w:t>Europaparlamentet</w:t>
            </w:r>
          </w:p>
          <w:p w14:paraId="1B03FA9C" w14:textId="77777777" w:rsidR="00751A4A" w:rsidRPr="00D22EBA" w:rsidRDefault="005F1B17" w:rsidP="005F1B17">
            <w:pPr>
              <w:pStyle w:val="EPTerm"/>
              <w:rPr>
                <w:rStyle w:val="HideTWBExt"/>
                <w:noProof w:val="0"/>
                <w:vanish w:val="0"/>
                <w:color w:val="auto"/>
              </w:rPr>
            </w:pPr>
            <w:r w:rsidRPr="00D22EBA">
              <w:t>2024</w:t>
            </w:r>
            <w:r w:rsidR="00817416" w:rsidRPr="00D22EBA">
              <w:t>-202</w:t>
            </w:r>
            <w:r w:rsidRPr="00D22EBA">
              <w:t>9</w:t>
            </w:r>
          </w:p>
        </w:tc>
        <w:tc>
          <w:tcPr>
            <w:tcW w:w="2268" w:type="dxa"/>
            <w:shd w:val="clear" w:color="auto" w:fill="auto"/>
          </w:tcPr>
          <w:p w14:paraId="02B1EC25" w14:textId="77777777" w:rsidR="00751A4A" w:rsidRPr="00D22EBA" w:rsidRDefault="00187494" w:rsidP="0010095E">
            <w:pPr>
              <w:pStyle w:val="EPLogo"/>
            </w:pPr>
            <w:r w:rsidRPr="00D22EBA">
              <w:rPr>
                <w:noProof/>
                <w:lang w:eastAsia="ja-JP"/>
              </w:rPr>
              <w:drawing>
                <wp:inline distT="0" distB="0" distL="0" distR="0" wp14:anchorId="401E835E" wp14:editId="6DA274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C765F7" w14:textId="77777777" w:rsidR="00D058B8" w:rsidRPr="00D22EBA" w:rsidRDefault="00D058B8" w:rsidP="004C5D52">
      <w:pPr>
        <w:pStyle w:val="LineTop"/>
      </w:pPr>
    </w:p>
    <w:p w14:paraId="609F9191" w14:textId="77777777" w:rsidR="00680577" w:rsidRPr="00D22EBA" w:rsidRDefault="008B5464" w:rsidP="00680577">
      <w:pPr>
        <w:pStyle w:val="EPBodyTA1"/>
      </w:pPr>
      <w:r w:rsidRPr="00D22EBA">
        <w:t>ANTAGNA TEXTER</w:t>
      </w:r>
    </w:p>
    <w:p w14:paraId="64A04389" w14:textId="77777777" w:rsidR="00D058B8" w:rsidRPr="00D22EBA" w:rsidRDefault="00D058B8" w:rsidP="00D058B8">
      <w:pPr>
        <w:pStyle w:val="LineBottom"/>
      </w:pPr>
    </w:p>
    <w:p w14:paraId="734BD321" w14:textId="08719616" w:rsidR="008B5464" w:rsidRPr="00D22EBA" w:rsidRDefault="008B5464" w:rsidP="008B5464">
      <w:pPr>
        <w:pStyle w:val="ATHeading1"/>
      </w:pPr>
      <w:bookmarkStart w:id="0" w:name="TANumber"/>
      <w:r w:rsidRPr="00D22EBA">
        <w:t>P10_TA(2025)0</w:t>
      </w:r>
      <w:bookmarkEnd w:id="0"/>
      <w:r w:rsidR="00DA4805">
        <w:t>325</w:t>
      </w:r>
    </w:p>
    <w:p w14:paraId="095618A8" w14:textId="7DD88989" w:rsidR="008B5464" w:rsidRPr="00D22EBA" w:rsidRDefault="008B5464" w:rsidP="008B5464">
      <w:pPr>
        <w:pStyle w:val="ATHeading2"/>
      </w:pPr>
      <w:bookmarkStart w:id="1" w:name="title"/>
      <w:r w:rsidRPr="00D22EBA">
        <w:t>Utnyttjande av Europeiska fonden för justering för globaliseringseffekter för uppsagda arbetstagare: ansökan</w:t>
      </w:r>
      <w:r w:rsidR="00F15942" w:rsidRPr="00D22EBA">
        <w:t xml:space="preserve"> – </w:t>
      </w:r>
      <w:r w:rsidRPr="00D22EBA">
        <w:t>EGF/2025/003 SE/Northvolt – Sverige</w:t>
      </w:r>
      <w:bookmarkEnd w:id="1"/>
    </w:p>
    <w:p w14:paraId="46FC9E6D" w14:textId="77777777" w:rsidR="008B5464" w:rsidRPr="00D22EBA" w:rsidRDefault="008B5464" w:rsidP="008B5464">
      <w:pPr>
        <w:rPr>
          <w:i/>
          <w:vanish/>
        </w:rPr>
      </w:pPr>
      <w:r w:rsidRPr="00D22EBA">
        <w:rPr>
          <w:i/>
        </w:rPr>
        <w:fldChar w:fldCharType="begin"/>
      </w:r>
      <w:r w:rsidRPr="00D22EBA">
        <w:rPr>
          <w:i/>
        </w:rPr>
        <w:instrText xml:space="preserve"> TC"(</w:instrText>
      </w:r>
      <w:bookmarkStart w:id="2" w:name="DocNumber"/>
      <w:r w:rsidRPr="00D22EBA">
        <w:rPr>
          <w:i/>
        </w:rPr>
        <w:instrText>A10-0239/2025</w:instrText>
      </w:r>
      <w:bookmarkEnd w:id="2"/>
      <w:r w:rsidRPr="00D22EBA">
        <w:rPr>
          <w:i/>
        </w:rPr>
        <w:instrText xml:space="preserve"> - Föredragande: Aura Salla)"\l3 \n&gt; \* MERGEFORMAT </w:instrText>
      </w:r>
      <w:r w:rsidRPr="00D22EBA">
        <w:rPr>
          <w:i/>
        </w:rPr>
        <w:fldChar w:fldCharType="end"/>
      </w:r>
    </w:p>
    <w:p w14:paraId="64569AAE" w14:textId="77777777" w:rsidR="008B5464" w:rsidRPr="00D22EBA" w:rsidRDefault="008B5464" w:rsidP="008B5464">
      <w:pPr>
        <w:rPr>
          <w:vanish/>
        </w:rPr>
      </w:pPr>
      <w:bookmarkStart w:id="3" w:name="Commission"/>
      <w:r w:rsidRPr="00D22EBA">
        <w:rPr>
          <w:vanish/>
        </w:rPr>
        <w:t>Budgetutskottet</w:t>
      </w:r>
      <w:bookmarkEnd w:id="3"/>
    </w:p>
    <w:p w14:paraId="6978F24E" w14:textId="77777777" w:rsidR="008B5464" w:rsidRPr="00D22EBA" w:rsidRDefault="008B5464" w:rsidP="008B5464">
      <w:pPr>
        <w:rPr>
          <w:vanish/>
        </w:rPr>
      </w:pPr>
      <w:bookmarkStart w:id="4" w:name="PE"/>
      <w:r w:rsidRPr="00D22EBA">
        <w:rPr>
          <w:vanish/>
        </w:rPr>
        <w:t>PE779.349</w:t>
      </w:r>
      <w:bookmarkEnd w:id="4"/>
    </w:p>
    <w:p w14:paraId="5FF48628" w14:textId="6EE69261" w:rsidR="008B5464" w:rsidRPr="00D22EBA" w:rsidRDefault="008B5464" w:rsidP="008B5464">
      <w:pPr>
        <w:pStyle w:val="ATHeading3"/>
      </w:pPr>
      <w:bookmarkStart w:id="5" w:name="Sujet"/>
      <w:r w:rsidRPr="00D22EBA">
        <w:t xml:space="preserve">Europaparlamentets resolution av den </w:t>
      </w:r>
      <w:r w:rsidR="00F15942" w:rsidRPr="00D22EBA">
        <w:t>16 december</w:t>
      </w:r>
      <w:r w:rsidRPr="00D22EBA">
        <w:t xml:space="preserve"> 2025 om förslaget till Europaparlamentets och rådets beslut om utnyttjande av Europeiska fonden för justering för globaliseringseffekter för uppsagda arbetstagare efter en ansökan från Sverige – EGF/2025/003 SE/Northvolt</w:t>
      </w:r>
      <w:bookmarkEnd w:id="5"/>
      <w:r w:rsidRPr="00D22EBA">
        <w:t xml:space="preserve"> </w:t>
      </w:r>
      <w:bookmarkStart w:id="6" w:name="References"/>
      <w:r w:rsidRPr="00D22EBA">
        <w:t>(COM(2025)0621 – C10-0270/2025 – 2025/0326(BUD))</w:t>
      </w:r>
      <w:bookmarkEnd w:id="6"/>
    </w:p>
    <w:p w14:paraId="2C249914" w14:textId="77777777" w:rsidR="00D256F4" w:rsidRPr="00D22EBA" w:rsidRDefault="00D256F4" w:rsidP="00D256F4">
      <w:pPr>
        <w:pStyle w:val="EPComma"/>
        <w:rPr>
          <w:noProof/>
        </w:rPr>
      </w:pPr>
      <w:r w:rsidRPr="00D22EBA">
        <w:rPr>
          <w:i/>
          <w:iCs/>
        </w:rPr>
        <w:t>Europaparlamentet utfärdar denna resolution</w:t>
      </w:r>
    </w:p>
    <w:p w14:paraId="131153E2" w14:textId="77777777" w:rsidR="00D256F4" w:rsidRPr="00D22EBA" w:rsidRDefault="00D256F4" w:rsidP="00D256F4">
      <w:pPr>
        <w:pStyle w:val="NormalHanging12a"/>
        <w:rPr>
          <w:noProof/>
        </w:rPr>
      </w:pPr>
      <w:r w:rsidRPr="00D22EBA">
        <w:t>–</w:t>
      </w:r>
      <w:r w:rsidRPr="00D22EBA">
        <w:tab/>
        <w:t>med beaktande av kommissionens förslag till Europaparlamentet och rådet (COM(2025)0621 – C10</w:t>
      </w:r>
      <w:r w:rsidRPr="00D22EBA">
        <w:noBreakHyphen/>
        <w:t>0270/2025),</w:t>
      </w:r>
    </w:p>
    <w:p w14:paraId="1ACBC0BF" w14:textId="77777777" w:rsidR="00D256F4" w:rsidRPr="00D22EBA" w:rsidRDefault="00D256F4" w:rsidP="00D256F4">
      <w:pPr>
        <w:pStyle w:val="NormalHanging12a"/>
      </w:pPr>
      <w:r w:rsidRPr="00D22EBA">
        <w:t>–</w:t>
      </w:r>
      <w:r w:rsidRPr="00D22EBA">
        <w:tab/>
        <w:t>med beaktande av Europaparlamentets och rådets förordning (EU) 2021/691 av den 28 april 2021 om Europeiska fonden för justering för globaliseringseffekter för uppsagda arbetstagare (EGF) och om upphävande av förordning (EU) nr 1309/2013</w:t>
      </w:r>
      <w:r w:rsidRPr="00D22EBA">
        <w:rPr>
          <w:vertAlign w:val="superscript"/>
        </w:rPr>
        <w:footnoteReference w:id="1"/>
      </w:r>
      <w:r w:rsidRPr="00D22EBA">
        <w:t xml:space="preserve"> (</w:t>
      </w:r>
      <w:r w:rsidRPr="00D22EBA">
        <w:rPr>
          <w:i/>
          <w:iCs/>
        </w:rPr>
        <w:t>EGF-förordningen</w:t>
      </w:r>
      <w:r w:rsidRPr="00D22EBA">
        <w:t xml:space="preserve">), </w:t>
      </w:r>
    </w:p>
    <w:p w14:paraId="15AE2958" w14:textId="6A855A99" w:rsidR="00D256F4" w:rsidRPr="00D22EBA" w:rsidRDefault="00D256F4" w:rsidP="00D256F4">
      <w:pPr>
        <w:pStyle w:val="NormalHanging12a"/>
        <w:rPr>
          <w:noProof/>
        </w:rPr>
      </w:pPr>
      <w:r w:rsidRPr="00D22EBA">
        <w:t>–</w:t>
      </w:r>
      <w:r w:rsidRPr="00D22EBA">
        <w:tab/>
        <w:t>med beaktande av rådets förordning (EU, Euratom) 2020/2093 av den 17 december 2020 om den fleråriga budgetramen 2021–2027</w:t>
      </w:r>
      <w:r w:rsidRPr="00D22EBA">
        <w:rPr>
          <w:noProof/>
          <w:vertAlign w:val="superscript"/>
        </w:rPr>
        <w:footnoteReference w:id="2"/>
      </w:r>
      <w:r w:rsidRPr="00D22EBA">
        <w:t xml:space="preserve">, och om ändring av </w:t>
      </w:r>
      <w:r w:rsidR="00E24F58" w:rsidRPr="00D22EBA">
        <w:t xml:space="preserve">rådets </w:t>
      </w:r>
      <w:r w:rsidRPr="00D22EBA">
        <w:t>förordning (EU, Euratom) 2024/765</w:t>
      </w:r>
      <w:r w:rsidRPr="00D22EBA">
        <w:rPr>
          <w:noProof/>
          <w:vertAlign w:val="superscript"/>
        </w:rPr>
        <w:footnoteReference w:id="3"/>
      </w:r>
      <w:r w:rsidRPr="00D22EBA">
        <w:t xml:space="preserve">, särskilt artikel 8, </w:t>
      </w:r>
    </w:p>
    <w:p w14:paraId="5574D329" w14:textId="77777777" w:rsidR="00D256F4" w:rsidRPr="00D22EBA" w:rsidRDefault="00D256F4" w:rsidP="00D256F4">
      <w:pPr>
        <w:pStyle w:val="NormalHanging12a"/>
        <w:rPr>
          <w:noProof/>
        </w:rPr>
      </w:pPr>
      <w:r w:rsidRPr="00D22EBA">
        <w:t>–</w:t>
      </w:r>
      <w:r w:rsidRPr="00D22EBA">
        <w:tab/>
        <w:t xml:space="preserve">med beaktande av det interinstitutionella avtalet av den 16 december 2020 mellan Europaparlamentet, Europeiska unionens råd och Europeiska kommissionen om budgetdisciplin, samarbete i budgetfrågor och sund ekonomisk förvaltning samt om nya </w:t>
      </w:r>
      <w:r w:rsidRPr="00D22EBA">
        <w:lastRenderedPageBreak/>
        <w:t>egna medel, inbegripet en färdplan för införandet av nya egna medel</w:t>
      </w:r>
      <w:r w:rsidRPr="00D22EBA">
        <w:rPr>
          <w:rStyle w:val="FootnoteReference"/>
          <w:noProof/>
        </w:rPr>
        <w:footnoteReference w:id="4"/>
      </w:r>
      <w:r w:rsidRPr="00D22EBA">
        <w:t>, särskilt punkt 9,</w:t>
      </w:r>
    </w:p>
    <w:p w14:paraId="7DD59C97" w14:textId="77777777" w:rsidR="00D256F4" w:rsidRPr="00D22EBA" w:rsidRDefault="00D256F4" w:rsidP="00D256F4">
      <w:pPr>
        <w:pStyle w:val="NormalHanging12a"/>
      </w:pPr>
      <w:r w:rsidRPr="00D22EBA">
        <w:t>–</w:t>
      </w:r>
      <w:r w:rsidRPr="00D22EBA">
        <w:tab/>
        <w:t>med beaktande av yttrandet från utskottet för sysselsättning och sociala frågor,</w:t>
      </w:r>
    </w:p>
    <w:p w14:paraId="06E53EC0" w14:textId="77777777" w:rsidR="00D256F4" w:rsidRPr="00D22EBA" w:rsidRDefault="00D256F4" w:rsidP="00D256F4">
      <w:pPr>
        <w:pStyle w:val="NormalHanging12a"/>
      </w:pPr>
      <w:r w:rsidRPr="00D22EBA">
        <w:t>–</w:t>
      </w:r>
      <w:r w:rsidRPr="00D22EBA">
        <w:tab/>
        <w:t>med beaktande av betänkandet från budgetutskottet (A10-0239/2025), och av följande skäl:</w:t>
      </w:r>
    </w:p>
    <w:p w14:paraId="23A502D3" w14:textId="77777777" w:rsidR="00D256F4" w:rsidRPr="00D22EBA" w:rsidRDefault="00D256F4" w:rsidP="00D256F4">
      <w:pPr>
        <w:pStyle w:val="NormalHanging12a"/>
        <w:rPr>
          <w:noProof/>
        </w:rPr>
      </w:pPr>
      <w:r w:rsidRPr="00D22EBA">
        <w:t>A.</w:t>
      </w:r>
      <w:r w:rsidRPr="00D22EBA">
        <w:tab/>
        <w:t>Unionen har inrättat lagstiftnings- och budgetinstrument för att kunna ge kompletterande stöd till arbetstagare som drabbas av konsekvenserna av genomgripande strukturförändringar inom världshandeln eller av den globala finansiella och ekonomiska krisen, och för att underlätta deras återinträde på arbetsmarknaden. Detta stöd ges i form av ekonomiskt stöd till arbetstagare och till de företag som de har arbetat för.</w:t>
      </w:r>
    </w:p>
    <w:p w14:paraId="0C6A1F8A" w14:textId="293366BF" w:rsidR="00D256F4" w:rsidRPr="00D22EBA" w:rsidRDefault="00D256F4" w:rsidP="00D256F4">
      <w:pPr>
        <w:pStyle w:val="NormalHanging12a"/>
      </w:pPr>
      <w:r w:rsidRPr="00D22EBA">
        <w:t>B.</w:t>
      </w:r>
      <w:r w:rsidRPr="00D22EBA">
        <w:tab/>
        <w:t>Sverige lämnade in ansökan EGF/2025/003 SE/Northvolt om ekonomiskt bidrag från Europeiska fonden för justering för globaliseringseffekter (EGF) till följd av 6 486 uppsägningar</w:t>
      </w:r>
      <w:r w:rsidRPr="00D22EBA">
        <w:rPr>
          <w:vertAlign w:val="superscript"/>
        </w:rPr>
        <w:footnoteReference w:id="5"/>
      </w:r>
      <w:r w:rsidRPr="00D22EBA">
        <w:t xml:space="preserve"> inom den näringsgren som i Nace rev. 2 klassificeras som huvudgrupp 71 (Arkitekt- och ingenjörsverksamhet; teknisk provning och analys) i regionerna Övre Norrland (SE33), Stockholm (SE11) och Östra Mellansverige (SE12), med 5 829 uppsägningar under en referensperiod för ansökan från den 28 november 2024 till den 28 mars 2025, och 657 uppsägningar före eller efter referensperioden. </w:t>
      </w:r>
    </w:p>
    <w:p w14:paraId="5E489E2A" w14:textId="33F97552" w:rsidR="00D256F4" w:rsidRPr="00D22EBA" w:rsidRDefault="00D256F4" w:rsidP="00D256F4">
      <w:pPr>
        <w:pStyle w:val="NormalHanging12a"/>
      </w:pPr>
      <w:r w:rsidRPr="00D22EBA">
        <w:t>C.</w:t>
      </w:r>
      <w:r w:rsidRPr="00D22EBA">
        <w:tab/>
        <w:t>Under den referensperiod som omfattas av ansökan identifierades totalt 5 829 uppsägningar, varav 5 561 uppsagda arbetstagare vars verksamhet upphörde vid Northvolt AB (Northvolt) och dess dotterbolag</w:t>
      </w:r>
      <w:r w:rsidRPr="00D22EBA">
        <w:rPr>
          <w:vertAlign w:val="superscript"/>
        </w:rPr>
        <w:footnoteReference w:id="6"/>
      </w:r>
      <w:r w:rsidRPr="00D22EBA">
        <w:t>, och 268 uppsagda arbetstagare hos åtta leverantörer och producenter i efterföljande produktionsled till Northvolt.</w:t>
      </w:r>
    </w:p>
    <w:p w14:paraId="22E89178" w14:textId="6FDE5554" w:rsidR="00D256F4" w:rsidRPr="00D22EBA" w:rsidRDefault="00D256F4" w:rsidP="00D256F4">
      <w:pPr>
        <w:pStyle w:val="NormalHanging12a"/>
      </w:pPr>
      <w:r w:rsidRPr="00D22EBA">
        <w:t>D.</w:t>
      </w:r>
      <w:r w:rsidRPr="00D22EBA">
        <w:tab/>
        <w:t>Ansökan baseras på insatskriteriet i artikel 4.2 a i EGF-förordningen.</w:t>
      </w:r>
      <w:r w:rsidR="00744C13" w:rsidRPr="00D22EBA">
        <w:t xml:space="preserve"> </w:t>
      </w:r>
      <w:r w:rsidRPr="00D22EBA">
        <w:t xml:space="preserve">För de ytterligare uppsägningarna av 657 arbetstagare vars verksamhet upphörde före eller efter referensperioden på fyra månader, kan ett tydligt orsakssamband fastställas med den händelse som ledde till att verksamheten upphörde för de uppsagda arbetstagarna under referensperioden på det sätt som krävs enligt artikel 6.2 i EGF-förordningen. </w:t>
      </w:r>
    </w:p>
    <w:p w14:paraId="4F2164C3" w14:textId="04168CA8" w:rsidR="00D256F4" w:rsidRPr="00D22EBA" w:rsidRDefault="00D256F4" w:rsidP="00D256F4">
      <w:pPr>
        <w:pStyle w:val="NormalHanging12a"/>
      </w:pPr>
      <w:r w:rsidRPr="00D22EBA">
        <w:t>E.</w:t>
      </w:r>
      <w:r w:rsidRPr="00D22EBA">
        <w:tab/>
        <w:t xml:space="preserve">Northvolt var specialiserat inom arkitekt- och ingenjörsverksamhet, teknisk provning och batteritillverkning. Företaget ansökte om konkurs den 12 mars 2025 på grund av produktionsrelaterade svårigheter, särskilt till följd av ett överutbud till följd av intensiv konkurrens från import med ursprung främst från Kina, som dominerar den globala marknaden och står för mer än 80 % av den globala batteriproduktionen. </w:t>
      </w:r>
    </w:p>
    <w:p w14:paraId="4F236135" w14:textId="77777777" w:rsidR="00D256F4" w:rsidRPr="00D22EBA" w:rsidRDefault="00D256F4" w:rsidP="00D256F4">
      <w:pPr>
        <w:pStyle w:val="NormalHanging12a"/>
      </w:pPr>
      <w:r w:rsidRPr="00D22EBA">
        <w:t>F.</w:t>
      </w:r>
      <w:r w:rsidRPr="00D22EBA">
        <w:tab/>
        <w:t xml:space="preserve">Europa behöver en stark och konkurrenskraftig batteriindustri för att minska skadliga strategiska beroenden och stärka sitt industriella oberoende samt för att uppnå sina klimat- och energiomställningsmål. Batteri- och leverantörsindustrin står inför höga energi- och kapitalkostnader, produktionsförseningar, snedvridningar av den globala </w:t>
      </w:r>
      <w:r w:rsidRPr="00D22EBA">
        <w:lastRenderedPageBreak/>
        <w:t>marknaden samt ett ökat konkurrenstryck från producenter i tredjeländer, särskilt Kina</w:t>
      </w:r>
      <w:r w:rsidRPr="00D22EBA">
        <w:rPr>
          <w:vertAlign w:val="superscript"/>
        </w:rPr>
        <w:footnoteReference w:id="7"/>
      </w:r>
      <w:r w:rsidRPr="00D22EBA">
        <w:t>.</w:t>
      </w:r>
    </w:p>
    <w:p w14:paraId="1B551C53" w14:textId="77777777" w:rsidR="00D256F4" w:rsidRPr="00D22EBA" w:rsidRDefault="00D256F4" w:rsidP="00D256F4">
      <w:pPr>
        <w:pStyle w:val="NormalHanging12a"/>
      </w:pPr>
      <w:r w:rsidRPr="00D22EBA">
        <w:t>G.</w:t>
      </w:r>
      <w:r w:rsidRPr="00D22EBA">
        <w:tab/>
        <w:t>Arbetsförmedlingen tillhandahåller nationell förfinansiering och samfinansiering av åtgärderna.</w:t>
      </w:r>
    </w:p>
    <w:p w14:paraId="2B2C6F79" w14:textId="64414F45" w:rsidR="00D256F4" w:rsidRPr="00D22EBA" w:rsidRDefault="00D256F4" w:rsidP="00D256F4">
      <w:pPr>
        <w:pStyle w:val="NormalHanging12a"/>
      </w:pPr>
      <w:r w:rsidRPr="00D22EBA">
        <w:t>H.</w:t>
      </w:r>
      <w:r w:rsidRPr="00D22EBA">
        <w:tab/>
        <w:t>De krav som rör kollektiva uppsägningar i union</w:t>
      </w:r>
      <w:r w:rsidR="00316A58" w:rsidRPr="00D22EBA">
        <w:t>srätt</w:t>
      </w:r>
      <w:r w:rsidR="00744C13" w:rsidRPr="00D22EBA">
        <w:t>en</w:t>
      </w:r>
      <w:r w:rsidR="00316A58" w:rsidRPr="00D22EBA">
        <w:t xml:space="preserve"> </w:t>
      </w:r>
      <w:r w:rsidRPr="00D22EBA">
        <w:t xml:space="preserve">och i </w:t>
      </w:r>
      <w:r w:rsidR="00316A58" w:rsidRPr="00D22EBA">
        <w:t>nationell rätt</w:t>
      </w:r>
      <w:r w:rsidRPr="00D22EBA">
        <w:t xml:space="preserve"> är uppfyllda.</w:t>
      </w:r>
    </w:p>
    <w:p w14:paraId="62BD4E32" w14:textId="77777777" w:rsidR="00D256F4" w:rsidRPr="00D22EBA" w:rsidRDefault="00D256F4" w:rsidP="00D256F4">
      <w:pPr>
        <w:pStyle w:val="NormalHanging12a"/>
      </w:pPr>
      <w:r w:rsidRPr="00D22EBA">
        <w:t>I.</w:t>
      </w:r>
      <w:r w:rsidRPr="00D22EBA">
        <w:tab/>
        <w:t>Ekonomiskt stöd från EGF bör i första hand inriktas på aktiva arbetsmarknadsåtgärder och individanpassade tjänster som syftar till att snabbt återintegrera stödmottagarna i en anständig och hållbar anställning inom eller utanför deras ursprungliga verksamhetssektor, samtidigt som de förbereder sig för en grönare och mer digital europeisk ekonomi.</w:t>
      </w:r>
    </w:p>
    <w:p w14:paraId="136DBAD2" w14:textId="388AF9EF" w:rsidR="00D256F4" w:rsidRPr="00D22EBA" w:rsidRDefault="00D256F4" w:rsidP="00D256F4">
      <w:pPr>
        <w:pStyle w:val="NormalHanging12a"/>
      </w:pPr>
      <w:r w:rsidRPr="00D22EBA">
        <w:t>J.</w:t>
      </w:r>
      <w:r w:rsidRPr="00D22EBA">
        <w:tab/>
        <w:t xml:space="preserve">Enligt artikel 8 i förordning (EU, Euratom) 2020/2093, i dess ändrade lydelse enligt förordning (EU, Euratom) 2024/765, får EGF inte överstiga ett årligt maximibelopp på 30 miljoner EUR (i 2018 års priser). </w:t>
      </w:r>
    </w:p>
    <w:p w14:paraId="73A4B7EB" w14:textId="77777777" w:rsidR="00D256F4" w:rsidRPr="00D22EBA" w:rsidRDefault="00D256F4" w:rsidP="00D256F4">
      <w:pPr>
        <w:pStyle w:val="NormalHanging12a"/>
      </w:pPr>
      <w:r w:rsidRPr="00D22EBA">
        <w:t>1.</w:t>
      </w:r>
      <w:r w:rsidRPr="00D22EBA">
        <w:tab/>
        <w:t>Europaparlamentet delar kommissionens åsikt att villkoren i artikel 4.2 a i EGF-förordningen är uppfyllda och att Sverige är berättigat till ekonomiskt stöd på 8 526 322 EUR enligt den förordningen, vilket utgör 60 % av de totala kostnaderna på 14 210 537 EUR, bestående av utgifter för individanpassade tjänster på 13 663 977 EUR och utgifter för förberedande åtgärder samt för förvaltning, information och marknadsföring, kontroll och rapportering på 546 560 EUR.</w:t>
      </w:r>
    </w:p>
    <w:p w14:paraId="1130A3F7" w14:textId="7C1961E2" w:rsidR="00D256F4" w:rsidRPr="00D22EBA" w:rsidRDefault="00D256F4" w:rsidP="00D256F4">
      <w:pPr>
        <w:pStyle w:val="NormalHanging12a"/>
      </w:pPr>
      <w:r w:rsidRPr="00D22EBA">
        <w:t>2.</w:t>
      </w:r>
      <w:r w:rsidRPr="00D22EBA">
        <w:tab/>
        <w:t>Europaparlamentet noterar att de svenska myndigheterna lämnade in ansökan den 16 juni 2025 och att kommissionen, utifrån den ytterligare information som Sverige lämnade, slutförde sin bedömning den 28 oktober 2025, mer än fyra månader senare, och underrättade parlamentet samma dag. Parlamentet betonar vikten av att avsevärt förkorta handläggningstiden mellan inlämnandet av en ansökan om stöd från fonden och finansieringsbeslutet, för att säkerställa att det ekonomiska stödet kan mobiliseras utan dröjsmål. Parlamentet understryker behovet av att förenkla och påskynda de interna förfarandena, samtidigt som den institutionella balansen skyddas fullt ut, särskilt parlamentets rättigheter som budgetmyndighet.</w:t>
      </w:r>
    </w:p>
    <w:p w14:paraId="120EFC4C" w14:textId="77777777" w:rsidR="00D256F4" w:rsidRPr="00D22EBA" w:rsidRDefault="00D256F4" w:rsidP="00D256F4">
      <w:pPr>
        <w:pStyle w:val="NormalHanging12a"/>
      </w:pPr>
      <w:r w:rsidRPr="00D22EBA">
        <w:t>3.</w:t>
      </w:r>
      <w:r w:rsidRPr="00D22EBA">
        <w:tab/>
        <w:t>Europaparlamentet noterar att ansökan avser 6 486 uppsagda arbetstagare som drabbats av en omfattande omstrukturering av Northvolt, vilket ledde till den största konkursen i Sverige i modern tid. Parlamentet noterar vidare att totalt 5 800 uppsagda arbetstagare kommer att vara berörda stödmottagare och förväntas delta i åtgärderna.</w:t>
      </w:r>
    </w:p>
    <w:p w14:paraId="63F1A09C" w14:textId="77777777" w:rsidR="00D256F4" w:rsidRPr="00D22EBA" w:rsidRDefault="00D256F4" w:rsidP="00D256F4">
      <w:pPr>
        <w:pStyle w:val="NormalHanging12a"/>
      </w:pPr>
      <w:r w:rsidRPr="00D22EBA">
        <w:t>4.</w:t>
      </w:r>
      <w:r w:rsidRPr="00D22EBA">
        <w:tab/>
        <w:t>Europaparlamentet noterar att förlusten av arbetstillfällen i Skellefteå får allvarliga konsekvenser och att arbetslösheten steg till 8,2 % under det föregående året. Parlamentet noterar att de flesta uppsagda arbetstagare har en hög utbildningsnivå och är yngre än 54 år, och har specialkunskaper inom batteritillverkning och batteriteknik. Parlamentet betonar att det krävs snabba åtgärder för att förhindra strukturell regional nedgång och betonar vikten av att främja högkvalitativa, framtidsinriktade arbetstillfällen för att säkerställa långsiktig ekonomisk och social resiliens.</w:t>
      </w:r>
    </w:p>
    <w:p w14:paraId="47AB78EE" w14:textId="77777777" w:rsidR="00D256F4" w:rsidRPr="00D22EBA" w:rsidRDefault="00D256F4" w:rsidP="00D256F4">
      <w:pPr>
        <w:pStyle w:val="NormalHanging12a"/>
        <w:rPr>
          <w:bCs/>
          <w:iCs/>
        </w:rPr>
      </w:pPr>
      <w:r w:rsidRPr="00D22EBA">
        <w:t>5.</w:t>
      </w:r>
      <w:r w:rsidRPr="00D22EBA">
        <w:tab/>
        <w:t xml:space="preserve">Europaparlamentet noterar att det amerikanska uppstartsföretaget Lyten, som är </w:t>
      </w:r>
      <w:r w:rsidRPr="00D22EBA">
        <w:lastRenderedPageBreak/>
        <w:t>världsledande inom litium-svavelbatterier, i augusti 2025 ingick ett bindande avtal om att förvärva Northvolts återstående tillgångar i Sverige, Tyskland och Polen före utgången av 2025, och planerar att återanställa den uppsagda arbetskraften med beaktande av möjligheten att erbjuda dem likvärdiga anställningar i regionen.</w:t>
      </w:r>
      <w:r w:rsidRPr="00D22EBA">
        <w:rPr>
          <w:b/>
          <w:i/>
        </w:rPr>
        <w:t xml:space="preserve"> </w:t>
      </w:r>
      <w:r w:rsidRPr="00D22EBA">
        <w:t>Parlamentet understryker att återanställning bör betraktas som ett primärt alternativ och att alla outnyttjade belopp bör återbetalas till kommissionen i händelse av övertagande.</w:t>
      </w:r>
    </w:p>
    <w:p w14:paraId="184B30C2" w14:textId="77777777" w:rsidR="00D256F4" w:rsidRPr="00D22EBA" w:rsidRDefault="00D256F4" w:rsidP="00D256F4">
      <w:pPr>
        <w:pStyle w:val="NormalHanging12a"/>
        <w:rPr>
          <w:bCs/>
          <w:iCs/>
        </w:rPr>
      </w:pPr>
      <w:r w:rsidRPr="00D22EBA">
        <w:t>6.</w:t>
      </w:r>
      <w:r w:rsidRPr="00D22EBA">
        <w:tab/>
        <w:t>Europaparlamentet påminner om att de individanpassade tjänster som ska tillhandahållas alla arbetstagare i samförstånd med fackföreningar och arbetsmarknadens parter består av följande åtgärder: kartläggning och individuell planering, jobbsökaraktiviteter och coachning, stöd vid start av eget företag och investeringsstöd, arbetsmarknadsutbildning, utbildning, särskilt stöd för att komma in på arbetsmarknaden eller för att gå en utbildning, bidrag och utbildning i digitala färdigheter. Parlamentet betonar att de svenska myndigheterna ska framhålla att finansieringen kommer från unionen och säkerställa dess synlighet samt lyfta fram insatsens mervärde för unionen genom att tillhandahålla enhetlig, ändamålsenlig och riktad information till olika målgrupper, däribland stödmottagare, lokala och regionala myndigheter, arbetsmarknadens parter, medier och allmänheten.</w:t>
      </w:r>
    </w:p>
    <w:p w14:paraId="179A4457" w14:textId="77777777" w:rsidR="00D256F4" w:rsidRPr="00D22EBA" w:rsidRDefault="00D256F4" w:rsidP="00D256F4">
      <w:pPr>
        <w:pStyle w:val="NormalHanging12a"/>
        <w:rPr>
          <w:bCs/>
          <w:iCs/>
        </w:rPr>
      </w:pPr>
      <w:r w:rsidRPr="00D22EBA">
        <w:t>7.</w:t>
      </w:r>
      <w:r w:rsidRPr="00D22EBA">
        <w:tab/>
        <w:t>Europaparlamentet betonar att de uppsagda arbetstagarnas kvalifikationer och färdigheter fortfarande är avgörande för en framtidssäkrad europeisk ekonomi som lyckas genomföra den gröna omställningen. Parlamentet anser därför att utnyttjandet av fonden måste ingå i en bredare politisk insats för att säkerställa att de berörda arbetstagarna hittar lämpliga möjligheter i linje med sina kvalifikationer och färdigheter.</w:t>
      </w:r>
    </w:p>
    <w:p w14:paraId="143C8A7C" w14:textId="77777777" w:rsidR="00D256F4" w:rsidRPr="00D22EBA" w:rsidRDefault="00D256F4" w:rsidP="00D256F4">
      <w:pPr>
        <w:pStyle w:val="NormalHanging12a"/>
      </w:pPr>
      <w:r w:rsidRPr="00D22EBA">
        <w:t>8.</w:t>
      </w:r>
      <w:r w:rsidRPr="00D22EBA">
        <w:tab/>
        <w:t>Europaparlamentet efterlyser noggranna slutliga utvärderingar av de åtgärder som genomförts, inbegripet tydlig information om hur medlen har använts och huruvida de använts i enlighet med de godkända planerna, särskilt i fall av direkt ekonomiskt stöd såsom starta eget- och investeringsstöd. Parlamentet begär dessutom uppgifter om antalet arbetstagare som framgångsrikt återintegrerats på arbetsmarknaden och om dem som har slutfört utbildnings- och kompetenshöjningsåtgärder.</w:t>
      </w:r>
    </w:p>
    <w:p w14:paraId="71997875" w14:textId="77777777" w:rsidR="00D256F4" w:rsidRPr="00D22EBA" w:rsidRDefault="00D256F4" w:rsidP="00D256F4">
      <w:pPr>
        <w:pStyle w:val="NormalHanging12a"/>
      </w:pPr>
      <w:r w:rsidRPr="00D22EBA">
        <w:t>9.</w:t>
      </w:r>
      <w:r w:rsidRPr="00D22EBA">
        <w:tab/>
        <w:t>Europarlamentet noterar att Sverige började tillhandahålla individanpassade tjänster till de berörda stödmottagarna och ådrog sig administrativa utgifter för genomförandet av fonden den 25 oktober 2024, och att perioden för berättigande till ekonomiskt bidrag från EGF därför kommer att löpa från och med detta datum till och med 24 månader respektive 31 månader efter den dag då finansieringsbeslutet träder i kraft.</w:t>
      </w:r>
    </w:p>
    <w:p w14:paraId="27AF104C" w14:textId="77777777" w:rsidR="00D256F4" w:rsidRPr="00D22EBA" w:rsidRDefault="00D256F4" w:rsidP="00D256F4">
      <w:pPr>
        <w:pStyle w:val="NormalHanging12a"/>
      </w:pPr>
      <w:r w:rsidRPr="00D22EBA">
        <w:t>10.</w:t>
      </w:r>
      <w:r w:rsidRPr="00D22EBA">
        <w:tab/>
        <w:t>Europaparlamentet noterar att de svenska myndigheterna har bekräftat att principerna om likabehandling och icke-diskriminering kommer att respekteras när det gäller tillgången till de föreslagna åtgärderna och deras genomförande och att dubbelfinansiering kommer att förhindras.</w:t>
      </w:r>
    </w:p>
    <w:p w14:paraId="02110DC1" w14:textId="77777777" w:rsidR="00D256F4" w:rsidRPr="00D22EBA" w:rsidRDefault="00D256F4" w:rsidP="00D256F4">
      <w:pPr>
        <w:pStyle w:val="NormalHanging12a"/>
      </w:pPr>
      <w:r w:rsidRPr="00D22EBA">
        <w:t>11.</w:t>
      </w:r>
      <w:r w:rsidRPr="00D22EBA">
        <w:tab/>
        <w:t xml:space="preserve">Europaparlamentet upprepar att bidrag från EGF inte får ersätta åtgärder som enligt nationell rätt eller kollektivavtal åligger företagen. </w:t>
      </w:r>
    </w:p>
    <w:p w14:paraId="634945EE" w14:textId="77777777" w:rsidR="00D256F4" w:rsidRPr="00D22EBA" w:rsidRDefault="00D256F4" w:rsidP="00D256F4">
      <w:pPr>
        <w:pStyle w:val="NormalHanging12a"/>
      </w:pPr>
      <w:r w:rsidRPr="00D22EBA">
        <w:t>12.</w:t>
      </w:r>
      <w:r w:rsidRPr="00D22EBA">
        <w:tab/>
        <w:t xml:space="preserve">Europaparlamentet betonar det akuta behovet av enhetliga och samordnade insatser från unionens sida för att säkerställa konkurrenskraft och strategiskt oberoende, som utvecklas i nära partnerskap med medlemsstaterna och regionerna, för att skydda Europas framtidssäkrade industriella sysselsättningsbas som uppfyller kraven på Europas industriella oberoende och stärker unionens ställning inom strategiska sektorer, </w:t>
      </w:r>
      <w:r w:rsidRPr="00D22EBA">
        <w:lastRenderedPageBreak/>
        <w:t>såsom batteri- och leverantörsindustrin, samtidigt som unionens gröna och digitala omställning främjas. Parlamentet understryker att endast en robust, motståndskraftig och hållbar europeisk ekonomi effektivt kan förhindra storskaliga uppsägningar och därmed minska behovet av insatser från fonden. Parlamentet betonar behovet av att säkerställa ett tydligt erkännande av och synlighet för unionens finansiering för att belysa dess mervärde och den europeiska solidaritet som kommer till uttryck i EGF. Parlamentet efterlyser konsekvent och välriktad kommunikation med stödmottagare, regionala och lokala myndigheter, arbetsmarknadens parter, medierna och allmänheten. Parlamentet beklagar djupt att unionens batteriindustri drabbas av den kinesiska regeringens subventioner till kinesiska producenter som snedvrider den globala konkurrensen.</w:t>
      </w:r>
    </w:p>
    <w:p w14:paraId="0D0CAABC" w14:textId="77777777" w:rsidR="00D256F4" w:rsidRPr="00D22EBA" w:rsidRDefault="00D256F4" w:rsidP="00D256F4">
      <w:pPr>
        <w:pStyle w:val="NormalHanging12a"/>
      </w:pPr>
      <w:r w:rsidRPr="00D22EBA">
        <w:t>13.</w:t>
      </w:r>
      <w:r w:rsidRPr="00D22EBA">
        <w:tab/>
        <w:t>Europaparlamentet godkänner det bifogade beslutet.</w:t>
      </w:r>
    </w:p>
    <w:p w14:paraId="39FEAEA9" w14:textId="77777777" w:rsidR="00D256F4" w:rsidRPr="00D22EBA" w:rsidRDefault="00D256F4" w:rsidP="00D256F4">
      <w:pPr>
        <w:pStyle w:val="NormalHanging12a"/>
      </w:pPr>
      <w:r w:rsidRPr="00D22EBA">
        <w:t>14.</w:t>
      </w:r>
      <w:r w:rsidRPr="00D22EBA">
        <w:tab/>
        <w:t xml:space="preserve">Europaparlamentet uppdrar åt talmannen att tillsammans med rådets ordförande underteckna beslutet och se till att det offentliggörs i </w:t>
      </w:r>
      <w:r w:rsidRPr="00D22EBA">
        <w:rPr>
          <w:i/>
          <w:iCs/>
        </w:rPr>
        <w:t>Europeiska unionens officiella tidning</w:t>
      </w:r>
      <w:r w:rsidRPr="00D22EBA">
        <w:t>.</w:t>
      </w:r>
    </w:p>
    <w:p w14:paraId="7A7F645B" w14:textId="77777777" w:rsidR="00D256F4" w:rsidRPr="00D22EBA" w:rsidRDefault="00D256F4" w:rsidP="00D256F4">
      <w:pPr>
        <w:pStyle w:val="NormalHanging12a"/>
      </w:pPr>
      <w:r w:rsidRPr="00D22EBA">
        <w:t>15.</w:t>
      </w:r>
      <w:r w:rsidRPr="00D22EBA">
        <w:tab/>
        <w:t>Europaparlamentet uppdrar åt talmannen att översända denna resolution med bilaga till rådet och kommissionen.</w:t>
      </w:r>
    </w:p>
    <w:p w14:paraId="0439E488" w14:textId="77777777" w:rsidR="00D256F4" w:rsidRPr="00D22EBA" w:rsidRDefault="00D256F4" w:rsidP="00D256F4">
      <w:pPr>
        <w:rPr>
          <w:noProof/>
        </w:rPr>
      </w:pPr>
    </w:p>
    <w:p w14:paraId="3C00F76B" w14:textId="77777777" w:rsidR="00D256F4" w:rsidRPr="00D22EBA" w:rsidRDefault="00D256F4" w:rsidP="00D256F4">
      <w:pPr>
        <w:pStyle w:val="PageHeading"/>
        <w:rPr>
          <w:noProof/>
        </w:rPr>
        <w:sectPr w:rsidR="00D256F4" w:rsidRPr="00D22EBA" w:rsidSect="00E716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C5A34E" w14:textId="77777777" w:rsidR="00985E41" w:rsidRPr="00985E41" w:rsidRDefault="00D256F4" w:rsidP="00D256F4">
      <w:pPr>
        <w:pStyle w:val="PageHeading"/>
        <w:rPr>
          <w:rFonts w:ascii="Times New Roman" w:hAnsi="Times New Roman" w:cs="Times New Roman"/>
        </w:rPr>
      </w:pPr>
      <w:bookmarkStart w:id="7" w:name="_Toc214624230"/>
      <w:bookmarkStart w:id="8" w:name="_Toc216086300"/>
      <w:r w:rsidRPr="00985E41">
        <w:rPr>
          <w:rFonts w:ascii="Times New Roman" w:hAnsi="Times New Roman" w:cs="Times New Roman"/>
        </w:rPr>
        <w:lastRenderedPageBreak/>
        <w:t>BILAGA</w:t>
      </w:r>
    </w:p>
    <w:p w14:paraId="0C209EB0" w14:textId="1FCDE48C" w:rsidR="00D256F4" w:rsidRPr="00985E41" w:rsidRDefault="00D256F4" w:rsidP="00D256F4">
      <w:pPr>
        <w:pStyle w:val="PageHeading"/>
        <w:rPr>
          <w:rFonts w:ascii="Times New Roman" w:hAnsi="Times New Roman" w:cs="Times New Roman"/>
          <w:noProof/>
        </w:rPr>
      </w:pPr>
      <w:r w:rsidRPr="00985E41">
        <w:rPr>
          <w:rFonts w:ascii="Times New Roman" w:hAnsi="Times New Roman" w:cs="Times New Roman"/>
        </w:rPr>
        <w:t>EUROPAPARLAMENTETS OCH RÅDETS BESLUT</w:t>
      </w:r>
      <w:bookmarkEnd w:id="7"/>
      <w:bookmarkEnd w:id="8"/>
    </w:p>
    <w:p w14:paraId="5A747F1B" w14:textId="77777777" w:rsidR="00D256F4" w:rsidRPr="00D22EBA" w:rsidRDefault="00D256F4" w:rsidP="00D256F4">
      <w:pPr>
        <w:pStyle w:val="NormalBold24a"/>
      </w:pPr>
      <w:r w:rsidRPr="00D22EBA">
        <w:t>om utnyttjande av Europeiska fonden för justering för globaliseringseffekter för uppsagda arbetstagare efter en ansökan från Sverige – EGF/2025/003 SE/Northvolt</w:t>
      </w:r>
    </w:p>
    <w:p w14:paraId="2558D925" w14:textId="64597860" w:rsidR="00E365E1" w:rsidRPr="00985E41" w:rsidRDefault="00985E41" w:rsidP="008B5464">
      <w:pPr>
        <w:rPr>
          <w:i/>
          <w:iCs/>
        </w:rPr>
      </w:pPr>
      <w:r w:rsidRPr="00985E41">
        <w:rPr>
          <w:i/>
          <w:iCs/>
        </w:rPr>
        <w:t>(Texten till denna bilaga återges inte här eftersom den motsvaras av den slutliga rättsakten, beslut</w:t>
      </w:r>
      <w:r>
        <w:rPr>
          <w:i/>
          <w:iCs/>
        </w:rPr>
        <w:t xml:space="preserve"> </w:t>
      </w:r>
      <w:r w:rsidRPr="00985E41">
        <w:rPr>
          <w:i/>
          <w:iCs/>
        </w:rPr>
        <w:t xml:space="preserve">(EU) </w:t>
      </w:r>
      <w:r>
        <w:rPr>
          <w:i/>
          <w:iCs/>
        </w:rPr>
        <w:t>2025</w:t>
      </w:r>
      <w:r w:rsidRPr="00985E41">
        <w:rPr>
          <w:i/>
          <w:iCs/>
        </w:rPr>
        <w:t>/</w:t>
      </w:r>
      <w:r>
        <w:rPr>
          <w:i/>
          <w:iCs/>
        </w:rPr>
        <w:t>2661</w:t>
      </w:r>
      <w:r w:rsidRPr="00985E41">
        <w:rPr>
          <w:i/>
          <w:iCs/>
        </w:rPr>
        <w:t>.)</w:t>
      </w:r>
    </w:p>
    <w:sectPr w:rsidR="00E365E1" w:rsidRPr="00985E41" w:rsidSect="00E71602">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B98F8" w14:textId="77777777" w:rsidR="008B5464" w:rsidRPr="00E71602" w:rsidRDefault="008B5464">
      <w:r w:rsidRPr="00E71602">
        <w:separator/>
      </w:r>
    </w:p>
  </w:endnote>
  <w:endnote w:type="continuationSeparator" w:id="0">
    <w:p w14:paraId="2308DC9F" w14:textId="77777777" w:rsidR="008B5464" w:rsidRPr="00E71602" w:rsidRDefault="008B5464">
      <w:r w:rsidRPr="00E716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40DCA" w14:textId="77777777" w:rsidR="00D256F4" w:rsidRPr="00E71602" w:rsidRDefault="00D256F4" w:rsidP="00E7146C">
    <w:pPr>
      <w:pStyle w:val="EPFooter"/>
    </w:pPr>
    <w:r w:rsidRPr="00E71602">
      <w:t>PE</w:t>
    </w:r>
    <w:r w:rsidRPr="00E71602">
      <w:rPr>
        <w:rStyle w:val="HideTWBExt"/>
      </w:rPr>
      <w:t>&lt;NoPE&gt;</w:t>
    </w:r>
    <w:r w:rsidRPr="00E71602">
      <w:t>779.349</w:t>
    </w:r>
    <w:r w:rsidRPr="00E71602">
      <w:rPr>
        <w:rStyle w:val="HideTWBExt"/>
      </w:rPr>
      <w:t>&lt;/NoPE&gt;&lt;Version&gt;</w:t>
    </w:r>
    <w:r w:rsidRPr="00E71602">
      <w:t>v03-00</w:t>
    </w:r>
    <w:r w:rsidRPr="00E71602">
      <w:rPr>
        <w:rStyle w:val="HideTWBExt"/>
      </w:rPr>
      <w:t>&lt;/Version&gt;</w:t>
    </w:r>
    <w:r w:rsidRPr="00E71602">
      <w:tab/>
    </w:r>
    <w:r w:rsidRPr="00E71602">
      <w:fldChar w:fldCharType="begin"/>
    </w:r>
    <w:r w:rsidRPr="00E71602">
      <w:instrText xml:space="preserve"> PAGE  \* MERGEFORMAT </w:instrText>
    </w:r>
    <w:r w:rsidRPr="00E71602">
      <w:fldChar w:fldCharType="separate"/>
    </w:r>
    <w:r w:rsidRPr="00E71602">
      <w:rPr>
        <w:noProof/>
      </w:rPr>
      <w:t>1</w:t>
    </w:r>
    <w:r w:rsidRPr="00E71602">
      <w:fldChar w:fldCharType="end"/>
    </w:r>
    <w:r w:rsidRPr="00E71602">
      <w:t>/</w:t>
    </w:r>
    <w:r w:rsidR="00985E41">
      <w:fldChar w:fldCharType="begin"/>
    </w:r>
    <w:r w:rsidR="00985E41">
      <w:instrText xml:space="preserve"> NUMPAGES  \* MERGEFORMAT </w:instrText>
    </w:r>
    <w:r w:rsidR="00985E41">
      <w:fldChar w:fldCharType="separate"/>
    </w:r>
    <w:r w:rsidRPr="00E71602">
      <w:rPr>
        <w:noProof/>
      </w:rPr>
      <w:t>1</w:t>
    </w:r>
    <w:r w:rsidR="00985E41">
      <w:rPr>
        <w:noProof/>
      </w:rPr>
      <w:fldChar w:fldCharType="end"/>
    </w:r>
    <w:r w:rsidRPr="00E71602">
      <w:tab/>
    </w:r>
    <w:r w:rsidRPr="00E71602">
      <w:rPr>
        <w:rStyle w:val="HideTWBExt"/>
      </w:rPr>
      <w:t>&lt;PathFdR&gt;</w:t>
    </w:r>
    <w:r w:rsidRPr="00E71602">
      <w:t>RR\1332680SV.docx</w:t>
    </w:r>
    <w:r w:rsidRPr="00E71602">
      <w:rPr>
        <w:rStyle w:val="HideTWBExt"/>
      </w:rPr>
      <w:t>&lt;/PathFdR&gt;</w:t>
    </w:r>
  </w:p>
  <w:p w14:paraId="17E1DF45" w14:textId="77777777" w:rsidR="00D256F4" w:rsidRPr="00E71602" w:rsidRDefault="00D256F4" w:rsidP="00E7146C">
    <w:pPr>
      <w:pStyle w:val="EPFooter2"/>
    </w:pPr>
    <w:r w:rsidRPr="00E71602">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36FC6" w14:textId="033AE57C" w:rsidR="00D256F4" w:rsidRPr="00E71602" w:rsidRDefault="00D256F4" w:rsidP="00E7146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1FFDA" w14:textId="77777777" w:rsidR="00D256F4" w:rsidRPr="00E71602" w:rsidRDefault="00D256F4" w:rsidP="00E7146C">
    <w:pPr>
      <w:pStyle w:val="EPFooter"/>
    </w:pPr>
    <w:r w:rsidRPr="00E71602">
      <w:rPr>
        <w:rStyle w:val="HideTWBExt"/>
      </w:rPr>
      <w:t>&lt;PathFdR&gt;</w:t>
    </w:r>
    <w:r w:rsidRPr="00E71602">
      <w:t>RR\1332680SV.docx</w:t>
    </w:r>
    <w:r w:rsidRPr="00E71602">
      <w:rPr>
        <w:rStyle w:val="HideTWBExt"/>
      </w:rPr>
      <w:t>&lt;/PathFdR&gt;</w:t>
    </w:r>
    <w:r w:rsidRPr="00E71602">
      <w:tab/>
    </w:r>
    <w:r w:rsidRPr="00E71602">
      <w:tab/>
      <w:t>PE</w:t>
    </w:r>
    <w:r w:rsidRPr="00E71602">
      <w:rPr>
        <w:rStyle w:val="HideTWBExt"/>
      </w:rPr>
      <w:t>&lt;NoPE&gt;</w:t>
    </w:r>
    <w:r w:rsidRPr="00E71602">
      <w:t>779.349</w:t>
    </w:r>
    <w:r w:rsidRPr="00E71602">
      <w:rPr>
        <w:rStyle w:val="HideTWBExt"/>
      </w:rPr>
      <w:t>&lt;/NoPE&gt;&lt;Version&gt;</w:t>
    </w:r>
    <w:r w:rsidRPr="00E71602">
      <w:t>v03-00</w:t>
    </w:r>
    <w:r w:rsidRPr="00E71602">
      <w:rPr>
        <w:rStyle w:val="HideTWBExt"/>
      </w:rPr>
      <w:t>&lt;/Version&gt;</w:t>
    </w:r>
  </w:p>
  <w:p w14:paraId="0671396C" w14:textId="77777777" w:rsidR="00D256F4" w:rsidRPr="00E71602" w:rsidRDefault="00D256F4" w:rsidP="00E7146C">
    <w:pPr>
      <w:pStyle w:val="EPFooter2"/>
    </w:pPr>
    <w:r w:rsidRPr="00E71602">
      <w:t>SV</w:t>
    </w:r>
    <w:r w:rsidRPr="00E71602">
      <w:tab/>
    </w:r>
    <w:r w:rsidRPr="00E71602">
      <w:rPr>
        <w:b w:val="0"/>
        <w:i/>
        <w:color w:val="C0C0C0"/>
        <w:sz w:val="22"/>
      </w:rPr>
      <w:t>Förenade i mångfalden</w:t>
    </w:r>
    <w:r w:rsidRPr="00E71602">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C19F" w14:textId="77777777" w:rsidR="00064002" w:rsidRPr="00E7160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7CF91" w14:textId="77777777" w:rsidR="00064002" w:rsidRPr="00E71602"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9E258" w14:textId="77777777" w:rsidR="00064002" w:rsidRPr="00E716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2A2F2" w14:textId="77777777" w:rsidR="008B5464" w:rsidRPr="00E71602" w:rsidRDefault="008B5464">
      <w:r w:rsidRPr="00E71602">
        <w:separator/>
      </w:r>
    </w:p>
  </w:footnote>
  <w:footnote w:type="continuationSeparator" w:id="0">
    <w:p w14:paraId="4D4FF836" w14:textId="77777777" w:rsidR="008B5464" w:rsidRPr="00E71602" w:rsidRDefault="008B5464">
      <w:r w:rsidRPr="00E71602">
        <w:continuationSeparator/>
      </w:r>
    </w:p>
  </w:footnote>
  <w:footnote w:id="1">
    <w:p w14:paraId="7CCE7144" w14:textId="7BE11FCE" w:rsidR="00D256F4" w:rsidRPr="00D22EBA" w:rsidRDefault="00D256F4" w:rsidP="00E71602">
      <w:pPr>
        <w:pStyle w:val="FootnoteText"/>
        <w:ind w:left="567" w:hanging="567"/>
        <w:rPr>
          <w:sz w:val="24"/>
          <w:lang w:val="fi-FI"/>
        </w:rPr>
      </w:pPr>
      <w:r w:rsidRPr="00D22EBA">
        <w:rPr>
          <w:rStyle w:val="FootnoteReference"/>
          <w:sz w:val="24"/>
          <w:lang w:val="sv-SE"/>
        </w:rPr>
        <w:footnoteRef/>
      </w:r>
      <w:r w:rsidR="00E71602" w:rsidRPr="00D22EBA">
        <w:rPr>
          <w:sz w:val="24"/>
          <w:lang w:val="fi-FI"/>
        </w:rPr>
        <w:t xml:space="preserve"> </w:t>
      </w:r>
      <w:r w:rsidR="00E71602" w:rsidRPr="00D22EBA">
        <w:rPr>
          <w:sz w:val="24"/>
          <w:lang w:val="fi-FI"/>
        </w:rPr>
        <w:tab/>
      </w:r>
      <w:r w:rsidRPr="00D22EBA">
        <w:rPr>
          <w:sz w:val="24"/>
          <w:lang w:val="fi-FI"/>
        </w:rPr>
        <w:t xml:space="preserve">EUT L 153, 3.5.2021, s. 48, ELI: </w:t>
      </w:r>
      <w:hyperlink r:id="rId1" w:history="1">
        <w:r w:rsidRPr="00D22EBA">
          <w:rPr>
            <w:rStyle w:val="Hyperlink"/>
            <w:sz w:val="24"/>
            <w:lang w:val="fi-FI"/>
          </w:rPr>
          <w:t>http://data.europa.eu/eli/reg/2021/691/oj</w:t>
        </w:r>
      </w:hyperlink>
      <w:r w:rsidRPr="00D22EBA">
        <w:rPr>
          <w:sz w:val="24"/>
          <w:lang w:val="fi-FI"/>
        </w:rPr>
        <w:t>.</w:t>
      </w:r>
    </w:p>
  </w:footnote>
  <w:footnote w:id="2">
    <w:p w14:paraId="16DC3332" w14:textId="61CB438E" w:rsidR="00D256F4" w:rsidRPr="00D22EBA" w:rsidRDefault="00D256F4" w:rsidP="00E71602">
      <w:pPr>
        <w:pStyle w:val="FootnoteText"/>
        <w:ind w:left="567" w:hanging="567"/>
        <w:rPr>
          <w:sz w:val="24"/>
          <w:lang w:val="fi-FI"/>
        </w:rPr>
      </w:pPr>
      <w:r w:rsidRPr="00D22EBA">
        <w:rPr>
          <w:rStyle w:val="FootnoteReference"/>
          <w:sz w:val="24"/>
          <w:lang w:val="sv-SE"/>
        </w:rPr>
        <w:footnoteRef/>
      </w:r>
      <w:r w:rsidR="00E71602" w:rsidRPr="00D22EBA">
        <w:rPr>
          <w:sz w:val="24"/>
          <w:lang w:val="fi-FI"/>
        </w:rPr>
        <w:t xml:space="preserve"> </w:t>
      </w:r>
      <w:r w:rsidR="00E71602" w:rsidRPr="00D22EBA">
        <w:rPr>
          <w:sz w:val="24"/>
          <w:lang w:val="fi-FI"/>
        </w:rPr>
        <w:tab/>
      </w:r>
      <w:r w:rsidRPr="00D22EBA">
        <w:rPr>
          <w:sz w:val="24"/>
          <w:lang w:val="fi-FI"/>
        </w:rPr>
        <w:t>EUT L 433</w:t>
      </w:r>
      <w:r w:rsidR="00985E41">
        <w:rPr>
          <w:sz w:val="24"/>
          <w:lang w:val="fi-FI"/>
        </w:rPr>
        <w:t xml:space="preserve"> </w:t>
      </w:r>
      <w:r w:rsidR="00985E41">
        <w:rPr>
          <w:sz w:val="24"/>
          <w:lang w:val="fi-FI"/>
        </w:rPr>
        <w:t>I</w:t>
      </w:r>
      <w:r w:rsidRPr="00D22EBA">
        <w:rPr>
          <w:sz w:val="24"/>
          <w:lang w:val="fi-FI"/>
        </w:rPr>
        <w:t xml:space="preserve">, 22.12.2020, s. 11, ELI: </w:t>
      </w:r>
      <w:hyperlink r:id="rId2" w:history="1">
        <w:r w:rsidRPr="00D22EBA">
          <w:rPr>
            <w:rStyle w:val="Hyperlink"/>
            <w:sz w:val="24"/>
            <w:lang w:val="fi-FI"/>
          </w:rPr>
          <w:t>http://data.europa.eu/eli/reg/2020/2093/oj</w:t>
        </w:r>
      </w:hyperlink>
      <w:r w:rsidRPr="00D22EBA">
        <w:rPr>
          <w:sz w:val="24"/>
          <w:lang w:val="fi-FI"/>
        </w:rPr>
        <w:t>.</w:t>
      </w:r>
    </w:p>
  </w:footnote>
  <w:footnote w:id="3">
    <w:p w14:paraId="18A4B173" w14:textId="5B367B44" w:rsidR="00D256F4" w:rsidRPr="00D22EBA" w:rsidRDefault="00D256F4" w:rsidP="00E71602">
      <w:pPr>
        <w:pStyle w:val="FootnoteText"/>
        <w:ind w:left="567" w:hanging="567"/>
        <w:rPr>
          <w:sz w:val="24"/>
          <w:lang w:val="sv-SE"/>
        </w:rPr>
      </w:pPr>
      <w:r w:rsidRPr="00D22EBA">
        <w:rPr>
          <w:rStyle w:val="FootnoteReference"/>
          <w:sz w:val="24"/>
          <w:lang w:val="sv-SE"/>
        </w:rPr>
        <w:footnoteRef/>
      </w:r>
      <w:r w:rsidR="00E71602" w:rsidRPr="00D22EBA">
        <w:rPr>
          <w:sz w:val="24"/>
          <w:shd w:val="clear" w:color="auto" w:fill="FFFFFF"/>
          <w:lang w:val="sv-SE"/>
        </w:rPr>
        <w:t xml:space="preserve"> </w:t>
      </w:r>
      <w:r w:rsidR="00E71602" w:rsidRPr="00D22EBA">
        <w:rPr>
          <w:sz w:val="24"/>
          <w:shd w:val="clear" w:color="auto" w:fill="FFFFFF"/>
          <w:lang w:val="sv-SE"/>
        </w:rPr>
        <w:tab/>
      </w:r>
      <w:r w:rsidRPr="00D22EBA">
        <w:rPr>
          <w:sz w:val="24"/>
          <w:shd w:val="clear" w:color="auto" w:fill="FFFFFF"/>
          <w:lang w:val="sv-SE"/>
        </w:rPr>
        <w:t>Rådets förordning (EU, Euratom) 2024/765 av den 29 februari 2024 om ändring av förordning (EU, Euratom) 2020/2093 om den fleråriga budgetramen 2021–2027 (EUT L</w:t>
      </w:r>
      <w:r w:rsidR="00985E41">
        <w:rPr>
          <w:sz w:val="24"/>
          <w:shd w:val="clear" w:color="auto" w:fill="FFFFFF"/>
          <w:lang w:val="sv-SE"/>
        </w:rPr>
        <w:t>,</w:t>
      </w:r>
      <w:r w:rsidRPr="00D22EBA">
        <w:rPr>
          <w:sz w:val="24"/>
          <w:shd w:val="clear" w:color="auto" w:fill="FFFFFF"/>
          <w:lang w:val="sv-SE"/>
        </w:rPr>
        <w:t xml:space="preserve"> 2024/765, 29.2.2024, ELI:</w:t>
      </w:r>
      <w:r w:rsidRPr="00D22EBA">
        <w:rPr>
          <w:color w:val="333333"/>
          <w:sz w:val="24"/>
          <w:shd w:val="clear" w:color="auto" w:fill="FFFFFF"/>
          <w:lang w:val="sv-SE"/>
        </w:rPr>
        <w:t xml:space="preserve"> </w:t>
      </w:r>
      <w:hyperlink r:id="rId3" w:history="1">
        <w:r w:rsidRPr="00D22EBA">
          <w:rPr>
            <w:rStyle w:val="Hyperlink"/>
            <w:sz w:val="24"/>
            <w:shd w:val="clear" w:color="auto" w:fill="FFFFFF"/>
            <w:lang w:val="sv-SE"/>
          </w:rPr>
          <w:t>http://data.europa.eu/eli/reg/2024/765/oj</w:t>
        </w:r>
      </w:hyperlink>
      <w:r w:rsidRPr="00D22EBA">
        <w:rPr>
          <w:i/>
          <w:color w:val="333333"/>
          <w:sz w:val="24"/>
          <w:shd w:val="clear" w:color="auto" w:fill="FFFFFF"/>
          <w:lang w:val="sv-SE"/>
        </w:rPr>
        <w:t>).</w:t>
      </w:r>
    </w:p>
  </w:footnote>
  <w:footnote w:id="4">
    <w:p w14:paraId="013849AB" w14:textId="4BE95A8A" w:rsidR="00D256F4" w:rsidRPr="00D22EBA" w:rsidRDefault="00D256F4" w:rsidP="00E71602">
      <w:pPr>
        <w:pStyle w:val="FootnoteText"/>
        <w:ind w:left="567" w:hanging="567"/>
        <w:rPr>
          <w:sz w:val="24"/>
          <w:lang w:val="fi-FI"/>
        </w:rPr>
      </w:pPr>
      <w:r w:rsidRPr="00D22EBA">
        <w:rPr>
          <w:rStyle w:val="FootnoteReference"/>
          <w:sz w:val="24"/>
          <w:lang w:val="sv-SE"/>
        </w:rPr>
        <w:footnoteRef/>
      </w:r>
      <w:r w:rsidR="00E71602" w:rsidRPr="00D22EBA">
        <w:rPr>
          <w:sz w:val="24"/>
          <w:lang w:val="fi-FI"/>
        </w:rPr>
        <w:t xml:space="preserve"> </w:t>
      </w:r>
      <w:r w:rsidR="00E71602" w:rsidRPr="00D22EBA">
        <w:rPr>
          <w:sz w:val="24"/>
          <w:lang w:val="fi-FI"/>
        </w:rPr>
        <w:tab/>
      </w:r>
      <w:r w:rsidRPr="00D22EBA">
        <w:rPr>
          <w:sz w:val="24"/>
          <w:lang w:val="fi-FI"/>
        </w:rPr>
        <w:t xml:space="preserve">EUT L 433 I, 22.12.2020, s. 28, ELI: </w:t>
      </w:r>
      <w:hyperlink r:id="rId4" w:history="1">
        <w:r w:rsidRPr="00D22EBA">
          <w:rPr>
            <w:rStyle w:val="Hyperlink"/>
            <w:sz w:val="24"/>
            <w:lang w:val="fi-FI"/>
          </w:rPr>
          <w:t>http://data.europa.eu/eli/agree_interinstit/2020/1222/oj</w:t>
        </w:r>
      </w:hyperlink>
      <w:r w:rsidRPr="00D22EBA">
        <w:rPr>
          <w:sz w:val="24"/>
          <w:lang w:val="fi-FI"/>
        </w:rPr>
        <w:t>.</w:t>
      </w:r>
    </w:p>
  </w:footnote>
  <w:footnote w:id="5">
    <w:p w14:paraId="676EE422" w14:textId="7775BE3D" w:rsidR="00D256F4" w:rsidRPr="00D22EBA" w:rsidRDefault="00D256F4" w:rsidP="00E71602">
      <w:pPr>
        <w:pStyle w:val="FootnoteText"/>
        <w:ind w:left="567" w:hanging="567"/>
        <w:rPr>
          <w:sz w:val="24"/>
          <w:lang w:val="sv-SE"/>
        </w:rPr>
      </w:pPr>
      <w:r w:rsidRPr="00D22EBA">
        <w:rPr>
          <w:rStyle w:val="FootnoteReference"/>
          <w:sz w:val="24"/>
          <w:lang w:val="sv-SE"/>
        </w:rPr>
        <w:footnoteRef/>
      </w:r>
      <w:r w:rsidR="00E71602" w:rsidRPr="00D22EBA">
        <w:rPr>
          <w:sz w:val="24"/>
          <w:lang w:val="sv-SE"/>
        </w:rPr>
        <w:t xml:space="preserve"> </w:t>
      </w:r>
      <w:r w:rsidR="00E71602" w:rsidRPr="00D22EBA">
        <w:rPr>
          <w:sz w:val="24"/>
          <w:lang w:val="sv-SE"/>
        </w:rPr>
        <w:tab/>
      </w:r>
      <w:r w:rsidRPr="00D22EBA">
        <w:rPr>
          <w:sz w:val="24"/>
          <w:lang w:val="sv-SE"/>
        </w:rPr>
        <w:t>I den mening som avses i artikel 3 i EGF-förordningen.</w:t>
      </w:r>
    </w:p>
  </w:footnote>
  <w:footnote w:id="6">
    <w:p w14:paraId="2432E357" w14:textId="758C75F8" w:rsidR="00D256F4" w:rsidRPr="00D22EBA" w:rsidRDefault="00D256F4" w:rsidP="00E71602">
      <w:pPr>
        <w:pStyle w:val="FootnoteText"/>
        <w:ind w:left="567" w:hanging="567"/>
        <w:rPr>
          <w:sz w:val="24"/>
          <w:lang w:val="sv-SE"/>
        </w:rPr>
      </w:pPr>
      <w:r w:rsidRPr="00D22EBA">
        <w:rPr>
          <w:rStyle w:val="FootnoteReference"/>
          <w:sz w:val="24"/>
          <w:lang w:val="sv-SE"/>
        </w:rPr>
        <w:footnoteRef/>
      </w:r>
      <w:r w:rsidR="00E71602" w:rsidRPr="00D22EBA">
        <w:rPr>
          <w:sz w:val="24"/>
          <w:lang w:val="sv-SE"/>
        </w:rPr>
        <w:t xml:space="preserve"> </w:t>
      </w:r>
      <w:r w:rsidR="00E71602" w:rsidRPr="00D22EBA">
        <w:rPr>
          <w:sz w:val="24"/>
          <w:lang w:val="sv-SE"/>
        </w:rPr>
        <w:tab/>
      </w:r>
      <w:r w:rsidRPr="00D22EBA">
        <w:rPr>
          <w:sz w:val="24"/>
          <w:lang w:val="sv-SE"/>
        </w:rPr>
        <w:t>Inbegripet samriskföretag som grundats av Northvolt och Volvo Personvagnar, som Volvo Personvagnar i början av 2025 förvärvade samtliga aktier i för att bli ensam ägare till</w:t>
      </w:r>
      <w:r w:rsidR="00E24F58" w:rsidRPr="00D22EBA">
        <w:rPr>
          <w:sz w:val="24"/>
          <w:lang w:val="sv-SE"/>
        </w:rPr>
        <w:t xml:space="preserve"> de företagen</w:t>
      </w:r>
      <w:r w:rsidRPr="00D22EBA">
        <w:rPr>
          <w:sz w:val="24"/>
          <w:lang w:val="sv-SE"/>
        </w:rPr>
        <w:t>.</w:t>
      </w:r>
    </w:p>
  </w:footnote>
  <w:footnote w:id="7">
    <w:p w14:paraId="4F4850A1" w14:textId="5300D052" w:rsidR="00D256F4" w:rsidRPr="00D22EBA" w:rsidRDefault="00D256F4" w:rsidP="00E71602">
      <w:pPr>
        <w:pStyle w:val="FootnoteText"/>
        <w:ind w:left="567" w:hanging="567"/>
        <w:rPr>
          <w:sz w:val="24"/>
          <w:lang w:val="sv-SE"/>
        </w:rPr>
      </w:pPr>
      <w:r w:rsidRPr="00D22EBA">
        <w:rPr>
          <w:rStyle w:val="FootnoteReference"/>
          <w:sz w:val="24"/>
          <w:lang w:val="sv-SE"/>
        </w:rPr>
        <w:footnoteRef/>
      </w:r>
      <w:r w:rsidR="00E71602" w:rsidRPr="00D22EBA">
        <w:rPr>
          <w:sz w:val="24"/>
          <w:lang w:val="sv-SE"/>
        </w:rPr>
        <w:t xml:space="preserve"> </w:t>
      </w:r>
      <w:r w:rsidR="00E71602" w:rsidRPr="00D22EBA">
        <w:rPr>
          <w:sz w:val="24"/>
          <w:lang w:val="sv-SE"/>
        </w:rPr>
        <w:tab/>
      </w:r>
      <w:r w:rsidRPr="00D22EBA">
        <w:rPr>
          <w:sz w:val="24"/>
          <w:lang w:val="sv-SE"/>
        </w:rPr>
        <w:t xml:space="preserve">Kommissionens arbetsprogram 2026, </w:t>
      </w:r>
      <w:proofErr w:type="spellStart"/>
      <w:r w:rsidRPr="00D22EBA">
        <w:rPr>
          <w:i/>
          <w:iCs/>
          <w:sz w:val="24"/>
          <w:lang w:val="sv-SE"/>
        </w:rPr>
        <w:t>Europe's</w:t>
      </w:r>
      <w:proofErr w:type="spellEnd"/>
      <w:r w:rsidRPr="00D22EBA">
        <w:rPr>
          <w:i/>
          <w:iCs/>
          <w:sz w:val="24"/>
          <w:lang w:val="sv-SE"/>
        </w:rPr>
        <w:t xml:space="preserve"> </w:t>
      </w:r>
      <w:proofErr w:type="spellStart"/>
      <w:r w:rsidRPr="00D22EBA">
        <w:rPr>
          <w:i/>
          <w:iCs/>
          <w:sz w:val="24"/>
          <w:lang w:val="sv-SE"/>
        </w:rPr>
        <w:t>Independence</w:t>
      </w:r>
      <w:proofErr w:type="spellEnd"/>
      <w:r w:rsidRPr="00D22EBA">
        <w:rPr>
          <w:i/>
          <w:iCs/>
          <w:sz w:val="24"/>
          <w:lang w:val="sv-SE"/>
        </w:rPr>
        <w:t xml:space="preserve"> Moment</w:t>
      </w:r>
      <w:r w:rsidRPr="00D22EBA">
        <w:rPr>
          <w:sz w:val="24"/>
          <w:lang w:val="sv-SE"/>
        </w:rPr>
        <w:t xml:space="preserve"> </w:t>
      </w:r>
      <w:hyperlink r:id="rId5" w:history="1">
        <w:r w:rsidRPr="00D22EBA">
          <w:rPr>
            <w:rStyle w:val="Hyperlink"/>
            <w:sz w:val="24"/>
            <w:lang w:val="sv-SE"/>
          </w:rPr>
          <w:t>https://commission.europa.eu/strategy-and-policy/strategy-documents/commission-work-programme/commission-work-programme-2026_en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C2926" w14:textId="77777777" w:rsidR="00D256F4" w:rsidRPr="00E71602" w:rsidRDefault="00D256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43E9B" w14:textId="77777777" w:rsidR="00D256F4" w:rsidRPr="00E71602" w:rsidRDefault="00D256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58EFA" w14:textId="77777777" w:rsidR="00D256F4" w:rsidRPr="00E71602" w:rsidRDefault="00D256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32DD5" w14:textId="77777777" w:rsidR="00064002" w:rsidRPr="00E71602"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67B50" w14:textId="77777777" w:rsidR="00064002" w:rsidRPr="00E71602"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4E281" w14:textId="77777777" w:rsidR="00064002" w:rsidRPr="00E716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4625505">
    <w:abstractNumId w:val="9"/>
  </w:num>
  <w:num w:numId="2" w16cid:durableId="410078185">
    <w:abstractNumId w:val="9"/>
  </w:num>
  <w:num w:numId="3" w16cid:durableId="1728987579">
    <w:abstractNumId w:val="7"/>
  </w:num>
  <w:num w:numId="4" w16cid:durableId="1688411808">
    <w:abstractNumId w:val="7"/>
  </w:num>
  <w:num w:numId="5" w16cid:durableId="789275478">
    <w:abstractNumId w:val="6"/>
  </w:num>
  <w:num w:numId="6" w16cid:durableId="708844252">
    <w:abstractNumId w:val="6"/>
  </w:num>
  <w:num w:numId="7" w16cid:durableId="586159341">
    <w:abstractNumId w:val="5"/>
  </w:num>
  <w:num w:numId="8" w16cid:durableId="1963730307">
    <w:abstractNumId w:val="5"/>
  </w:num>
  <w:num w:numId="9" w16cid:durableId="1154417213">
    <w:abstractNumId w:val="4"/>
  </w:num>
  <w:num w:numId="10" w16cid:durableId="610015534">
    <w:abstractNumId w:val="4"/>
  </w:num>
  <w:num w:numId="11" w16cid:durableId="63112321">
    <w:abstractNumId w:val="8"/>
  </w:num>
  <w:num w:numId="12" w16cid:durableId="58868677">
    <w:abstractNumId w:val="8"/>
  </w:num>
  <w:num w:numId="13" w16cid:durableId="1622540472">
    <w:abstractNumId w:val="3"/>
  </w:num>
  <w:num w:numId="14" w16cid:durableId="1298998900">
    <w:abstractNumId w:val="3"/>
  </w:num>
  <w:num w:numId="15" w16cid:durableId="301616684">
    <w:abstractNumId w:val="2"/>
  </w:num>
  <w:num w:numId="16" w16cid:durableId="171991045">
    <w:abstractNumId w:val="2"/>
  </w:num>
  <w:num w:numId="17" w16cid:durableId="765268980">
    <w:abstractNumId w:val="1"/>
  </w:num>
  <w:num w:numId="18" w16cid:durableId="1803110357">
    <w:abstractNumId w:val="1"/>
  </w:num>
  <w:num w:numId="19" w16cid:durableId="956332123">
    <w:abstractNumId w:val="0"/>
  </w:num>
  <w:num w:numId="20" w16cid:durableId="1515731347">
    <w:abstractNumId w:val="0"/>
  </w:num>
  <w:num w:numId="21" w16cid:durableId="2034988485">
    <w:abstractNumId w:val="9"/>
  </w:num>
  <w:num w:numId="22" w16cid:durableId="245502783">
    <w:abstractNumId w:val="7"/>
  </w:num>
  <w:num w:numId="23" w16cid:durableId="1099644941">
    <w:abstractNumId w:val="6"/>
  </w:num>
  <w:num w:numId="24" w16cid:durableId="1949504931">
    <w:abstractNumId w:val="5"/>
  </w:num>
  <w:num w:numId="25" w16cid:durableId="194781735">
    <w:abstractNumId w:val="4"/>
  </w:num>
  <w:num w:numId="26" w16cid:durableId="347369120">
    <w:abstractNumId w:val="8"/>
  </w:num>
  <w:num w:numId="27" w16cid:durableId="1490751977">
    <w:abstractNumId w:val="3"/>
  </w:num>
  <w:num w:numId="28" w16cid:durableId="974916551">
    <w:abstractNumId w:val="2"/>
  </w:num>
  <w:num w:numId="29" w16cid:durableId="567806780">
    <w:abstractNumId w:val="1"/>
  </w:num>
  <w:num w:numId="30" w16cid:durableId="335613714">
    <w:abstractNumId w:val="0"/>
  </w:num>
  <w:num w:numId="31" w16cid:durableId="1602377862">
    <w:abstractNumId w:val="9"/>
  </w:num>
  <w:num w:numId="32" w16cid:durableId="114447559">
    <w:abstractNumId w:val="7"/>
  </w:num>
  <w:num w:numId="33" w16cid:durableId="382947583">
    <w:abstractNumId w:val="6"/>
  </w:num>
  <w:num w:numId="34" w16cid:durableId="322852440">
    <w:abstractNumId w:val="5"/>
  </w:num>
  <w:num w:numId="35" w16cid:durableId="995300570">
    <w:abstractNumId w:val="4"/>
  </w:num>
  <w:num w:numId="36" w16cid:durableId="931204957">
    <w:abstractNumId w:val="8"/>
  </w:num>
  <w:num w:numId="37" w16cid:durableId="2010786679">
    <w:abstractNumId w:val="3"/>
  </w:num>
  <w:num w:numId="38" w16cid:durableId="2047171994">
    <w:abstractNumId w:val="2"/>
  </w:num>
  <w:num w:numId="39" w16cid:durableId="2140879018">
    <w:abstractNumId w:val="1"/>
  </w:num>
  <w:num w:numId="40" w16cid:durableId="1125001162">
    <w:abstractNumId w:val="0"/>
  </w:num>
  <w:num w:numId="41" w16cid:durableId="425931031">
    <w:abstractNumId w:val="10"/>
  </w:num>
  <w:num w:numId="42" w16cid:durableId="1829902077">
    <w:abstractNumId w:val="10"/>
  </w:num>
  <w:num w:numId="43" w16cid:durableId="1915623632">
    <w:abstractNumId w:val="10"/>
  </w:num>
  <w:num w:numId="44" w16cid:durableId="18128684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SV"/>
    <w:docVar w:name="dvnumam" w:val="0"/>
    <w:docVar w:name="dvpe" w:val="779.349"/>
    <w:docVar w:name="dvrapporteur" w:val="Föredragande: "/>
    <w:docVar w:name="dvtitre" w:val="Europaparlamentets lagstiftningsresolution av den xx xx 2025 om förslaget till Europaparlamentets och rådets beslut om utnyttjande av Europeiska fonden för justering för globaliseringseffekter för uppsagda arbetstagare efter en ansökan från Sverige – EGF/2025/003 SE/Northvolt(COM(2025)0621 – C10-0270/2025 – 2025/0326(BUD))"/>
  </w:docVars>
  <w:rsids>
    <w:rsidRoot w:val="008B5464"/>
    <w:rsid w:val="00002272"/>
    <w:rsid w:val="00064002"/>
    <w:rsid w:val="000677B9"/>
    <w:rsid w:val="000831BA"/>
    <w:rsid w:val="000A2C42"/>
    <w:rsid w:val="000A42CC"/>
    <w:rsid w:val="000E7DD9"/>
    <w:rsid w:val="0010095E"/>
    <w:rsid w:val="00125B37"/>
    <w:rsid w:val="00187494"/>
    <w:rsid w:val="001F32AE"/>
    <w:rsid w:val="002767FF"/>
    <w:rsid w:val="002B18FE"/>
    <w:rsid w:val="002B5493"/>
    <w:rsid w:val="00316A58"/>
    <w:rsid w:val="00343214"/>
    <w:rsid w:val="00361C00"/>
    <w:rsid w:val="00395FA1"/>
    <w:rsid w:val="003E15D4"/>
    <w:rsid w:val="00411CCE"/>
    <w:rsid w:val="0041666E"/>
    <w:rsid w:val="00421060"/>
    <w:rsid w:val="00471C19"/>
    <w:rsid w:val="004867E3"/>
    <w:rsid w:val="00494A28"/>
    <w:rsid w:val="004A03E6"/>
    <w:rsid w:val="004B76E4"/>
    <w:rsid w:val="004C0004"/>
    <w:rsid w:val="004C5D52"/>
    <w:rsid w:val="00503BDC"/>
    <w:rsid w:val="0050519A"/>
    <w:rsid w:val="005072A1"/>
    <w:rsid w:val="00514517"/>
    <w:rsid w:val="00545827"/>
    <w:rsid w:val="00560270"/>
    <w:rsid w:val="005C2568"/>
    <w:rsid w:val="005F1B17"/>
    <w:rsid w:val="006037C0"/>
    <w:rsid w:val="006631B6"/>
    <w:rsid w:val="00680577"/>
    <w:rsid w:val="006F74FA"/>
    <w:rsid w:val="00731ADD"/>
    <w:rsid w:val="00734777"/>
    <w:rsid w:val="00744C13"/>
    <w:rsid w:val="00747932"/>
    <w:rsid w:val="00751A4A"/>
    <w:rsid w:val="00756632"/>
    <w:rsid w:val="00762C74"/>
    <w:rsid w:val="00786EC0"/>
    <w:rsid w:val="007D1690"/>
    <w:rsid w:val="007E22AD"/>
    <w:rsid w:val="00817416"/>
    <w:rsid w:val="00842779"/>
    <w:rsid w:val="00865F67"/>
    <w:rsid w:val="00881A7B"/>
    <w:rsid w:val="008840E5"/>
    <w:rsid w:val="00887B3E"/>
    <w:rsid w:val="008B5464"/>
    <w:rsid w:val="008C2AC6"/>
    <w:rsid w:val="008E482E"/>
    <w:rsid w:val="00930C23"/>
    <w:rsid w:val="0093193B"/>
    <w:rsid w:val="009509D8"/>
    <w:rsid w:val="00950B64"/>
    <w:rsid w:val="00981893"/>
    <w:rsid w:val="00985E41"/>
    <w:rsid w:val="009D302B"/>
    <w:rsid w:val="009D5B4C"/>
    <w:rsid w:val="00A1687D"/>
    <w:rsid w:val="00A43E52"/>
    <w:rsid w:val="00A4678D"/>
    <w:rsid w:val="00A51366"/>
    <w:rsid w:val="00A778C7"/>
    <w:rsid w:val="00AB441E"/>
    <w:rsid w:val="00AB6293"/>
    <w:rsid w:val="00AE0928"/>
    <w:rsid w:val="00AF3B82"/>
    <w:rsid w:val="00B12E95"/>
    <w:rsid w:val="00B22876"/>
    <w:rsid w:val="00B466D6"/>
    <w:rsid w:val="00B558F0"/>
    <w:rsid w:val="00BA006C"/>
    <w:rsid w:val="00BD48FE"/>
    <w:rsid w:val="00BD7BD8"/>
    <w:rsid w:val="00BE6ADC"/>
    <w:rsid w:val="00C05BFE"/>
    <w:rsid w:val="00C23CD4"/>
    <w:rsid w:val="00C61C0C"/>
    <w:rsid w:val="00C941CB"/>
    <w:rsid w:val="00CC2357"/>
    <w:rsid w:val="00CF071A"/>
    <w:rsid w:val="00D058B8"/>
    <w:rsid w:val="00D22EBA"/>
    <w:rsid w:val="00D256F4"/>
    <w:rsid w:val="00D56C11"/>
    <w:rsid w:val="00D834A0"/>
    <w:rsid w:val="00D872DF"/>
    <w:rsid w:val="00D91E21"/>
    <w:rsid w:val="00DA4805"/>
    <w:rsid w:val="00DA7FCD"/>
    <w:rsid w:val="00E24F58"/>
    <w:rsid w:val="00E365E1"/>
    <w:rsid w:val="00E71602"/>
    <w:rsid w:val="00E820A4"/>
    <w:rsid w:val="00EB006A"/>
    <w:rsid w:val="00EB4772"/>
    <w:rsid w:val="00ED169E"/>
    <w:rsid w:val="00ED4235"/>
    <w:rsid w:val="00F04346"/>
    <w:rsid w:val="00F075DC"/>
    <w:rsid w:val="00F149E9"/>
    <w:rsid w:val="00F1594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35FA62"/>
  <w15:chartTrackingRefBased/>
  <w15:docId w15:val="{D37CE270-B456-40A1-B633-05D0D65D8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256F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D256F4"/>
    <w:pPr>
      <w:keepNext/>
      <w:spacing w:after="480"/>
      <w:jc w:val="center"/>
    </w:pPr>
    <w:rPr>
      <w:rFonts w:ascii="Arial" w:hAnsi="Arial" w:cs="Arial"/>
      <w:b/>
    </w:rPr>
  </w:style>
  <w:style w:type="paragraph" w:customStyle="1" w:styleId="NormalHanging12a">
    <w:name w:val="NormalHanging12a"/>
    <w:basedOn w:val="Normal"/>
    <w:rsid w:val="00D256F4"/>
    <w:pPr>
      <w:spacing w:after="240"/>
      <w:ind w:left="567" w:hanging="567"/>
    </w:pPr>
  </w:style>
  <w:style w:type="paragraph" w:styleId="Header">
    <w:name w:val="header"/>
    <w:basedOn w:val="Normal"/>
    <w:link w:val="HeaderChar"/>
    <w:rsid w:val="00D256F4"/>
    <w:pPr>
      <w:tabs>
        <w:tab w:val="center" w:pos="4513"/>
        <w:tab w:val="right" w:pos="9026"/>
      </w:tabs>
    </w:pPr>
  </w:style>
  <w:style w:type="character" w:customStyle="1" w:styleId="HeaderChar">
    <w:name w:val="Header Char"/>
    <w:basedOn w:val="DefaultParagraphFont"/>
    <w:link w:val="Header"/>
    <w:rsid w:val="00D256F4"/>
    <w:rPr>
      <w:sz w:val="24"/>
      <w:lang w:val="sv-SE"/>
    </w:rPr>
  </w:style>
  <w:style w:type="paragraph" w:customStyle="1" w:styleId="NormalBold24a">
    <w:name w:val="NormalBold24a"/>
    <w:basedOn w:val="Normal"/>
    <w:rsid w:val="00D256F4"/>
    <w:pPr>
      <w:spacing w:after="480"/>
    </w:pPr>
    <w:rPr>
      <w:b/>
      <w:bCs/>
    </w:rPr>
  </w:style>
  <w:style w:type="paragraph" w:customStyle="1" w:styleId="EPFooter">
    <w:name w:val="EPFooter"/>
    <w:basedOn w:val="Normal"/>
    <w:rsid w:val="00D256F4"/>
    <w:pPr>
      <w:tabs>
        <w:tab w:val="center" w:pos="4535"/>
        <w:tab w:val="right" w:pos="9071"/>
      </w:tabs>
      <w:spacing w:before="240" w:after="240"/>
    </w:pPr>
    <w:rPr>
      <w:color w:val="010000"/>
      <w:sz w:val="22"/>
    </w:rPr>
  </w:style>
  <w:style w:type="paragraph" w:customStyle="1" w:styleId="EPComma">
    <w:name w:val="EPComma"/>
    <w:basedOn w:val="Normal"/>
    <w:rsid w:val="00D256F4"/>
    <w:pPr>
      <w:spacing w:before="480" w:after="240"/>
    </w:pPr>
  </w:style>
  <w:style w:type="character" w:styleId="Hyperlink">
    <w:name w:val="Hyperlink"/>
    <w:basedOn w:val="DefaultParagraphFont"/>
    <w:rsid w:val="00D256F4"/>
    <w:rPr>
      <w:color w:val="0563C1" w:themeColor="hyperlink"/>
      <w:u w:val="single"/>
    </w:rPr>
  </w:style>
  <w:style w:type="paragraph" w:customStyle="1" w:styleId="Institutionquisigne">
    <w:name w:val="Institution qui signe"/>
    <w:basedOn w:val="Normal"/>
    <w:next w:val="Personnequisigne"/>
    <w:rsid w:val="00D256F4"/>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D256F4"/>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D256F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256F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256F4"/>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D256F4"/>
    <w:pPr>
      <w:widowControl/>
      <w:tabs>
        <w:tab w:val="left" w:pos="4252"/>
      </w:tabs>
    </w:pPr>
    <w:rPr>
      <w:rFonts w:eastAsiaTheme="minorHAnsi"/>
      <w:i/>
      <w:szCs w:val="22"/>
      <w:lang w:eastAsia="en-US"/>
    </w:rPr>
  </w:style>
  <w:style w:type="paragraph" w:customStyle="1" w:styleId="ManualConsidrant">
    <w:name w:val="Manual Considérant"/>
    <w:basedOn w:val="Normal"/>
    <w:rsid w:val="00D256F4"/>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D256F4"/>
    <w:rPr>
      <w:rFonts w:ascii="Arial" w:hAnsi="Arial" w:cs="Arial"/>
      <w:b/>
      <w:sz w:val="24"/>
      <w:lang w:val="sv-SE"/>
    </w:rPr>
  </w:style>
  <w:style w:type="paragraph" w:styleId="Revision">
    <w:name w:val="Revision"/>
    <w:hidden/>
    <w:uiPriority w:val="99"/>
    <w:semiHidden/>
    <w:rsid w:val="00BA006C"/>
    <w:rPr>
      <w:sz w:val="24"/>
      <w:lang w:val="sv-SE"/>
    </w:rPr>
  </w:style>
  <w:style w:type="character" w:styleId="CommentReference">
    <w:name w:val="annotation reference"/>
    <w:basedOn w:val="DefaultParagraphFont"/>
    <w:rsid w:val="00316A58"/>
    <w:rPr>
      <w:sz w:val="16"/>
      <w:szCs w:val="16"/>
    </w:rPr>
  </w:style>
  <w:style w:type="paragraph" w:styleId="CommentText">
    <w:name w:val="annotation text"/>
    <w:basedOn w:val="Normal"/>
    <w:link w:val="CommentTextChar"/>
    <w:rsid w:val="00316A58"/>
    <w:rPr>
      <w:sz w:val="20"/>
    </w:rPr>
  </w:style>
  <w:style w:type="character" w:customStyle="1" w:styleId="CommentTextChar">
    <w:name w:val="Comment Text Char"/>
    <w:basedOn w:val="DefaultParagraphFont"/>
    <w:link w:val="CommentText"/>
    <w:rsid w:val="00316A58"/>
    <w:rPr>
      <w:lang w:val="sv-SE"/>
    </w:rPr>
  </w:style>
  <w:style w:type="paragraph" w:styleId="CommentSubject">
    <w:name w:val="annotation subject"/>
    <w:basedOn w:val="CommentText"/>
    <w:next w:val="CommentText"/>
    <w:link w:val="CommentSubjectChar"/>
    <w:rsid w:val="00316A58"/>
    <w:rPr>
      <w:b/>
      <w:bCs/>
    </w:rPr>
  </w:style>
  <w:style w:type="character" w:customStyle="1" w:styleId="CommentSubjectChar">
    <w:name w:val="Comment Subject Char"/>
    <w:basedOn w:val="CommentTextChar"/>
    <w:link w:val="CommentSubject"/>
    <w:rsid w:val="00316A58"/>
    <w:rPr>
      <w:b/>
      <w:bCs/>
      <w:lang w:val="sv-SE"/>
    </w:rPr>
  </w:style>
  <w:style w:type="character" w:styleId="UnresolvedMention">
    <w:name w:val="Unresolved Mention"/>
    <w:basedOn w:val="DefaultParagraphFont"/>
    <w:uiPriority w:val="99"/>
    <w:semiHidden/>
    <w:unhideWhenUsed/>
    <w:rsid w:val="00316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commission.europa.eu/strategy-and-policy/strategy-documents/commission-work-programme/commission-work-programme-2026_en"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1610</Words>
  <Characters>10737</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2026-03-04T13:24:00Z</dcterms:created>
  <dcterms:modified xsi:type="dcterms:W3CDTF">2026-03-04T13:24:00Z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P10_TA(2025)0325_</vt:lpwstr>
  </property>
  <property fmtid="{D5CDD505-2E9C-101B-9397-08002B2CF9AE}" pid="4" name="&lt;Type&gt;">
    <vt:lpwstr>RR</vt:lpwstr>
  </property>
</Properties>
</file>