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7856" w14:paraId="4008872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8646A5" w14:textId="3A5D7F72" w:rsidR="00751A4A" w:rsidRPr="00817856" w:rsidRDefault="00E570B6" w:rsidP="0010095E">
            <w:pPr>
              <w:pStyle w:val="EPName"/>
            </w:pPr>
            <w:r w:rsidRPr="00817856">
              <w:t>Европейски</w:t>
            </w:r>
            <w:r w:rsidR="00522439" w:rsidRPr="00817856">
              <w:t xml:space="preserve"> парламент</w:t>
            </w:r>
          </w:p>
          <w:p w14:paraId="1050F545" w14:textId="29D2002F" w:rsidR="00751A4A" w:rsidRPr="0081785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7856">
              <w:t>2024</w:t>
            </w:r>
            <w:r w:rsidR="00E570B6">
              <w:t> – </w:t>
            </w:r>
            <w:r w:rsidR="00817416" w:rsidRPr="00817856">
              <w:t>202</w:t>
            </w:r>
            <w:r w:rsidRPr="00817856">
              <w:t>9</w:t>
            </w:r>
          </w:p>
        </w:tc>
        <w:tc>
          <w:tcPr>
            <w:tcW w:w="2268" w:type="dxa"/>
            <w:shd w:val="clear" w:color="auto" w:fill="auto"/>
          </w:tcPr>
          <w:p w14:paraId="0CDE1CEE" w14:textId="77777777" w:rsidR="00751A4A" w:rsidRPr="00817856" w:rsidRDefault="00187494" w:rsidP="0010095E">
            <w:pPr>
              <w:pStyle w:val="EPLogo"/>
            </w:pPr>
            <w:r w:rsidRPr="00817856">
              <w:rPr>
                <w:noProof/>
                <w:lang w:eastAsia="ja-JP"/>
              </w:rPr>
              <w:drawing>
                <wp:inline distT="0" distB="0" distL="0" distR="0" wp14:anchorId="11C6CF7C" wp14:editId="131277E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3632A6" w14:textId="77777777" w:rsidR="00D058B8" w:rsidRPr="00817856" w:rsidRDefault="00D058B8" w:rsidP="004C5D52">
      <w:pPr>
        <w:pStyle w:val="LineTop"/>
      </w:pPr>
    </w:p>
    <w:p w14:paraId="1441BC5C" w14:textId="77777777" w:rsidR="00680577" w:rsidRPr="00817856" w:rsidRDefault="00522439" w:rsidP="00680577">
      <w:pPr>
        <w:pStyle w:val="EPBodyTA1"/>
      </w:pPr>
      <w:r w:rsidRPr="00817856">
        <w:t>ПРИЕТИ ТЕКСТОВЕ</w:t>
      </w:r>
    </w:p>
    <w:p w14:paraId="38E3D5C9" w14:textId="77777777" w:rsidR="00D058B8" w:rsidRPr="00817856" w:rsidRDefault="00D058B8" w:rsidP="00D058B8">
      <w:pPr>
        <w:pStyle w:val="LineBottom"/>
      </w:pPr>
    </w:p>
    <w:p w14:paraId="178D5AFC" w14:textId="5C45CAF4" w:rsidR="00522439" w:rsidRPr="00817856" w:rsidRDefault="00522439" w:rsidP="00522439">
      <w:pPr>
        <w:pStyle w:val="ATHeading1"/>
      </w:pPr>
      <w:bookmarkStart w:id="0" w:name="TANumber"/>
      <w:r w:rsidRPr="00817856">
        <w:t>P10_TA(2025)0</w:t>
      </w:r>
      <w:r w:rsidR="00344544">
        <w:t>326</w:t>
      </w:r>
      <w:bookmarkEnd w:id="0"/>
    </w:p>
    <w:p w14:paraId="24E83CA8" w14:textId="77777777" w:rsidR="00522439" w:rsidRPr="00817856" w:rsidRDefault="00522439" w:rsidP="00522439">
      <w:pPr>
        <w:pStyle w:val="ATHeading2"/>
      </w:pPr>
      <w:bookmarkStart w:id="1" w:name="title"/>
      <w:r w:rsidRPr="00817856">
        <w:t>Отношенията между ЕС и Саудитска Арабия</w:t>
      </w:r>
      <w:bookmarkEnd w:id="1"/>
    </w:p>
    <w:p w14:paraId="7C6BBAF7" w14:textId="77777777" w:rsidR="00522439" w:rsidRPr="00817856" w:rsidRDefault="00522439" w:rsidP="00522439">
      <w:pPr>
        <w:rPr>
          <w:i/>
          <w:vanish/>
        </w:rPr>
      </w:pPr>
      <w:r w:rsidRPr="00817856">
        <w:rPr>
          <w:i/>
        </w:rPr>
        <w:fldChar w:fldCharType="begin"/>
      </w:r>
      <w:r w:rsidRPr="00817856">
        <w:rPr>
          <w:i/>
        </w:rPr>
        <w:instrText xml:space="preserve"> TC"(</w:instrText>
      </w:r>
      <w:bookmarkStart w:id="2" w:name="DocNumber"/>
      <w:r w:rsidRPr="00817856">
        <w:rPr>
          <w:i/>
        </w:rPr>
        <w:instrText>A10-0230/2025</w:instrText>
      </w:r>
      <w:bookmarkEnd w:id="2"/>
      <w:r w:rsidRPr="00817856">
        <w:rPr>
          <w:i/>
        </w:rPr>
        <w:instrText xml:space="preserve"> - Докладчик: Хана Хальоул Муро)"\l3 \n&gt; \* MERGEFORMAT </w:instrText>
      </w:r>
      <w:r w:rsidRPr="00817856">
        <w:rPr>
          <w:i/>
        </w:rPr>
        <w:fldChar w:fldCharType="end"/>
      </w:r>
    </w:p>
    <w:p w14:paraId="4BF08FF0" w14:textId="77777777" w:rsidR="00522439" w:rsidRPr="00817856" w:rsidRDefault="00522439" w:rsidP="00522439">
      <w:pPr>
        <w:rPr>
          <w:vanish/>
        </w:rPr>
      </w:pPr>
      <w:bookmarkStart w:id="3" w:name="Commission"/>
      <w:r w:rsidRPr="00817856">
        <w:rPr>
          <w:vanish/>
        </w:rPr>
        <w:t>Комисия по външни работи</w:t>
      </w:r>
      <w:bookmarkEnd w:id="3"/>
    </w:p>
    <w:p w14:paraId="66CECDEA" w14:textId="77777777" w:rsidR="00522439" w:rsidRPr="00817856" w:rsidRDefault="00522439" w:rsidP="00522439">
      <w:pPr>
        <w:rPr>
          <w:vanish/>
        </w:rPr>
      </w:pPr>
      <w:bookmarkStart w:id="4" w:name="PE"/>
      <w:r w:rsidRPr="00817856">
        <w:rPr>
          <w:vanish/>
        </w:rPr>
        <w:t>PE775.425</w:t>
      </w:r>
      <w:bookmarkEnd w:id="4"/>
    </w:p>
    <w:p w14:paraId="26BE8125" w14:textId="0210DDFD" w:rsidR="00522439" w:rsidRPr="00817856" w:rsidRDefault="00522439" w:rsidP="00522439">
      <w:pPr>
        <w:pStyle w:val="ATHeading3"/>
      </w:pPr>
      <w:bookmarkStart w:id="5" w:name="Sujet"/>
      <w:r w:rsidRPr="00817856">
        <w:t xml:space="preserve">Резолюция на Европейския парламент от </w:t>
      </w:r>
      <w:r w:rsidR="00344544">
        <w:t>16</w:t>
      </w:r>
      <w:r w:rsidRPr="00817856">
        <w:t xml:space="preserve"> </w:t>
      </w:r>
      <w:r w:rsidR="00E570B6">
        <w:t xml:space="preserve">декември </w:t>
      </w:r>
      <w:r w:rsidRPr="00817856">
        <w:t>2025 г. относно отношенията между ЕС и Саудитска Арабия</w:t>
      </w:r>
      <w:bookmarkEnd w:id="5"/>
      <w:r w:rsidRPr="00817856">
        <w:t xml:space="preserve"> </w:t>
      </w:r>
      <w:bookmarkStart w:id="6" w:name="References"/>
      <w:r w:rsidRPr="00817856">
        <w:t>(2025/2082(INI))</w:t>
      </w:r>
      <w:bookmarkEnd w:id="6"/>
    </w:p>
    <w:p w14:paraId="558C4CB4" w14:textId="77777777" w:rsidR="00DD2D8B" w:rsidRPr="00817856" w:rsidRDefault="00DD2D8B" w:rsidP="00DD2D8B">
      <w:pPr>
        <w:pStyle w:val="Normal12"/>
      </w:pPr>
      <w:r w:rsidRPr="00817856">
        <w:rPr>
          <w:i/>
        </w:rPr>
        <w:t>Европейският парламент</w:t>
      </w:r>
      <w:r w:rsidRPr="00817856">
        <w:t>,</w:t>
      </w:r>
    </w:p>
    <w:p w14:paraId="0267742E" w14:textId="77777777" w:rsidR="00DD2D8B" w:rsidRPr="00817856" w:rsidRDefault="00DD2D8B" w:rsidP="00DD2D8B">
      <w:pPr>
        <w:pStyle w:val="NormalHanging"/>
      </w:pPr>
      <w:r w:rsidRPr="00817856">
        <w:t>–</w:t>
      </w:r>
      <w:r w:rsidRPr="00817856">
        <w:tab/>
        <w:t>като взе предвид членове 205—222 от Договора за функционирането на Европейския съюз (ДФЕС),</w:t>
      </w:r>
    </w:p>
    <w:p w14:paraId="55E0B392" w14:textId="77777777" w:rsidR="00DD2D8B" w:rsidRPr="00817856" w:rsidRDefault="00DD2D8B" w:rsidP="00DD2D8B">
      <w:pPr>
        <w:pStyle w:val="NormalHanging"/>
      </w:pPr>
      <w:r w:rsidRPr="00817856">
        <w:t>–</w:t>
      </w:r>
      <w:r w:rsidRPr="00817856">
        <w:tab/>
        <w:t xml:space="preserve">като взе предвид предишните си резолюции относно Саудитска Арабия и по-специално резолюцията от 25 октомври 2018 г. относно убийството на журналиста Джамал </w:t>
      </w:r>
      <w:proofErr w:type="spellStart"/>
      <w:r w:rsidRPr="00817856">
        <w:t>Хашогджи</w:t>
      </w:r>
      <w:proofErr w:type="spellEnd"/>
      <w:r w:rsidRPr="00817856">
        <w:t xml:space="preserve"> в консулството на Саудитска Арабия в Истанбул</w:t>
      </w:r>
      <w:r w:rsidRPr="00817856">
        <w:rPr>
          <w:rStyle w:val="FootnoteReference"/>
        </w:rPr>
        <w:footnoteReference w:customMarkFollows="1" w:id="1"/>
        <w:t>1</w:t>
      </w:r>
      <w:r w:rsidRPr="00817856">
        <w:t>, резолюцията от 11 февруари 2021 г. хуманитарното и политическото положение в Йемен</w:t>
      </w:r>
      <w:r w:rsidRPr="00817856">
        <w:rPr>
          <w:rStyle w:val="FootnoteReference"/>
        </w:rPr>
        <w:footnoteReference w:customMarkFollows="1" w:id="2"/>
        <w:t>2</w:t>
      </w:r>
      <w:r w:rsidRPr="00817856">
        <w:t xml:space="preserve"> и резолюцията от 8 юли 2021 г. относно смъртното наказание в Саудитска Арабия, по-специално случаите на Мустафа </w:t>
      </w:r>
      <w:proofErr w:type="spellStart"/>
      <w:r w:rsidRPr="00817856">
        <w:t>Хашем</w:t>
      </w:r>
      <w:proofErr w:type="spellEnd"/>
      <w:r w:rsidRPr="00817856">
        <w:t xml:space="preserve"> ал-</w:t>
      </w:r>
      <w:proofErr w:type="spellStart"/>
      <w:r w:rsidRPr="00817856">
        <w:t>Дарвиш</w:t>
      </w:r>
      <w:proofErr w:type="spellEnd"/>
      <w:r w:rsidRPr="00817856">
        <w:t xml:space="preserve"> и </w:t>
      </w:r>
      <w:proofErr w:type="spellStart"/>
      <w:r w:rsidRPr="00817856">
        <w:t>Абдулла</w:t>
      </w:r>
      <w:proofErr w:type="spellEnd"/>
      <w:r w:rsidRPr="00817856">
        <w:t xml:space="preserve"> ал-Ховаити</w:t>
      </w:r>
      <w:r w:rsidRPr="00817856">
        <w:rPr>
          <w:rStyle w:val="FootnoteReference"/>
        </w:rPr>
        <w:footnoteReference w:customMarkFollows="1" w:id="3"/>
        <w:t>3</w:t>
      </w:r>
      <w:r w:rsidRPr="00817856">
        <w:t>,</w:t>
      </w:r>
    </w:p>
    <w:p w14:paraId="2855BDFC" w14:textId="77777777" w:rsidR="00DD2D8B" w:rsidRPr="00817856" w:rsidRDefault="00DD2D8B" w:rsidP="00DD2D8B">
      <w:pPr>
        <w:pStyle w:val="NormalHanging"/>
      </w:pPr>
      <w:r w:rsidRPr="00817856">
        <w:t>–</w:t>
      </w:r>
      <w:r w:rsidRPr="00817856">
        <w:tab/>
        <w:t>като взе предвид съвместното съобщение на Комисията и върховния представител на Съюза по въпросите на външните работи и политиката на сигурност от 18 май 2022 г. относно стратегическо партньорство с Персийския залив (JOIN(2022)0013) и заключенията на Съвета от 20 юни 2022 г. по този въпрос,</w:t>
      </w:r>
    </w:p>
    <w:p w14:paraId="7C664422" w14:textId="77777777" w:rsidR="00DD2D8B" w:rsidRPr="00817856" w:rsidRDefault="00DD2D8B" w:rsidP="00DD2D8B">
      <w:pPr>
        <w:pStyle w:val="NormalHanging"/>
      </w:pPr>
      <w:r w:rsidRPr="00817856">
        <w:t>–</w:t>
      </w:r>
      <w:r w:rsidRPr="00817856">
        <w:tab/>
        <w:t>като взе предвид мандата на Съвета за започване на преговори за отделни споразумения за стратегическо партньорство (ССП) с държавите от Съвета за сътрудничество на арабските държави от Персийския залив (Съвет за сътрудничество в Персийския залив, ССПЗ) и съответно Кралство Бахрейн, Държавата Кувейт, Султанат Оман, Държавата Катар, Кралство Саудитска Арабия и Обединените арабски емирства,</w:t>
      </w:r>
    </w:p>
    <w:p w14:paraId="7A50D983" w14:textId="77777777" w:rsidR="00DD2D8B" w:rsidRPr="00817856" w:rsidRDefault="00DD2D8B" w:rsidP="00DD2D8B">
      <w:pPr>
        <w:pStyle w:val="NormalHanging"/>
      </w:pPr>
      <w:r w:rsidRPr="00817856">
        <w:t>–</w:t>
      </w:r>
      <w:r w:rsidRPr="00817856">
        <w:tab/>
        <w:t>като взе предвид съвместното изявление от първата среща на високо равнище между ЕС и ССПЗ от 16 октомври 2024 г.,</w:t>
      </w:r>
    </w:p>
    <w:p w14:paraId="0AB57EE3" w14:textId="77777777" w:rsidR="00DD2D8B" w:rsidRPr="00817856" w:rsidRDefault="00DD2D8B" w:rsidP="00DD2D8B">
      <w:pPr>
        <w:pStyle w:val="NormalHanging"/>
      </w:pPr>
      <w:r w:rsidRPr="00817856">
        <w:t>–</w:t>
      </w:r>
      <w:r w:rsidRPr="00817856">
        <w:tab/>
        <w:t>като взе предвид съвместното изявление от 29-ия Съвместен съвет и среща на министрите между ССПЗ и ЕС на 6 октомври 2025 г.,</w:t>
      </w:r>
    </w:p>
    <w:p w14:paraId="6FD18D86" w14:textId="5B777D0A" w:rsidR="00DD2D8B" w:rsidRPr="00817856" w:rsidRDefault="00DD2D8B" w:rsidP="00DD2D8B">
      <w:pPr>
        <w:pStyle w:val="NormalHanging"/>
      </w:pPr>
      <w:r w:rsidRPr="00817856">
        <w:lastRenderedPageBreak/>
        <w:t>–</w:t>
      </w:r>
      <w:r w:rsidRPr="00817856">
        <w:tab/>
        <w:t>като взе предвид препоръката за решение на Съвета относно нови указания за водене на преговори за регионално споразумение за свободна търговия и за двустранни споразумения за свободна търговия с държавите от Съвета за сътрудничество на арабските държави от Персийския залив и съответно Кралство Бахрейн, Държавата Кувейт, Султанат Оман, Държавата Катар, Кралство Саудитска Арабия и Обединените арабски емирства (</w:t>
      </w:r>
      <w:r w:rsidR="00E570B6" w:rsidRPr="00344544">
        <w:t>COM(2025)0194</w:t>
      </w:r>
      <w:r w:rsidRPr="00817856">
        <w:t>),</w:t>
      </w:r>
    </w:p>
    <w:p w14:paraId="552F3D52" w14:textId="77777777" w:rsidR="00DD2D8B" w:rsidRPr="00817856" w:rsidRDefault="00DD2D8B" w:rsidP="00DD2D8B">
      <w:pPr>
        <w:pStyle w:val="NormalHanging"/>
      </w:pPr>
      <w:r w:rsidRPr="00817856">
        <w:t>–</w:t>
      </w:r>
      <w:r w:rsidRPr="00817856">
        <w:tab/>
        <w:t>като взе предвид споразумението за сътрудничество между Европейската служба за външна дейност (ЕСВД) и Министерството на външните работи на Кралство Саудитска Арабия, подписано на 3 октомври 2021 г.,</w:t>
      </w:r>
    </w:p>
    <w:p w14:paraId="10506582" w14:textId="77777777" w:rsidR="00DD2D8B" w:rsidRPr="00817856" w:rsidRDefault="00DD2D8B" w:rsidP="00DD2D8B">
      <w:pPr>
        <w:pStyle w:val="NormalHanging"/>
      </w:pPr>
      <w:r w:rsidRPr="00817856">
        <w:t>–</w:t>
      </w:r>
      <w:r w:rsidRPr="00817856">
        <w:tab/>
        <w:t>като взе предвид четвъртия диалог по правата на човека между ЕС и Кралство Саудитска Арабия, проведен в Рияд на 20 декември 2024 г.,</w:t>
      </w:r>
    </w:p>
    <w:p w14:paraId="7752E339" w14:textId="77777777" w:rsidR="00DD2D8B" w:rsidRPr="00817856" w:rsidRDefault="00DD2D8B" w:rsidP="00DD2D8B">
      <w:pPr>
        <w:pStyle w:val="NormalHanging"/>
      </w:pPr>
      <w:r w:rsidRPr="00817856">
        <w:t>–</w:t>
      </w:r>
      <w:r w:rsidRPr="00817856">
        <w:tab/>
        <w:t>като взе предвид глобалния режим на ЕС за санкции за нарушения на правата на човека, установен през декември 2020 г.,</w:t>
      </w:r>
    </w:p>
    <w:p w14:paraId="41E3E7FC" w14:textId="77777777" w:rsidR="00DD2D8B" w:rsidRPr="00817856" w:rsidRDefault="00DD2D8B" w:rsidP="00DD2D8B">
      <w:pPr>
        <w:pStyle w:val="NormalHanging"/>
      </w:pPr>
      <w:r w:rsidRPr="00817856">
        <w:t>–</w:t>
      </w:r>
      <w:r w:rsidRPr="00817856">
        <w:tab/>
        <w:t>като взе предвид насоките на ЕС относно защитниците на правата на човека, приети през юни 2004 г. и преработени през 2008 г.,</w:t>
      </w:r>
    </w:p>
    <w:p w14:paraId="5F478623" w14:textId="77777777" w:rsidR="00DD2D8B" w:rsidRPr="00817856" w:rsidRDefault="00DD2D8B" w:rsidP="00DD2D8B">
      <w:pPr>
        <w:pStyle w:val="NormalHanging"/>
      </w:pPr>
      <w:r w:rsidRPr="00817856">
        <w:t>–</w:t>
      </w:r>
      <w:r w:rsidRPr="00817856">
        <w:tab/>
        <w:t>като взе предвид доклада на експертната група на ООН за географските наименования от 8 април 2025 г. относно Кралство Саудитска Арабия (2025/169/CRP.169),</w:t>
      </w:r>
    </w:p>
    <w:p w14:paraId="55F1D384" w14:textId="77777777" w:rsidR="00DD2D8B" w:rsidRPr="00817856" w:rsidRDefault="00DD2D8B" w:rsidP="00DD2D8B">
      <w:pPr>
        <w:pStyle w:val="NormalHanging"/>
      </w:pPr>
      <w:r w:rsidRPr="00817856">
        <w:t>–</w:t>
      </w:r>
      <w:r w:rsidRPr="00817856">
        <w:tab/>
        <w:t>като взе предвид Конвенцията на ООН от 18 декември 1979 г. за премахване на всички форми на дискриминация по отношение на жените,</w:t>
      </w:r>
    </w:p>
    <w:p w14:paraId="394C50E3" w14:textId="77777777" w:rsidR="00DD2D8B" w:rsidRPr="00817856" w:rsidRDefault="00DD2D8B" w:rsidP="00DD2D8B">
      <w:pPr>
        <w:pStyle w:val="NormalHanging"/>
      </w:pPr>
      <w:r w:rsidRPr="00817856">
        <w:t>–</w:t>
      </w:r>
      <w:r w:rsidRPr="00817856">
        <w:tab/>
        <w:t>като взе предвид член 55 от своя Правилник за дейността,</w:t>
      </w:r>
    </w:p>
    <w:p w14:paraId="3FC7D773" w14:textId="77777777" w:rsidR="00DD2D8B" w:rsidRPr="00817856" w:rsidRDefault="00DD2D8B" w:rsidP="00DD2D8B">
      <w:pPr>
        <w:pStyle w:val="NormalHanging"/>
      </w:pPr>
      <w:r w:rsidRPr="00817856">
        <w:t>–</w:t>
      </w:r>
      <w:r w:rsidRPr="00817856">
        <w:tab/>
        <w:t>като взе предвид доклада на комисията по външни работи (A10-0230/2025),</w:t>
      </w:r>
    </w:p>
    <w:p w14:paraId="70A13F73" w14:textId="77777777" w:rsidR="00DD2D8B" w:rsidRPr="00817856" w:rsidRDefault="00DD2D8B" w:rsidP="00DD2D8B">
      <w:pPr>
        <w:pStyle w:val="NormalHanging"/>
      </w:pPr>
      <w:r w:rsidRPr="00817856">
        <w:t>А.</w:t>
      </w:r>
      <w:r w:rsidRPr="00817856">
        <w:tab/>
        <w:t>като има предвид, че Саудитска Арабия е ключов двустранен и регионален партньор за ЕС; като има предвид, че е важно да задълбочим това сътрудничество в посока стратегическо партньорство, което има за цел укрепване на двустранните отношения и насърчаване на сътрудничеството в различни сектори, включително на отбраната, културата и иновациите, но преди всичко енергетиката;</w:t>
      </w:r>
    </w:p>
    <w:p w14:paraId="750C1576" w14:textId="77777777" w:rsidR="00DD2D8B" w:rsidRPr="00817856" w:rsidRDefault="00DD2D8B" w:rsidP="00DD2D8B">
      <w:pPr>
        <w:pStyle w:val="NormalHanging"/>
      </w:pPr>
      <w:r w:rsidRPr="00817856">
        <w:t>Б.</w:t>
      </w:r>
      <w:r w:rsidRPr="00817856">
        <w:tab/>
        <w:t>като има предвид, че Саудитска Арабия е 17-ият по големина търговски партньор на ЕС в световен мащаб, а ЕС е най-големият чуждестранен инвеститор в Саудитска Арабия;</w:t>
      </w:r>
    </w:p>
    <w:p w14:paraId="6BA04547" w14:textId="77777777" w:rsidR="00DD2D8B" w:rsidRPr="00817856" w:rsidRDefault="00DD2D8B" w:rsidP="00DD2D8B">
      <w:pPr>
        <w:pStyle w:val="NormalHanging"/>
      </w:pPr>
      <w:r w:rsidRPr="00817856">
        <w:t>В.</w:t>
      </w:r>
      <w:r w:rsidRPr="00817856">
        <w:tab/>
        <w:t>като има предвид, че през последното десетилетие Саудитска Арабия и Китай задълбочиха връзките помежду си в рамките на проекта на Саудитска Арабия „Визия 2030“ и Саудитска Арабия се превърна в най-големия получател на инвестиции по инициативата на Китай „Един пояс, един път“, включително инвестиции в стратегическа инфраструктура като пристанища и цифрови мрежи; като има предвид, че от 2019 г. насам Китай е основният купувач на суров нефт от Саудитска Арабия; като има предвид, че Саудитска Арабия и Китай засилиха сътрудничеството в областта на външната политика, сигурността, енергетиката, търговията и технологиите чрез създаването през 2016 г. на Съвместен комитет на високо равнище, както и на подкомитети;</w:t>
      </w:r>
    </w:p>
    <w:p w14:paraId="7E8EA6E8" w14:textId="77777777" w:rsidR="00DD2D8B" w:rsidRPr="00817856" w:rsidRDefault="00DD2D8B" w:rsidP="00DD2D8B">
      <w:pPr>
        <w:pStyle w:val="NormalHanging"/>
      </w:pPr>
      <w:r w:rsidRPr="00817856">
        <w:lastRenderedPageBreak/>
        <w:t>Г.</w:t>
      </w:r>
      <w:r w:rsidRPr="00817856">
        <w:tab/>
        <w:t>като има предвид, че Саудитска Арабия укрепва отношенията си с Индия, по-специално чрез проекта, носещ наименованието „Икономически коридор Индия – Близък изток – Европа“ (IMEC), който има за цел да подобри свързаността между Азия и Европа през Арабския полуостров;</w:t>
      </w:r>
    </w:p>
    <w:p w14:paraId="41A604B2" w14:textId="77777777" w:rsidR="00DD2D8B" w:rsidRPr="00817856" w:rsidRDefault="00DD2D8B" w:rsidP="00DD2D8B">
      <w:pPr>
        <w:pStyle w:val="NormalHanging"/>
      </w:pPr>
      <w:r w:rsidRPr="00817856">
        <w:t>Д.</w:t>
      </w:r>
      <w:r w:rsidRPr="00817856">
        <w:tab/>
        <w:t>като има предвид, че Саудитска Арабия продължава да утвърждава статута си на регионален посредник и ключов фактор в световен мащаб и е от ключово значение това да става при пълно спазване и насърчаване на правата на човека и международното право;</w:t>
      </w:r>
    </w:p>
    <w:p w14:paraId="190F0898" w14:textId="77777777" w:rsidR="00DD2D8B" w:rsidRPr="00817856" w:rsidRDefault="00DD2D8B" w:rsidP="00DD2D8B">
      <w:pPr>
        <w:pStyle w:val="NormalHanging"/>
      </w:pPr>
      <w:r w:rsidRPr="00817856">
        <w:t>Е.</w:t>
      </w:r>
      <w:r w:rsidRPr="00817856">
        <w:tab/>
        <w:t>като има предвид, че има висящо дело пред Международния съд относно прилагането на Конвенцията за преследване и наказване на престъплението геноцид в ивицата Газа (Южна Африка/Израел), заведено от Южна Африка на 29 декември 2023 г.;</w:t>
      </w:r>
    </w:p>
    <w:p w14:paraId="70C96038" w14:textId="77777777" w:rsidR="00DD2D8B" w:rsidRPr="00817856" w:rsidRDefault="00DD2D8B" w:rsidP="00DD2D8B">
      <w:pPr>
        <w:pStyle w:val="NormalHanging"/>
      </w:pPr>
      <w:r w:rsidRPr="00817856">
        <w:t>Ж.</w:t>
      </w:r>
      <w:r w:rsidRPr="00817856">
        <w:tab/>
        <w:t>като има предвид, че Саудитска Арабия засилва диалога и сътрудничеството с ЕС в областта на правата на човека;</w:t>
      </w:r>
    </w:p>
    <w:p w14:paraId="787D3C9A" w14:textId="77777777" w:rsidR="00DD2D8B" w:rsidRPr="00817856" w:rsidRDefault="00DD2D8B" w:rsidP="00DD2D8B">
      <w:pPr>
        <w:pStyle w:val="NormalHanging"/>
      </w:pPr>
      <w:r w:rsidRPr="00817856">
        <w:t>З.</w:t>
      </w:r>
      <w:r w:rsidRPr="00817856">
        <w:tab/>
        <w:t>като има предвид, че насърчаването на зачитането на правата на човека и международното право във външната политика, включително в търговията, е договорно задължение за ЕС, заложено в членове 3 и 21 от Договора за Европейския съюз;</w:t>
      </w:r>
    </w:p>
    <w:p w14:paraId="778ACE50" w14:textId="77777777" w:rsidR="00DD2D8B" w:rsidRPr="00817856" w:rsidRDefault="00DD2D8B" w:rsidP="00DD2D8B">
      <w:pPr>
        <w:pStyle w:val="NormalHanging"/>
      </w:pPr>
      <w:r w:rsidRPr="00817856">
        <w:t>И.</w:t>
      </w:r>
      <w:r w:rsidRPr="00817856">
        <w:tab/>
        <w:t xml:space="preserve">като има предвид, че Комитетът на ООН за премахване на дискриминацията по отношение на жените, в рамките на своите констатации от октомври 2024 г относно </w:t>
      </w:r>
      <w:proofErr w:type="spellStart"/>
      <w:r w:rsidRPr="00817856">
        <w:t>Садиттска</w:t>
      </w:r>
      <w:proofErr w:type="spellEnd"/>
      <w:r w:rsidRPr="00817856">
        <w:t xml:space="preserve"> Арабия, изрази загриженост относно вкоренените дискриминационни практики, тормоза над жени активисти и въздействието в по-широк план на наказателните мерки, включително прилагането на смъртното наказание;</w:t>
      </w:r>
    </w:p>
    <w:p w14:paraId="2319C255" w14:textId="77777777" w:rsidR="00DD2D8B" w:rsidRPr="00817856" w:rsidRDefault="00DD2D8B" w:rsidP="00DD2D8B">
      <w:pPr>
        <w:pStyle w:val="NormalHanging"/>
      </w:pPr>
      <w:r w:rsidRPr="00817856">
        <w:t>Й.</w:t>
      </w:r>
      <w:r w:rsidRPr="00817856">
        <w:tab/>
        <w:t>като има предвид, че следващата среща на високо равнище между ЕС и ССПЗ, насрочена да се проведе в Рияд през 2026 г., ще бъде от ключово значение за по-нататъшното разширяване на обхвата на отношенията между ЕС и Саудитска Арабия и за засилването на сътрудничеството по ключови въпроси от взаимен интерес;</w:t>
      </w:r>
    </w:p>
    <w:p w14:paraId="2E4106AE" w14:textId="77777777" w:rsidR="00DD2D8B" w:rsidRPr="00817856" w:rsidRDefault="00DD2D8B" w:rsidP="00DD2D8B">
      <w:pPr>
        <w:pStyle w:val="Normal12a"/>
      </w:pPr>
      <w:r w:rsidRPr="00817856">
        <w:rPr>
          <w:i/>
        </w:rPr>
        <w:t>Двустранни</w:t>
      </w:r>
      <w:r w:rsidRPr="00817856">
        <w:t xml:space="preserve"> </w:t>
      </w:r>
      <w:r w:rsidRPr="00817856">
        <w:rPr>
          <w:i/>
        </w:rPr>
        <w:t>отношения между</w:t>
      </w:r>
      <w:r w:rsidRPr="00817856">
        <w:t xml:space="preserve"> </w:t>
      </w:r>
      <w:r w:rsidRPr="00817856">
        <w:rPr>
          <w:i/>
        </w:rPr>
        <w:t>ЕС и Саудитска Арабия</w:t>
      </w:r>
    </w:p>
    <w:p w14:paraId="0FAA05D9" w14:textId="77777777" w:rsidR="00DD2D8B" w:rsidRPr="00817856" w:rsidRDefault="00DD2D8B" w:rsidP="00DD2D8B">
      <w:pPr>
        <w:pStyle w:val="NormalHanging12a"/>
      </w:pPr>
      <w:r w:rsidRPr="00817856">
        <w:t>1.</w:t>
      </w:r>
      <w:r w:rsidRPr="00817856">
        <w:tab/>
        <w:t xml:space="preserve">подчертава положителните контакти между ЕС и ССПЗ, като два от водещите участници в региона на Средиземноморието в по-широк смисъл, по време на първата среща на високо равнище между ЕС и ССПЗ; потвърждава, че ЕС има за цел да засили двустранните връзки с всяка държава партньор от ССПЗ чрез ССП, които включват мерки за преодоляване на настоящата липса на правно обвързваща рамка за двустранни отношения между ЕС и Саудитска Арабия, като се отключи потенциалът за области на по-задълбочено и по-широко сътрудничество, например външната политика и политиката на сигурност, правосъдието и правоприлагането, търговията и инвестициите, енергетиката и климата, цифровата трансформация, околната среда, научните изследвания и иновациите, изкуствения интелект, свързаността, цифровото управление, образованието, културата, младежта и междуличностните контакти, както и за </w:t>
      </w:r>
      <w:r w:rsidRPr="00817856">
        <w:lastRenderedPageBreak/>
        <w:t>гарантиране на реформи в областта на правата на човека и трудовите права в държавите от ССПЗ;</w:t>
      </w:r>
    </w:p>
    <w:p w14:paraId="08AF17FF" w14:textId="77777777" w:rsidR="00DD2D8B" w:rsidRPr="00817856" w:rsidRDefault="00DD2D8B" w:rsidP="00DD2D8B">
      <w:pPr>
        <w:pStyle w:val="NormalHanging12a"/>
      </w:pPr>
      <w:r w:rsidRPr="00817856">
        <w:t>2.</w:t>
      </w:r>
      <w:r w:rsidRPr="00817856">
        <w:tab/>
        <w:t>приветства съгласуването и сътрудничеството между Саудитска Арабия с ЕС в областта на външната политика и политиката на сигурност;</w:t>
      </w:r>
    </w:p>
    <w:p w14:paraId="40385406" w14:textId="77777777" w:rsidR="00DD2D8B" w:rsidRPr="00817856" w:rsidRDefault="00DD2D8B" w:rsidP="00DD2D8B">
      <w:pPr>
        <w:pStyle w:val="NormalHanging12a"/>
      </w:pPr>
      <w:r w:rsidRPr="00817856">
        <w:t>3.</w:t>
      </w:r>
      <w:r w:rsidRPr="00817856">
        <w:tab/>
        <w:t>подчертава потенциала за по-нататъшно икономическо сътрудничество между ЕС и Саудитска Арабия в областта на устойчивата енергия, суровините от критично значение, информационните технологии и предприемачеството, като отбелязва, че икономическото сътрудничество между ЕС и Саудитска Арабия е крайъгълният камък на двустранните отношения; призовава за засилено сътрудничество между ЕС и Саудитска Арабия в тези области; подкрепя спазването от страна на Саудитска Арабия на законодателството на ЕС относно надлежната проверка при сключването на икономически или бизнес сделки, включващи дружества, притежавани от или свързани с Публичния инвестиционен фонд на Саудитска Арабия;</w:t>
      </w:r>
    </w:p>
    <w:p w14:paraId="4BFC4179" w14:textId="77777777" w:rsidR="00DD2D8B" w:rsidRPr="00817856" w:rsidRDefault="00DD2D8B" w:rsidP="00DD2D8B">
      <w:pPr>
        <w:pStyle w:val="NormalHanging12a"/>
      </w:pPr>
      <w:r w:rsidRPr="00817856">
        <w:t>4.</w:t>
      </w:r>
      <w:r w:rsidRPr="00817856">
        <w:tab/>
        <w:t>подчертава, че задълбочаването на сътрудничеството между ЕС и Саудитска Арабия в областта на енергетиката и търговията следва да засили стратегическата автономност на ЕС чрез диверсифициране в краткосрочен план на надеждните източници на доставки на енергия; подчертава, че макар Саудитска Арабия да продължава да бъде ключов глобален участник на пазарите на изкопаеми източници на енергия, тя също така е поела по пътя на диверсификация и устойчивост, като инвестира в енергия от възобновяеми източници, по-специално в широкомащабни проекти за слънчева енергия и водород; отбелязва, че сега Саудитска Арабия се нарежда сред 10-те най-големи пазара за съхранение на енергия в света, което допълнително засилва водещата ѝ роля в областта на енергията от възобновяеми източници; подчертава, че мобилизирането на огромния потенциал на Саудитска Арабия за слънчева енергия, в комбинация с авангардните технологии на ЕС за енергия от възобновяеми източници, може да осигури възможност за съвместни инициативи в областта на „зеления“ водород, устойчивите горива и енергийната инфраструктура от следващо поколение;</w:t>
      </w:r>
    </w:p>
    <w:p w14:paraId="276889E3" w14:textId="77777777" w:rsidR="00DD2D8B" w:rsidRPr="00817856" w:rsidRDefault="00DD2D8B" w:rsidP="00DD2D8B">
      <w:pPr>
        <w:pStyle w:val="NormalHanging12a"/>
      </w:pPr>
      <w:r w:rsidRPr="00817856">
        <w:t>5.</w:t>
      </w:r>
      <w:r w:rsidRPr="00817856">
        <w:tab/>
        <w:t>отново потвърждава, че ЕС е поел ангажимент да подкрепя стремежа на Саудитска Арабия към социално-икономическа диверсификация и реформи, включително насърчаването на устойчивото развитие;</w:t>
      </w:r>
    </w:p>
    <w:p w14:paraId="707E9584" w14:textId="77777777" w:rsidR="00DD2D8B" w:rsidRPr="00817856" w:rsidRDefault="00DD2D8B" w:rsidP="00DD2D8B">
      <w:pPr>
        <w:pStyle w:val="NormalHanging12a"/>
      </w:pPr>
      <w:r w:rsidRPr="00817856">
        <w:t>6.</w:t>
      </w:r>
      <w:r w:rsidRPr="00817856">
        <w:tab/>
        <w:t xml:space="preserve">отново потвърждава, че ЕС продължава да бъде ангажиран с постигането на напредък по учредяването на безопасен и взаимно изгоден безвизов режим на пътуване с петте останали държави от ССПЗ, така че да се гарантира еднаквото им третиране, който може да бъде подложен на оценка в контекста на новата визова стратегия на ЕС; отбелязва значителното икономическо значение на туристите от Саудитска Арабия за държавите – членки на Европейския съюз, по-специално за подпомагането на ключови сектори като хотелиерството и ресторантьорството, търговията на дребно и сектора на културата; подчертава, че гражданите на Саудитска Арабия не са източник на натиск от незаконна </w:t>
      </w:r>
      <w:r w:rsidRPr="00817856">
        <w:lastRenderedPageBreak/>
        <w:t>миграция</w:t>
      </w:r>
      <w:r w:rsidRPr="00817856">
        <w:rPr>
          <w:rStyle w:val="FootnoteReference"/>
        </w:rPr>
        <w:footnoteReference w:customMarkFollows="1" w:id="4"/>
        <w:t>4</w:t>
      </w:r>
      <w:r w:rsidRPr="00817856">
        <w:t>, и поради това приканва Комисията и държавите членки да разгледат възможността да въведат освобождаване от изискването за шенгенски визи, след като бъде гарантиран каскадният механизъм, с цел улесняване на туризма, засилване на междуличностните контакти и по-нататъшно укрепване на икономическите и културните връзки между ЕС и Саудитска Арабия;</w:t>
      </w:r>
    </w:p>
    <w:p w14:paraId="433AD0CE" w14:textId="77777777" w:rsidR="00DD2D8B" w:rsidRPr="00817856" w:rsidRDefault="00DD2D8B" w:rsidP="00DD2D8B">
      <w:pPr>
        <w:pStyle w:val="NormalHanging12a"/>
      </w:pPr>
      <w:r w:rsidRPr="00817856">
        <w:t>7.</w:t>
      </w:r>
      <w:r w:rsidRPr="00817856">
        <w:tab/>
        <w:t xml:space="preserve">призовава ЕС да улесни допълнително регулаторното сътрудничество, което ще подпомогне усилията на Саудитска Арабия да установи правила и процедури за успешна диверсификация в енергетиката и социално-икономическа реформа; насърчава по-силни партньорства между образователни и научноизследователски субекти от ЕС и Саудитска Арабия, включително чрез програми като „Еразмус </w:t>
      </w:r>
      <w:proofErr w:type="spellStart"/>
      <w:r w:rsidRPr="00817856">
        <w:t>Мундус</w:t>
      </w:r>
      <w:proofErr w:type="spellEnd"/>
      <w:r w:rsidRPr="00817856">
        <w:t>“ и „Хоризонт Европа“; подчертава колко е важно да се създадат необходимите условия за по-голяма мобилност на студентите; изтъква как увеличаването на възможностите за обмен за младите хора ще допринесе значително за консолидирането на отношенията между ЕС, Саудитска Арабия и региона на Персийския залив като цяло;</w:t>
      </w:r>
    </w:p>
    <w:p w14:paraId="42693F62" w14:textId="77777777" w:rsidR="00DD2D8B" w:rsidRPr="00817856" w:rsidRDefault="00DD2D8B" w:rsidP="00DD2D8B">
      <w:pPr>
        <w:pStyle w:val="Normal12a"/>
      </w:pPr>
      <w:r w:rsidRPr="00817856">
        <w:rPr>
          <w:i/>
        </w:rPr>
        <w:t>Приоритети за</w:t>
      </w:r>
      <w:r w:rsidRPr="00817856">
        <w:t xml:space="preserve"> </w:t>
      </w:r>
      <w:r w:rsidRPr="00817856">
        <w:rPr>
          <w:i/>
        </w:rPr>
        <w:t>Саудитска Арабия</w:t>
      </w:r>
      <w:r w:rsidRPr="00817856">
        <w:t xml:space="preserve"> </w:t>
      </w:r>
      <w:r w:rsidRPr="00817856">
        <w:rPr>
          <w:i/>
        </w:rPr>
        <w:t>в областта на външната политика и възможности за ЕС</w:t>
      </w:r>
    </w:p>
    <w:p w14:paraId="5AB1768E" w14:textId="77777777" w:rsidR="00DD2D8B" w:rsidRPr="00817856" w:rsidRDefault="00DD2D8B" w:rsidP="00DD2D8B">
      <w:pPr>
        <w:pStyle w:val="NormalHanging12a"/>
      </w:pPr>
      <w:r w:rsidRPr="00817856">
        <w:t>8.</w:t>
      </w:r>
      <w:r w:rsidRPr="00817856">
        <w:tab/>
        <w:t>приветства нарастващото значение на Саудитска Арабия като дипломатически фактор и нейния значителен принос за регионалната и световната стабилност, особено в контекста на настоящата война в Газа, както и по отношение на неотдавнашните събития в Сирия, Ливан, Йемен, Червено море и Судан;</w:t>
      </w:r>
    </w:p>
    <w:p w14:paraId="651E0B43" w14:textId="77777777" w:rsidR="00DD2D8B" w:rsidRPr="00817856" w:rsidRDefault="00DD2D8B" w:rsidP="00DD2D8B">
      <w:pPr>
        <w:pStyle w:val="NormalHanging12a"/>
      </w:pPr>
      <w:r w:rsidRPr="00817856">
        <w:t>9.</w:t>
      </w:r>
      <w:r w:rsidRPr="00817856">
        <w:tab/>
        <w:t>призовава за засилено сътрудничество в областта на външната политика и сигурността с оглед на ескалацията в региона; подчертава, че както в съвместното съобщение относно стратегическо партньорство с Персийския залив, така и в бъдещото ССП се призовава за по-тясно сътрудничество в областта на политиката и сигурността; подчертава, че това сътрудничество трябва да се основава на споделен ангажимент за спазване на международното право, включително правата на човека, международното хуманитарно право и Устава на ООН; изразява подкрепата си за решението на Съвета от юли 2025 г., с което упълномощава Европейската комисия и върховния представител на ЕС по въпросите на външните работи и политиката на сигурност да започнат преговори за установяване на ССП с Кралство Саудитска Арабия; признава, че тази инициатива представлява ключова възможност за постигане на напредък по стратегическите интереси на ЕС, насърчаване на регионалната стабилност и засилване на сътрудничеството в областта на енергетиката и сигурността; призовава за силна и активна ангажираност на двете страни по време на целия процес на преговори, за да се гарантира бързото му и навременно приключване; подчертава, че засиленото сътрудничество със Саудитска Арабия следва също така да служи за укрепване на споделените ангажименти за мир и стабилност и за защита на многостранната, основана на правила система;</w:t>
      </w:r>
    </w:p>
    <w:p w14:paraId="4CA2F5D6" w14:textId="77777777" w:rsidR="00DD2D8B" w:rsidRPr="00817856" w:rsidRDefault="00DD2D8B" w:rsidP="00DD2D8B">
      <w:pPr>
        <w:pStyle w:val="NormalHanging12a"/>
      </w:pPr>
      <w:r w:rsidRPr="00817856">
        <w:lastRenderedPageBreak/>
        <w:t>10.</w:t>
      </w:r>
      <w:r w:rsidRPr="00817856">
        <w:tab/>
        <w:t>подчертава важната дипломатическа роля на Саудитска Арабия, по-специално за подкрепата на намаляване на напрежението в Йемен, укрепване на морската сигурност в Червено море, организиране на преговори относно Украйна и улесняване на диалога относно Судан, като по този начин се допринася конструктивно за регионалната и международната стабилност;</w:t>
      </w:r>
    </w:p>
    <w:p w14:paraId="22BDED2F" w14:textId="77777777" w:rsidR="00DD2D8B" w:rsidRPr="00817856" w:rsidRDefault="00DD2D8B" w:rsidP="00DD2D8B">
      <w:pPr>
        <w:pStyle w:val="NormalHanging12a"/>
      </w:pPr>
      <w:r w:rsidRPr="00817856">
        <w:t>11.</w:t>
      </w:r>
      <w:r w:rsidRPr="00817856">
        <w:tab/>
        <w:t>призовава Саудитска Арабия да продължи сътрудничеството си с ЕС в областта на борбата с тероризма и предотвратяването на радикализацията, които трябва да се провеждат в съответствие с международните стандарти в областта на правата на човека;; подчертава колко е важно широкообхватното съгласуване между ЕС и Саудитска Арабия в тези области;</w:t>
      </w:r>
    </w:p>
    <w:p w14:paraId="6B40E0C4" w14:textId="77777777" w:rsidR="00DD2D8B" w:rsidRPr="00817856" w:rsidRDefault="00DD2D8B" w:rsidP="00DD2D8B">
      <w:pPr>
        <w:pStyle w:val="NormalHanging12a"/>
      </w:pPr>
      <w:r w:rsidRPr="00817856">
        <w:t>12.</w:t>
      </w:r>
      <w:r w:rsidRPr="00817856">
        <w:tab/>
        <w:t>признава усилията на Саудитска Арабия да насърчава намаляването на напрежението във връзка с военните операции на Израел в Газа; припомня своята позиция, изразена в резолюцията на Парламента от 11 септември 2025 г. относно „Ивицата Газа на ръба на пълен срив: действията на ЕС за борба с масовия глад и неотложната необходимост да се освободят заложниците и да се премине към осъществяване на решението за две държави“</w:t>
      </w:r>
      <w:r w:rsidRPr="00817856">
        <w:rPr>
          <w:rStyle w:val="FootnoteReference"/>
        </w:rPr>
        <w:footnoteReference w:customMarkFollows="1" w:id="5"/>
        <w:t>5</w:t>
      </w:r>
      <w:r w:rsidRPr="00817856">
        <w:t>, и приветства Декларацията от Ню Йорк за мирно уреждане на въпроса за Палестина и прилагане на решението за две държави от 29 юли 2025 г., както и нейното одобряване от Общото събрание на ООН на 12 септември 2025 г.;</w:t>
      </w:r>
    </w:p>
    <w:p w14:paraId="32FB9DFD" w14:textId="77777777" w:rsidR="00DD2D8B" w:rsidRPr="00817856" w:rsidRDefault="00DD2D8B" w:rsidP="00DD2D8B">
      <w:pPr>
        <w:pStyle w:val="NormalHanging12a"/>
      </w:pPr>
      <w:r w:rsidRPr="00817856">
        <w:t>13.</w:t>
      </w:r>
      <w:r w:rsidRPr="00817856">
        <w:tab/>
        <w:t xml:space="preserve">признава усилията, които полагат Израел и някои други арабски държави за нормализиране на дипломатическите отношения с Израел съгласно </w:t>
      </w:r>
      <w:proofErr w:type="spellStart"/>
      <w:r w:rsidRPr="00817856">
        <w:t>Авраамовите</w:t>
      </w:r>
      <w:proofErr w:type="spellEnd"/>
      <w:r w:rsidRPr="00817856">
        <w:t xml:space="preserve"> споразумения от 2020 г.; призовава ЕС да подкрепя инициативи, насочени към изграждане на широка регионална и международна подкрепа за по-добро бъдеще на арабско-израелските отношения в съответствие с рамката на ЕС за приетото решение за две държави с цел да се насърчава регионалната стабилност;</w:t>
      </w:r>
    </w:p>
    <w:p w14:paraId="79E8C434" w14:textId="77777777" w:rsidR="00DD2D8B" w:rsidRPr="00817856" w:rsidRDefault="00DD2D8B" w:rsidP="00DD2D8B">
      <w:pPr>
        <w:pStyle w:val="NormalHanging12a"/>
      </w:pPr>
      <w:r w:rsidRPr="00817856">
        <w:t>14.</w:t>
      </w:r>
      <w:r w:rsidRPr="00817856">
        <w:tab/>
        <w:t>приветства значителните дипломатически и финансови контакти на Саудитска Арабия в Сирия, включително чрез регионални консултации, както и усилията в по-широк план за стабилизиране и възстановяване; призовава Саудитска Арабия и нейните партньори в региона да подпомогнат преходното сирийско правителство при създаването на трайни и приобщаващи политически структури и структури за сигурност; подчертава колко е важно да се запазят суверенитетът и териториалната цялост на Сирия, както и участието и защитата на сирийските малцинства; призовава за засилено сътрудничество между ЕС и Саудитска Арабия, за да се работи за мирен и приобщаващ преход в Сирия и да се защитят християните и всички общности в Сирия, като се гарантира тяхната безопасност и религиозна свобода, както и опазването на културното им наследство;</w:t>
      </w:r>
    </w:p>
    <w:p w14:paraId="71BC022A" w14:textId="77777777" w:rsidR="00DD2D8B" w:rsidRPr="00817856" w:rsidRDefault="00DD2D8B" w:rsidP="00DD2D8B">
      <w:pPr>
        <w:pStyle w:val="NormalHanging12a"/>
      </w:pPr>
      <w:r w:rsidRPr="00817856">
        <w:t>15.</w:t>
      </w:r>
      <w:r w:rsidRPr="00817856">
        <w:tab/>
        <w:t xml:space="preserve">отново потвърждава подкрепата на ЕС за политическото и социално-икономическото възстановяване на Ливан и подчертава колко е важно сътрудничеството между ЕС и Саудитска Арабия за изпълнението на Резолюция 1701 (2006) на Съвета за сигурност на ООН в подкрепа на ливанските въоръжени сили; приветства усилията на ливанското правителство и призовава за разоръжаването на </w:t>
      </w:r>
      <w:proofErr w:type="spellStart"/>
      <w:r w:rsidRPr="00817856">
        <w:t>Хизбула</w:t>
      </w:r>
      <w:proofErr w:type="spellEnd"/>
      <w:r w:rsidRPr="00817856">
        <w:t xml:space="preserve">; отново подчертава, че е важно всички държави от региона да зачитат суверенитета и териториалната цялост на Ливан, като </w:t>
      </w:r>
      <w:r w:rsidRPr="00817856">
        <w:lastRenderedPageBreak/>
        <w:t>същевременно призовава всички страни да пазят мироопазващите сили на временните сили на ООН в Ливан (UNIFIL);</w:t>
      </w:r>
    </w:p>
    <w:p w14:paraId="54ABE816" w14:textId="77777777" w:rsidR="00DD2D8B" w:rsidRPr="00817856" w:rsidRDefault="00DD2D8B" w:rsidP="00DD2D8B">
      <w:pPr>
        <w:pStyle w:val="NormalHanging12a"/>
      </w:pPr>
      <w:r w:rsidRPr="00817856">
        <w:t>16.</w:t>
      </w:r>
      <w:r w:rsidRPr="00817856">
        <w:tab/>
        <w:t>признава конструктивната роля на Саудитска Арабия на фона на настоящото напрежение в региона, засиленото сътрудничество между Саудитска Арабия и ОАЕ и постепенното нормализиране на дипломатическите отношения с Иран; подчертава съгласуването между ЕС и Саудитска Арабия при ограничаването на иранските марионетни сили и спирането на по-нататъшното разработване на иранската ядрена програма;</w:t>
      </w:r>
    </w:p>
    <w:p w14:paraId="61F3844F" w14:textId="77777777" w:rsidR="00DD2D8B" w:rsidRPr="00817856" w:rsidRDefault="00DD2D8B" w:rsidP="00DD2D8B">
      <w:pPr>
        <w:pStyle w:val="NormalHanging12a"/>
      </w:pPr>
      <w:r w:rsidRPr="00817856">
        <w:t>17.</w:t>
      </w:r>
      <w:r w:rsidRPr="00817856">
        <w:tab/>
        <w:t>подчертава споделения приоритет на ЕС и Саудитска Арабия за установяване на траен мир в Йемен и приветства трайния ангажимент на Саудитска Арабия за постигане на приобщаващо политическо решение в Йемен; призовава Саудитска Арабия да подкрепи независим международен механизъм за разследване на нарушенията на международното хуманитарно право в Йемен в периода между 2015 г. и 2022 г.; насърчава увеличаването на хуманитарната помощ от ЕС и Саудитска Арабия за Йемен и съвместните усилия на двете страни за противодействие на атаките срещу хуманитарни работници;</w:t>
      </w:r>
    </w:p>
    <w:p w14:paraId="5627AF41" w14:textId="77777777" w:rsidR="00DD2D8B" w:rsidRPr="00817856" w:rsidRDefault="00DD2D8B" w:rsidP="00DD2D8B">
      <w:pPr>
        <w:pStyle w:val="NormalHanging12a"/>
      </w:pPr>
      <w:r w:rsidRPr="00817856">
        <w:t>18.</w:t>
      </w:r>
      <w:r w:rsidRPr="00817856">
        <w:tab/>
        <w:t xml:space="preserve">приветства преговорите с посредничеството на ООН, проведени в Рияд през януари 2025 г., за създаване на пътна карта за приобщаващ мир в Йемен, които доведоха до напредък относно сроковете за разоръжаване на </w:t>
      </w:r>
      <w:proofErr w:type="spellStart"/>
      <w:r w:rsidRPr="00817856">
        <w:t>хутите</w:t>
      </w:r>
      <w:proofErr w:type="spellEnd"/>
      <w:r w:rsidRPr="00817856">
        <w:t>; отбелязва, че те продължават да зависят от икономическата помощ на Саудитска Арабия;</w:t>
      </w:r>
    </w:p>
    <w:p w14:paraId="4B7B2150" w14:textId="77777777" w:rsidR="00DD2D8B" w:rsidRPr="00817856" w:rsidRDefault="00DD2D8B" w:rsidP="00DD2D8B">
      <w:pPr>
        <w:pStyle w:val="NormalHanging12a"/>
      </w:pPr>
      <w:r w:rsidRPr="00817856">
        <w:t>19.</w:t>
      </w:r>
      <w:r w:rsidRPr="00817856">
        <w:tab/>
        <w:t>подчертава непоколебимия ангажимент на ЕС да гарантира защитата на морските маршрути и международните права за корабоплаване в Червено море; подчертава ангажимента на Саудитска Арабия по отношение на морската сигурност и призовава за по-тясно политическо сътрудничество и сътрудничество в областта на разузнаването с военноморската операция ASPIDES на ЕС и в по-широк план с държавите – членки на ЕС;</w:t>
      </w:r>
    </w:p>
    <w:p w14:paraId="4DB9C597" w14:textId="77777777" w:rsidR="00DD2D8B" w:rsidRPr="00817856" w:rsidRDefault="00DD2D8B" w:rsidP="00DD2D8B">
      <w:pPr>
        <w:pStyle w:val="NormalHanging12a"/>
      </w:pPr>
      <w:r w:rsidRPr="00817856">
        <w:t>20.</w:t>
      </w:r>
      <w:r w:rsidRPr="00817856">
        <w:tab/>
        <w:t>приветства участието на Саудитска Арабия като домакин на преговорите за прекратяване на огъня във войната в Украйна; настоятелно призовава Саудитска Арабия да си сътрудничи по-тясно със своите партньори в подкрепа на санкциите срещу Руската федерация и да предприеме мерки, с които да се помогне за прекратяване на дейността на руския сенчести флот;</w:t>
      </w:r>
    </w:p>
    <w:p w14:paraId="6ADE0F4A" w14:textId="77777777" w:rsidR="00DD2D8B" w:rsidRPr="00817856" w:rsidRDefault="00DD2D8B" w:rsidP="00DD2D8B">
      <w:pPr>
        <w:pStyle w:val="NormalHanging12a"/>
      </w:pPr>
      <w:r w:rsidRPr="00817856">
        <w:t>21.</w:t>
      </w:r>
      <w:r w:rsidRPr="00817856">
        <w:tab/>
        <w:t>отбелязва ангажимента на Саудитска Арабия да инвестира 600 милиарда щатски долара в Съединените щати, който включва споразумение в областта на отбраната и стратегическо сътрудничество в областта на нововъзникващите технологии;</w:t>
      </w:r>
    </w:p>
    <w:p w14:paraId="63FD7720" w14:textId="77777777" w:rsidR="00DD2D8B" w:rsidRPr="00817856" w:rsidRDefault="00DD2D8B" w:rsidP="00DD2D8B">
      <w:pPr>
        <w:pStyle w:val="NormalHanging12a"/>
      </w:pPr>
      <w:r w:rsidRPr="00817856">
        <w:t>22.</w:t>
      </w:r>
      <w:r w:rsidRPr="00817856">
        <w:tab/>
        <w:t xml:space="preserve">признава ролята на Саудитска Арабия за насърчаването на многостранното сътрудничество, включително чрез нарастващата ѝ ангажираност в Африка, по-специално Сахел, и в Азия; призовава за по-тясна координация между ЕС и Саудитска Арабия в областта на енергийното сътрудничество, междурегионалното развитие на инфраструктурата, изграждането на капацитет, развитието на човешкия капитал, финансовите инструменти и инвестиционните механизми на африканския континент; подчертава колко е важно интегрирането на ръководени от Саудитска Арабия проекти в рамките на ЕС, включително в инициативата </w:t>
      </w:r>
      <w:proofErr w:type="spellStart"/>
      <w:r w:rsidRPr="00817856">
        <w:t>Global</w:t>
      </w:r>
      <w:proofErr w:type="spellEnd"/>
      <w:r w:rsidRPr="00817856">
        <w:t xml:space="preserve"> </w:t>
      </w:r>
      <w:proofErr w:type="spellStart"/>
      <w:r w:rsidRPr="00817856">
        <w:t>Gateway</w:t>
      </w:r>
      <w:proofErr w:type="spellEnd"/>
      <w:r w:rsidRPr="00817856">
        <w:t>;</w:t>
      </w:r>
    </w:p>
    <w:p w14:paraId="0DD00089" w14:textId="77777777" w:rsidR="00DD2D8B" w:rsidRPr="00817856" w:rsidRDefault="00DD2D8B" w:rsidP="00DD2D8B">
      <w:pPr>
        <w:pStyle w:val="NormalHanging12a"/>
      </w:pPr>
      <w:r w:rsidRPr="00817856">
        <w:lastRenderedPageBreak/>
        <w:t>23.</w:t>
      </w:r>
      <w:r w:rsidRPr="00817856">
        <w:tab/>
        <w:t>отбелязва, че Саудитска Арабия е официално поканена за член на групата държави от БРИКЮ; отбелязва, че контактите на Саудитска Арабия с БРИКЮ отразяват тенденция към диверсифицирани съюзи; призовава ЕС да поддържа конструктивни отношения със Саудитска Арабия в рамките на многостранни форуми с цел защита на взаимните търговски и инвестиционни интереси;</w:t>
      </w:r>
    </w:p>
    <w:p w14:paraId="7FB14F8C" w14:textId="77777777" w:rsidR="00DD2D8B" w:rsidRPr="00817856" w:rsidRDefault="00DD2D8B" w:rsidP="00DD2D8B">
      <w:pPr>
        <w:pStyle w:val="NormalHanging12a"/>
      </w:pPr>
      <w:r w:rsidRPr="00817856">
        <w:t>24.</w:t>
      </w:r>
      <w:r w:rsidRPr="00817856">
        <w:tab/>
        <w:t>отбелязва укрепването на двустранните отношения между Саудитска Арабия и Турция, по-специално в областта на сигурността и на отбраната; призовава Саудитска Арабия да използва тези отношения, за да убеди Турция да даде конструктивен принос за близкоизточния мирен процес, като признае Хамас за терористична организация и прекрати политическата, икономическата и логистичната подкрепа;</w:t>
      </w:r>
    </w:p>
    <w:p w14:paraId="5045AE83" w14:textId="77777777" w:rsidR="00DD2D8B" w:rsidRPr="00817856" w:rsidRDefault="00DD2D8B" w:rsidP="00DD2D8B">
      <w:pPr>
        <w:pStyle w:val="NormalHanging12a"/>
      </w:pPr>
      <w:r w:rsidRPr="00817856">
        <w:t>25.</w:t>
      </w:r>
      <w:r w:rsidRPr="00817856">
        <w:tab/>
        <w:t>приветства последователната позиция на Саудитска Арабия по отношение на квалифицирането на Мюсюлмански братя като терористична организация и призовава ЕС и неговите държави членки да последват този пример и да признаят Мюсюлмански братя за терористична организация;</w:t>
      </w:r>
    </w:p>
    <w:p w14:paraId="1C44ACC9" w14:textId="77777777" w:rsidR="00DD2D8B" w:rsidRPr="00817856" w:rsidRDefault="00DD2D8B" w:rsidP="00DD2D8B">
      <w:pPr>
        <w:pStyle w:val="Normal12a"/>
      </w:pPr>
      <w:r w:rsidRPr="00817856">
        <w:rPr>
          <w:i/>
        </w:rPr>
        <w:t>Социално-икономическа</w:t>
      </w:r>
      <w:r w:rsidRPr="00817856">
        <w:t xml:space="preserve"> </w:t>
      </w:r>
      <w:r w:rsidRPr="00817856">
        <w:rPr>
          <w:i/>
        </w:rPr>
        <w:t>трансформация на</w:t>
      </w:r>
      <w:r w:rsidRPr="00817856">
        <w:t xml:space="preserve"> </w:t>
      </w:r>
      <w:r w:rsidRPr="00817856">
        <w:rPr>
          <w:i/>
        </w:rPr>
        <w:t>Саудитска Арабия</w:t>
      </w:r>
      <w:r w:rsidRPr="00817856">
        <w:t xml:space="preserve"> </w:t>
      </w:r>
      <w:r w:rsidRPr="00817856">
        <w:rPr>
          <w:i/>
        </w:rPr>
        <w:t>и възможности за ЕС</w:t>
      </w:r>
    </w:p>
    <w:p w14:paraId="11A562A7" w14:textId="77777777" w:rsidR="00DD2D8B" w:rsidRPr="00817856" w:rsidRDefault="00DD2D8B" w:rsidP="00DD2D8B">
      <w:pPr>
        <w:pStyle w:val="NormalHanging12a"/>
      </w:pPr>
      <w:r w:rsidRPr="00817856">
        <w:t>26.</w:t>
      </w:r>
      <w:r w:rsidRPr="00817856">
        <w:tab/>
        <w:t>приветства амбициозните планове на Саудитска Арабия в рамките на „Визия 2030“, в които се очертава значима социално-икономическа реформа за модернизиране на страната и нейните институции, както и за диверсифициране на икономиката;</w:t>
      </w:r>
    </w:p>
    <w:p w14:paraId="10C66D06" w14:textId="77777777" w:rsidR="00DD2D8B" w:rsidRPr="00817856" w:rsidRDefault="00DD2D8B" w:rsidP="00DD2D8B">
      <w:pPr>
        <w:pStyle w:val="NormalHanging12a"/>
      </w:pPr>
      <w:r w:rsidRPr="00817856">
        <w:t>27.</w:t>
      </w:r>
      <w:r w:rsidRPr="00817856">
        <w:tab/>
        <w:t>призовава Саудитска Арабия да преустрои своите енергийни структури и да премине към енергия от възобновяеми източници и „чист“ водород като част от плановете си „Визия 2030“; призовава Саудитска Арабия да се придържа към ангажиментите си по Парижкото споразумение и в съответствие с експертното становище на ООН; отбелязва, че ЕС е готов да си сътрудничи с партньорите от Саудитска Арабия по проекти за постигане на напредък по екологичните цели на двата региона; подчертава ангажимента на Кралство Саудитска Арабия към енергийния преход, като припомня обещанието му до 2060 г. да постигне нулеви нетни емисии, а до 2030 г. да произвежда 50% от електроенергията си от възобновяеми източници; приветства в този контекст водещия проект на Саудитска Арабия за производство на четири милиона тона „чист“ водород годишно до 2030 г.;</w:t>
      </w:r>
    </w:p>
    <w:p w14:paraId="2751362E" w14:textId="77777777" w:rsidR="00DD2D8B" w:rsidRPr="00817856" w:rsidRDefault="00DD2D8B" w:rsidP="00DD2D8B">
      <w:pPr>
        <w:pStyle w:val="NormalHanging12a"/>
      </w:pPr>
      <w:r w:rsidRPr="00817856">
        <w:t>28.</w:t>
      </w:r>
      <w:r w:rsidRPr="00817856">
        <w:tab/>
        <w:t>подчертава ролята на Саудитска Арабия като все по-важен участник във веригите за доставки на полезни изкопаеми и нейните усилия да постигне съответствие с най-добрите международни практики; подчертава, че разширяването на обхвата на сътрудничеството между ЕС и Саудитска Арабия в тази област ще бъде от ключово значение за по-нататъшното консолидиране на стратегията на ЕС за намаляване на риска в това отношение и за стремежа му да диверсифицира доставките си на суровини;</w:t>
      </w:r>
    </w:p>
    <w:p w14:paraId="7198429F" w14:textId="77777777" w:rsidR="00DD2D8B" w:rsidRPr="00817856" w:rsidRDefault="00DD2D8B" w:rsidP="00DD2D8B">
      <w:pPr>
        <w:pStyle w:val="NormalHanging12a"/>
      </w:pPr>
      <w:r w:rsidRPr="00817856">
        <w:t>29.</w:t>
      </w:r>
      <w:r w:rsidRPr="00817856">
        <w:tab/>
        <w:t>признава, че Саудитска Арабия е постигнала напредък в усилията за справяне с високото си равнище на младежка безработица, като я е понижила от 35,01% през 2006 г. на 16% през 2023 г.; препоръчва Саудитска Арабия да продължи да отдава приоритет на този въпрос;</w:t>
      </w:r>
    </w:p>
    <w:p w14:paraId="7940CBA3" w14:textId="77777777" w:rsidR="00DD2D8B" w:rsidRPr="00817856" w:rsidRDefault="00DD2D8B" w:rsidP="00DD2D8B">
      <w:pPr>
        <w:pStyle w:val="NormalHanging12a"/>
      </w:pPr>
      <w:r w:rsidRPr="00817856">
        <w:lastRenderedPageBreak/>
        <w:t>30.</w:t>
      </w:r>
      <w:r w:rsidRPr="00817856">
        <w:tab/>
        <w:t>приветства подхода на органите на Саудитска Арабия за възприемане на по-голяма толерантност и отдалечаване от рестриктивните религиозни политики; отбелязва пряката връзка между толерантността и устойчивия икономически растеж, като подчертава, че с отварянето и приобщаването се насърчават условия за иновации, инвестиции и социален напредък; приветства положителните реформи на учебните програми, извършени в Саудитска Арабия, включително по-специално премахването на дискриминационното религиозно съдържание, като насърчава постигането на още по-голям напредък в тази насока; насърчава Саудитска Арабия да продължи тези реформи;</w:t>
      </w:r>
    </w:p>
    <w:p w14:paraId="45D13269" w14:textId="77777777" w:rsidR="00DD2D8B" w:rsidRPr="00817856" w:rsidRDefault="00DD2D8B" w:rsidP="00DD2D8B">
      <w:pPr>
        <w:pStyle w:val="NormalHanging12a"/>
      </w:pPr>
      <w:r w:rsidRPr="00817856">
        <w:t>31.</w:t>
      </w:r>
      <w:r w:rsidRPr="00817856">
        <w:tab/>
        <w:t>подчертава значителния напредък, постигнат от Саудитска Арабия по отношение на участието на жените в работната сила, което се е увеличило до 36 %, както и факта, че на жените е предоставено правото да управляват моторни превозни средства и да пътуват без мъжко настойничество; подчертава, че участието на жените в работната сила в Саудитска Арабия се е увеличило повече от два пъти от 2017 г. насам; отбелязва, че понастоящем в Саудитска Арабия жени притежават 45% от малките и средните предприятия (МСП) и 17% от всички предприятия; счита, че тези промени отразяват въздействието на правните реформи, въведени от 2018 г. насам, включително отмяната на забраната за управление на моторни превозни средства</w:t>
      </w:r>
      <w:r w:rsidRPr="00817856">
        <w:rPr>
          <w:rStyle w:val="FootnoteReference"/>
        </w:rPr>
        <w:footnoteReference w:customMarkFollows="1" w:id="6"/>
        <w:t>6</w:t>
      </w:r>
      <w:r w:rsidRPr="00817856">
        <w:t>, приемането на закон за борба с тормоза и новите разпоредби относно гражданското състояние, с които минималната възраст за сключване на брак се повишава на 18 години и се укрепва автономността на жените; подчертава тези постижения и насърчава продължаването на реформите, насочени към по-нататъшно развитие на правата на жените и участието им в обществения живот, като понастоящем жените представляват 41% от държавната администрация (включително висши дипломатически длъжности) и 20% от членовете на Съвета „Шура“, и вече е факт първата жена от арабски мюсюлмански произход, пътувала в космоса; отбелязва, че въпреки напредъка продължават да съществуват предизвикателства, включително по отношение на Закона за гражданското състояние и неравенството между мъжете и жените в брака, развода, попечителството над деца, наследяването и правата на собственост;</w:t>
      </w:r>
    </w:p>
    <w:p w14:paraId="0587CC47" w14:textId="77777777" w:rsidR="00DD2D8B" w:rsidRPr="00817856" w:rsidRDefault="00DD2D8B" w:rsidP="00DD2D8B">
      <w:pPr>
        <w:pStyle w:val="NormalHanging12a"/>
      </w:pPr>
      <w:r w:rsidRPr="00817856">
        <w:t>32.</w:t>
      </w:r>
      <w:r w:rsidRPr="00817856">
        <w:tab/>
        <w:t>отбелязва, че Саудитска Арабия стартира поредица от амбициозни инфраструктурни проекти преди предстоящото домакинство на изложението EXPO 2030 и на Световното първенство по футбол на ФИФА през 2034 г.; разчита на способността на правителството на Саудитска Арабия да гарантира правата на работниците на свободно сдружаване и подчертава, че продължават да съществуват опасения относно третирането и правата на работниците, както и относно смъртността сред мигрантите вследствие на злополуки, свързани с работното място, в Саудитска Арабия; признава реформите, въведени в рамките на инициативата на Саудитска Арабия за трудова реформа, като същевременно призовава Саудитска Арабия да гарантира пълното прилагане на премахването през 2025 г. на системата за спонсорство „</w:t>
      </w:r>
      <w:proofErr w:type="spellStart"/>
      <w:r w:rsidRPr="00817856">
        <w:t>Кафала</w:t>
      </w:r>
      <w:proofErr w:type="spellEnd"/>
      <w:r w:rsidRPr="00817856">
        <w:t xml:space="preserve">“ и да гарантира правата на работниците да стачкуват и да участват в колективно договаряне; очаква Саудитска Арабия да се възползва от възможността, предоставена от Световното първенство по футбол на ФИФА през 2034 г., и дотогава да продължи да прилага реформи; настоятелно призовава Саудитска Арабия да спазва законодателството </w:t>
      </w:r>
      <w:r w:rsidRPr="00817856">
        <w:lastRenderedPageBreak/>
        <w:t>на ЕС относно надлежната проверка и мониторинга на дружества за наемане на работа, за да се гарантира, че те покриват всички разходи и такси, свързани с наемането на работници, и да се въведе мерки за възстановяване на незаконните такси за наемане на работа, плащани от работниците;</w:t>
      </w:r>
    </w:p>
    <w:p w14:paraId="45B46302" w14:textId="77777777" w:rsidR="00DD2D8B" w:rsidRPr="00817856" w:rsidRDefault="00DD2D8B" w:rsidP="00DD2D8B">
      <w:pPr>
        <w:pStyle w:val="NormalHanging12a"/>
      </w:pPr>
      <w:r w:rsidRPr="00817856">
        <w:t>33.</w:t>
      </w:r>
      <w:r w:rsidRPr="00817856">
        <w:tab/>
        <w:t xml:space="preserve">отчита възможностите, които предлага сътрудничество между ЕС и Саудитска Арабия в рамките на стратегическото партньорство между ЕС и ССПЗ и на инициативата на ЕС </w:t>
      </w:r>
      <w:proofErr w:type="spellStart"/>
      <w:r w:rsidRPr="00817856">
        <w:t>Global</w:t>
      </w:r>
      <w:proofErr w:type="spellEnd"/>
      <w:r w:rsidRPr="00817856">
        <w:t xml:space="preserve"> </w:t>
      </w:r>
      <w:proofErr w:type="spellStart"/>
      <w:r w:rsidRPr="00817856">
        <w:t>Gateway</w:t>
      </w:r>
      <w:proofErr w:type="spellEnd"/>
      <w:r w:rsidRPr="00817856">
        <w:t xml:space="preserve"> за икономически коридор, свързващ Индия, Близкия изток и Европа (IMEC), и сближаващите се интереси, на които те служат, като се очаква инициативата да насърчи инвестициите в електрически кабели, подводни далекосъобщителни кабели и кабели за данни, както и тръбопроводи за „чист“ водород; оценява потенциала за свързване на ЕС чрез мултимодални транспортни връзки; отбелязва участието на Съединените щати; настоятелно призовава за преодоляване на недостига на финансиране за IMEC чрез инвестиции от ЕС, САЩ и държавите от Персийския залив, както и за насърчаване на развитието на устойчива инфраструктура; подчертава стратегическото значение на IMEC като трансформиращ двигател на регионалната свързаност, икономическата интеграция и геополитическото сътрудничество; отбелязва потенциала за разширяване на сътрудничеството в областта на стратегическата цифрова инфраструктура, включително диверсифицирани и сигурни маршрути за данни, свързващи Персийския залив и Европа, със споделената цел за повишаване на цифровата устойчивост на Европа, сигурността на данните и свързаността с Азия и Африка; признава продължаващите усилия на Европейската търговска камара в Кралство Саудитска Арабия (ECCKSA) за насърчаване на сътрудничеството между европейските дружества и Саудитска Арабия в областта на транспортната и логистичната инфраструктура, в съответствие със законите на ЕС за дължимата грижа;</w:t>
      </w:r>
    </w:p>
    <w:p w14:paraId="34472BCE" w14:textId="77777777" w:rsidR="00DD2D8B" w:rsidRPr="00817856" w:rsidRDefault="00DD2D8B" w:rsidP="00DD2D8B">
      <w:pPr>
        <w:pStyle w:val="Normal12a"/>
      </w:pPr>
      <w:r w:rsidRPr="00817856">
        <w:rPr>
          <w:b/>
          <w:i/>
        </w:rPr>
        <w:t xml:space="preserve">Права на човека </w:t>
      </w:r>
    </w:p>
    <w:p w14:paraId="29683CC7" w14:textId="77777777" w:rsidR="00DD2D8B" w:rsidRPr="00817856" w:rsidRDefault="00DD2D8B" w:rsidP="00DD2D8B">
      <w:pPr>
        <w:pStyle w:val="NormalHanging12a"/>
      </w:pPr>
      <w:r w:rsidRPr="00817856">
        <w:t>34.</w:t>
      </w:r>
      <w:r w:rsidRPr="00817856">
        <w:tab/>
        <w:t xml:space="preserve">призовава за по-тясно сътрудничество между ЕС и Саудитска Арабия в областта на правата на човека; приветства диалозите за правата на човека между ЕС и Кралство Саудитска Арабия, водени от Комисията по правата на човека на Саудитска Арабия и специалния представител на ЕС за правата на човека, като четвъртият диалог за правата човека се проведе в Рияд през декември 2024 г.; отбелязва, че обсъжданията обхванаха широк кръг от въпроси, свързани с правата на човека, включително правата на жените и правата на уязвимите групи, принципите на правовата държава, правото на справедлив съдебен процес, смъртното наказание, свободата на изразяване на мнение, свободата на събранията и сдруженията, трафика на хора, икономическите, социалните и културните права, както и двустранното сътрудничество между ЕС и Кралство Саудитска Арабия и дейности в рамките на многостранни форуми по правата на човека; подчертава, че диалозите относно правата на човека осигуряват платформа от решаващо значение за обмен на гледни точки относно международните права на човека и укрепването на многостранното сътрудничество, и подчертава, че този и други диалози относно правата на човека, водени от ЕС, следва да имат за цел осигуряване на конкретен, измерим, обвързан със срокове напредък в областта на правата на човека, включително реформи в областта на правата на човека, спиране на неправомерните политики, гарантиране на отговорност за злоупотреби и освобождаване на несправедливо лишените от свобода лица; призовава за създаването на структуриран механизъм за </w:t>
      </w:r>
      <w:r w:rsidRPr="00817856">
        <w:lastRenderedPageBreak/>
        <w:t xml:space="preserve">наблюдение на ЕС, с ясни критерии и срокове, включително последващи мерки за насърчаване </w:t>
      </w:r>
      <w:proofErr w:type="spellStart"/>
      <w:r w:rsidRPr="00817856">
        <w:t>напо</w:t>
      </w:r>
      <w:proofErr w:type="spellEnd"/>
      <w:r w:rsidRPr="00817856">
        <w:t>-нататъшния напредък в реформите в областта на правата на човека; настоятелно призовава ЕС и държавите членки да договорят условия в областта на правата на човека съвместно със Саудитска Арабия в рамките на преговорите за двустранно споразумение за партньорство, включително, но не само, ратифицирането от страна на Саудитска Арабия на основните конвенции в областта на правата на човека и трудовите права, както и освобождаването на несправедливо лишените от свобода лица;</w:t>
      </w:r>
    </w:p>
    <w:p w14:paraId="1EF067F3" w14:textId="77777777" w:rsidR="00DD2D8B" w:rsidRPr="00817856" w:rsidRDefault="00DD2D8B" w:rsidP="00DD2D8B">
      <w:pPr>
        <w:pStyle w:val="NormalHanging12a"/>
      </w:pPr>
      <w:r w:rsidRPr="00817856">
        <w:t>35.</w:t>
      </w:r>
      <w:r w:rsidRPr="00817856">
        <w:tab/>
        <w:t>отчита значителните социални реформи, осъществени от Саудитска Арабия, например новите закони за гражданските отношения, напредъка в предоставянето на възможности на жените, работата по изготвянето на наказателен кодекс, реформата на системата „</w:t>
      </w:r>
      <w:proofErr w:type="spellStart"/>
      <w:r w:rsidRPr="00817856">
        <w:t>Кафала</w:t>
      </w:r>
      <w:proofErr w:type="spellEnd"/>
      <w:r w:rsidRPr="00817856">
        <w:t>“ за трудово спонсорство на мигранти и подобряването на нови трудови разпоредби; отбелязва обаче, че правната система на Саудитска Арабия се сблъсква с предизвикателства, поради липсата на кодифицирано наказателно право и факта, че разчита на формулирано в широк смисъл законодателство, за да гарантира, че някои права не подлежат на инкриминиране;</w:t>
      </w:r>
    </w:p>
    <w:p w14:paraId="07D09DF6" w14:textId="77777777" w:rsidR="00DD2D8B" w:rsidRPr="00817856" w:rsidRDefault="00DD2D8B" w:rsidP="00DD2D8B">
      <w:pPr>
        <w:pStyle w:val="NormalHanging12a"/>
      </w:pPr>
      <w:r w:rsidRPr="00817856">
        <w:t>36.</w:t>
      </w:r>
      <w:r w:rsidRPr="00817856">
        <w:tab/>
        <w:t xml:space="preserve">признава нарастващото участие на гражданското общество в Саудитска Арабия, като съществуват над 5400 регистрирани сдружения и организации, и призовава за допълнителни мерки за подкрепа и поддържане на тази положителна тенденция; изразява загриженост относно увеличаването на арестите на активисти, дейци в подкрепа на гражданското общество, интелектуалци и защитници на правата на човека, упражняващи правото си на свобода на изразяване, както онлайн, така и офлайн, в съответствие с международното право в областта на правата на човека; насърчава Саудитска Арабия да преразгледа своето определение за тероризъм в съответствие с международните стандарти; призовава за незабавното освобождаване на лицата, задържани заради мирно упражняване на техните права, по-специално ключови активисти, защитници на правата на човека, мирни критици, представители на академичните среди и духовници, и призовава за отмяна на забраните за пътуване на лицата, които са били освободени; припомня, че Европейският парламент присъди своята награда „Сахаров“ за 2015 г. на блогъра от Саудитска Арабия Раиф </w:t>
      </w:r>
      <w:proofErr w:type="spellStart"/>
      <w:r w:rsidRPr="00817856">
        <w:t>Бадауи</w:t>
      </w:r>
      <w:proofErr w:type="spellEnd"/>
      <w:r w:rsidRPr="00817856">
        <w:t>; настоятелно призовава Саудитска Арабия да разшири достъпа и посещенията в страната, за да обхващат по-широк кръг от организации за защита на правата на човека;</w:t>
      </w:r>
    </w:p>
    <w:p w14:paraId="6948A12F" w14:textId="77777777" w:rsidR="00DD2D8B" w:rsidRPr="00817856" w:rsidRDefault="00DD2D8B" w:rsidP="00DD2D8B">
      <w:pPr>
        <w:pStyle w:val="NormalHanging12a"/>
      </w:pPr>
      <w:r w:rsidRPr="00817856">
        <w:t>37.</w:t>
      </w:r>
      <w:r w:rsidRPr="00817856">
        <w:tab/>
        <w:t>отчита стратегията на Саудитска Арабия за правата на човека за Световното първенство по футбол на ФИФА през 2034 г.; отново потвърждава готовността на ЕС да подкрепя текущите реформи на Саудитска Арабия в областта на правата на човека, реформите в областта на труда и правните реформи; призовава за засилено сътрудничество с ООН и Международната организация на труда относно правата на работниците мигранти, като се полагат усилия за по-нататъшни всеобхватни и приобщаващи трудови реформи в съответствие с международните стандарти, особено преди изложението EXPO 2030 и Световното първенство през 2034 г., за да се гарантира, че всички смъртни случаи и злополуки с работници мигранти, независимо от предполагаемата причина, време и място, се разследват надлежно и семействата на починали работници получават справедливо и навременно обезщетение;</w:t>
      </w:r>
    </w:p>
    <w:p w14:paraId="225C7878" w14:textId="77777777" w:rsidR="00DD2D8B" w:rsidRPr="00817856" w:rsidRDefault="00DD2D8B" w:rsidP="00DD2D8B">
      <w:pPr>
        <w:pStyle w:val="NormalHanging12a"/>
      </w:pPr>
      <w:r w:rsidRPr="00817856">
        <w:lastRenderedPageBreak/>
        <w:t>38.</w:t>
      </w:r>
      <w:r w:rsidRPr="00817856">
        <w:tab/>
        <w:t>отново потвърждава ангажимента на ЕС за премахване на смъртното наказание при всякакви обстоятелства и отново потвърждава принципния ангажимент на ЕС да работи със Саудитска Арабия за постигането на тази цел; изразява загриженост относно ескалацията на екзекуциите в Саудитска Арабия, които достигнаха безпрецедентен брой – над 345 – през 2024 г. ; призовава Саудитска Арабия да въведе мораториум върху екзекуциите; осъжда продължаващото прилагане на смъртното наказание за несмъртоносни престъпления, по-специално престъпления, свързани с наркотици, което представлява нарушение на международното право в областта на правата на човека, ограничаващо прилагането на смъртното наказание само до „най-тежките престъпления“, както и факта, че над половината от всички екзекуции през 2025 г. са били на чуждестранни граждани, често след съдебни процеси, които не отговарят на международните стандарти за справедлив съдебен процес; призовава за декриминализиране на сексуалните действия между лица от един и същи пол;</w:t>
      </w:r>
    </w:p>
    <w:p w14:paraId="508658C0" w14:textId="77777777" w:rsidR="00DD2D8B" w:rsidRPr="00817856" w:rsidRDefault="00DD2D8B" w:rsidP="00DD2D8B">
      <w:pPr>
        <w:pStyle w:val="NormalHanging12a"/>
      </w:pPr>
      <w:r w:rsidRPr="00817856">
        <w:t>39.</w:t>
      </w:r>
      <w:r w:rsidRPr="00817856">
        <w:tab/>
        <w:t>изразява съжаление във връзка с продължаващото задържане на лица, осъдени на смърт за престъпления, извършени като деца, и призовава органите на Саудитска Арабия да отменят техните смъртни присъди, в съответствие със задълженията на Саудитска Арабия съгласно международното право и неговия Кралски указ от 2020 г.; призовава Саудитска Арабия да освободи незабавно и безусловно всички лица, задържани заради мирното упражняване на техните права на човека;</w:t>
      </w:r>
    </w:p>
    <w:p w14:paraId="4D07B0B1" w14:textId="77777777" w:rsidR="00DD2D8B" w:rsidRPr="00817856" w:rsidRDefault="00DD2D8B" w:rsidP="00DD2D8B">
      <w:pPr>
        <w:pStyle w:val="NormalHanging12a"/>
      </w:pPr>
      <w:r w:rsidRPr="00817856">
        <w:t>40.</w:t>
      </w:r>
      <w:r w:rsidRPr="00817856">
        <w:tab/>
        <w:t>призовава Саудитска Арабия да ратифицира всички основни международни конвенции за правата на човека и трудовите права; насърчава Саудитска Арабия да гарантира, че цялото действащо и ново законодателство, включително Наказателният кодекс, е в съответствие с международните стандарти в областта на правата на човека, и подчертава колко е важно тясното сътрудничество с ООН и независимите организации на гражданско общество в това отношение;</w:t>
      </w:r>
    </w:p>
    <w:p w14:paraId="3B124234" w14:textId="77777777" w:rsidR="00DD2D8B" w:rsidRPr="00817856" w:rsidRDefault="00DD2D8B" w:rsidP="00DD2D8B">
      <w:pPr>
        <w:pStyle w:val="NormalCenter12a"/>
      </w:pPr>
      <w:r w:rsidRPr="00817856">
        <w:t>°</w:t>
      </w:r>
    </w:p>
    <w:p w14:paraId="46829ECE" w14:textId="77777777" w:rsidR="00DD2D8B" w:rsidRPr="00817856" w:rsidRDefault="00DD2D8B" w:rsidP="00DD2D8B">
      <w:pPr>
        <w:pStyle w:val="NormalCenter12a"/>
      </w:pPr>
      <w:r w:rsidRPr="00817856">
        <w:t>°</w:t>
      </w:r>
      <w:r w:rsidRPr="00817856">
        <w:tab/>
        <w:t>°</w:t>
      </w:r>
    </w:p>
    <w:p w14:paraId="1C131D7B" w14:textId="47A8003E" w:rsidR="00817856" w:rsidRPr="00817856" w:rsidRDefault="00DD2D8B" w:rsidP="00817856">
      <w:pPr>
        <w:pStyle w:val="NormalHanging12a"/>
      </w:pPr>
      <w:r w:rsidRPr="00817856">
        <w:t>41.</w:t>
      </w:r>
      <w:r w:rsidRPr="00817856">
        <w:tab/>
        <w:t xml:space="preserve">възлага на своя председател да предаде настоящата резолюция на Съвета, на Комисията, на заместник-председателя на Комисията / върховен представител на Съюза по въпросите на външните работи и политиката на сигурност, на Негово Величество крал Салман бин </w:t>
      </w:r>
      <w:proofErr w:type="spellStart"/>
      <w:r w:rsidRPr="00817856">
        <w:t>Абдулазиз</w:t>
      </w:r>
      <w:proofErr w:type="spellEnd"/>
      <w:r w:rsidRPr="00817856">
        <w:t xml:space="preserve"> Ал Сауд, на престолонаследника принц Мохамад бин Салман Ал Сауд, на правителството на Кралство Саудитска Арабия и на Съвета „Шура“; призовава настоящата резолюция да бъде преведена на арабски език.</w:t>
      </w:r>
    </w:p>
    <w:p w14:paraId="5750361E" w14:textId="502CB2E7" w:rsidR="00E365E1" w:rsidRPr="00817856" w:rsidRDefault="00E365E1" w:rsidP="00522439"/>
    <w:sectPr w:rsidR="00E365E1" w:rsidRPr="00817856" w:rsidSect="008178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7F0EA" w14:textId="77777777" w:rsidR="00522439" w:rsidRPr="00817856" w:rsidRDefault="00522439">
      <w:r w:rsidRPr="00817856">
        <w:separator/>
      </w:r>
    </w:p>
  </w:endnote>
  <w:endnote w:type="continuationSeparator" w:id="0">
    <w:p w14:paraId="1F0E7B31" w14:textId="77777777" w:rsidR="00522439" w:rsidRPr="00817856" w:rsidRDefault="00522439">
      <w:r w:rsidRPr="008178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B267D" w14:textId="77777777" w:rsidR="00064002" w:rsidRPr="0081785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E78B3" w14:textId="77777777" w:rsidR="00064002" w:rsidRPr="0081785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A6B88" w14:textId="77777777" w:rsidR="00064002" w:rsidRPr="0081785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F9C56" w14:textId="77777777" w:rsidR="00522439" w:rsidRPr="00817856" w:rsidRDefault="00522439">
      <w:r w:rsidRPr="00817856">
        <w:separator/>
      </w:r>
    </w:p>
  </w:footnote>
  <w:footnote w:type="continuationSeparator" w:id="0">
    <w:p w14:paraId="27B5AF63" w14:textId="77777777" w:rsidR="00522439" w:rsidRPr="00817856" w:rsidRDefault="00522439">
      <w:r w:rsidRPr="00817856">
        <w:continuationSeparator/>
      </w:r>
    </w:p>
  </w:footnote>
  <w:footnote w:id="1">
    <w:p w14:paraId="5E29BD74" w14:textId="785DC644" w:rsidR="00DD2D8B" w:rsidRPr="00817856" w:rsidRDefault="00DD2D8B" w:rsidP="00817856">
      <w:pPr>
        <w:pStyle w:val="FootnoteText"/>
        <w:ind w:left="567" w:hanging="567"/>
        <w:rPr>
          <w:sz w:val="24"/>
          <w:lang w:val="bg-BG"/>
        </w:rPr>
      </w:pPr>
      <w:r w:rsidRPr="00817856">
        <w:rPr>
          <w:sz w:val="24"/>
          <w:vertAlign w:val="superscript"/>
          <w:lang w:val="bg-BG"/>
        </w:rPr>
        <w:t>1</w:t>
      </w:r>
      <w:r w:rsidR="00817856" w:rsidRPr="00817856">
        <w:rPr>
          <w:sz w:val="24"/>
          <w:vertAlign w:val="superscript"/>
          <w:lang w:val="bg-BG"/>
        </w:rPr>
        <w:t xml:space="preserve"> </w:t>
      </w:r>
      <w:r w:rsidR="00817856" w:rsidRPr="00817856">
        <w:rPr>
          <w:sz w:val="24"/>
          <w:vertAlign w:val="superscript"/>
          <w:lang w:val="bg-BG"/>
        </w:rPr>
        <w:tab/>
      </w:r>
      <w:r w:rsidRPr="00817856">
        <w:rPr>
          <w:sz w:val="24"/>
          <w:lang w:val="bg-BG"/>
        </w:rPr>
        <w:t>ОВ С 345, 16.10.2020 г</w:t>
      </w:r>
      <w:r w:rsidR="00E570B6">
        <w:rPr>
          <w:sz w:val="24"/>
          <w:lang w:val="bg-BG"/>
        </w:rPr>
        <w:t>.</w:t>
      </w:r>
      <w:r w:rsidRPr="00817856">
        <w:rPr>
          <w:sz w:val="24"/>
          <w:lang w:val="bg-BG"/>
        </w:rPr>
        <w:t>, стр. 67.</w:t>
      </w:r>
    </w:p>
  </w:footnote>
  <w:footnote w:id="2">
    <w:p w14:paraId="0255F9BD" w14:textId="7E3CB72D" w:rsidR="00DD2D8B" w:rsidRPr="00817856" w:rsidRDefault="00DD2D8B" w:rsidP="00817856">
      <w:pPr>
        <w:pStyle w:val="FootnoteText"/>
        <w:ind w:left="567" w:hanging="567"/>
        <w:rPr>
          <w:sz w:val="24"/>
          <w:lang w:val="bg-BG"/>
        </w:rPr>
      </w:pPr>
      <w:r w:rsidRPr="00817856">
        <w:rPr>
          <w:sz w:val="24"/>
          <w:vertAlign w:val="superscript"/>
          <w:lang w:val="bg-BG"/>
        </w:rPr>
        <w:t>2</w:t>
      </w:r>
      <w:r w:rsidR="00817856" w:rsidRPr="00817856">
        <w:rPr>
          <w:sz w:val="24"/>
          <w:vertAlign w:val="superscript"/>
          <w:lang w:val="bg-BG"/>
        </w:rPr>
        <w:t xml:space="preserve"> </w:t>
      </w:r>
      <w:r w:rsidR="00817856" w:rsidRPr="00817856">
        <w:rPr>
          <w:sz w:val="24"/>
          <w:vertAlign w:val="superscript"/>
          <w:lang w:val="bg-BG"/>
        </w:rPr>
        <w:tab/>
      </w:r>
      <w:r w:rsidRPr="00817856">
        <w:rPr>
          <w:sz w:val="24"/>
          <w:lang w:val="bg-BG"/>
        </w:rPr>
        <w:t>OВ C 465, 17.11.2021 г., стр. 126.</w:t>
      </w:r>
    </w:p>
  </w:footnote>
  <w:footnote w:id="3">
    <w:p w14:paraId="375A7F08" w14:textId="78C17E40" w:rsidR="00DD2D8B" w:rsidRPr="00817856" w:rsidRDefault="00DD2D8B" w:rsidP="00817856">
      <w:pPr>
        <w:pStyle w:val="FootnoteText"/>
        <w:ind w:left="567" w:hanging="567"/>
        <w:rPr>
          <w:sz w:val="24"/>
          <w:lang w:val="bg-BG"/>
        </w:rPr>
      </w:pPr>
      <w:r w:rsidRPr="00817856">
        <w:rPr>
          <w:sz w:val="24"/>
          <w:vertAlign w:val="superscript"/>
          <w:lang w:val="bg-BG"/>
        </w:rPr>
        <w:t>3</w:t>
      </w:r>
      <w:r w:rsidR="00817856" w:rsidRPr="00817856">
        <w:rPr>
          <w:sz w:val="24"/>
          <w:vertAlign w:val="superscript"/>
          <w:lang w:val="bg-BG"/>
        </w:rPr>
        <w:t xml:space="preserve"> </w:t>
      </w:r>
      <w:r w:rsidR="00817856" w:rsidRPr="00817856">
        <w:rPr>
          <w:sz w:val="24"/>
          <w:vertAlign w:val="superscript"/>
          <w:lang w:val="bg-BG"/>
        </w:rPr>
        <w:tab/>
      </w:r>
      <w:r w:rsidRPr="00817856">
        <w:rPr>
          <w:sz w:val="24"/>
          <w:lang w:val="bg-BG"/>
        </w:rPr>
        <w:t>ОВ С 99, 1.3.2022 г</w:t>
      </w:r>
      <w:r w:rsidR="00D02D3F">
        <w:rPr>
          <w:sz w:val="24"/>
          <w:lang w:val="bg-BG"/>
        </w:rPr>
        <w:t>.</w:t>
      </w:r>
      <w:r w:rsidRPr="00817856">
        <w:rPr>
          <w:sz w:val="24"/>
          <w:lang w:val="bg-BG"/>
        </w:rPr>
        <w:t>, стр. 185.</w:t>
      </w:r>
    </w:p>
  </w:footnote>
  <w:footnote w:id="4">
    <w:p w14:paraId="25C838AA" w14:textId="50245EA2" w:rsidR="00DD2D8B" w:rsidRPr="00817856" w:rsidRDefault="00DD2D8B" w:rsidP="00817856">
      <w:pPr>
        <w:pStyle w:val="FootnoteText"/>
        <w:ind w:left="567" w:hanging="567"/>
        <w:rPr>
          <w:sz w:val="24"/>
          <w:lang w:val="bg-BG"/>
        </w:rPr>
      </w:pPr>
      <w:r w:rsidRPr="00817856">
        <w:rPr>
          <w:sz w:val="24"/>
          <w:vertAlign w:val="superscript"/>
          <w:lang w:val="bg-BG"/>
        </w:rPr>
        <w:t>4</w:t>
      </w:r>
      <w:r w:rsidR="00817856" w:rsidRPr="00817856">
        <w:rPr>
          <w:sz w:val="24"/>
          <w:vertAlign w:val="superscript"/>
          <w:lang w:val="bg-BG"/>
        </w:rPr>
        <w:t xml:space="preserve"> </w:t>
      </w:r>
      <w:r w:rsidR="00817856" w:rsidRPr="00817856">
        <w:rPr>
          <w:sz w:val="24"/>
          <w:vertAlign w:val="superscript"/>
          <w:lang w:val="bg-BG"/>
        </w:rPr>
        <w:tab/>
      </w:r>
      <w:r w:rsidRPr="00817856">
        <w:rPr>
          <w:sz w:val="24"/>
          <w:lang w:val="bg-BG"/>
        </w:rPr>
        <w:t xml:space="preserve">Решение за изпълнение на Комисията от 22 април 2024 г. </w:t>
      </w:r>
      <w:r w:rsidRPr="00817856">
        <w:rPr>
          <w:sz w:val="24"/>
          <w:lang w:val="bg-BG"/>
        </w:rPr>
        <w:t>за определяне на адаптирани правила за издаването на многократни визи на граждани на Саудитска Арабия, пребиваващи в Саудитска Арабия и кандидатстващи в Саудитска Арабия за визи за краткосрочно пребиваване, и за отмяна на Решение за изпълнение C(2022)</w:t>
      </w:r>
      <w:r w:rsidRPr="00817856">
        <w:rPr>
          <w:sz w:val="24"/>
          <w:lang w:val="bg-BG"/>
        </w:rPr>
        <w:t>8007 на Комисията (C(2024)2689).</w:t>
      </w:r>
    </w:p>
  </w:footnote>
  <w:footnote w:id="5">
    <w:p w14:paraId="0D32ABAD" w14:textId="63236D16" w:rsidR="00DD2D8B" w:rsidRPr="00817856" w:rsidRDefault="00DD2D8B" w:rsidP="00817856">
      <w:pPr>
        <w:pStyle w:val="FootnoteText"/>
        <w:ind w:left="567" w:hanging="567"/>
        <w:rPr>
          <w:sz w:val="24"/>
          <w:lang w:val="bg-BG"/>
        </w:rPr>
      </w:pPr>
      <w:r w:rsidRPr="00817856">
        <w:rPr>
          <w:sz w:val="24"/>
          <w:vertAlign w:val="superscript"/>
          <w:lang w:val="bg-BG"/>
        </w:rPr>
        <w:t>5</w:t>
      </w:r>
      <w:r w:rsidR="00817856" w:rsidRPr="00817856">
        <w:rPr>
          <w:sz w:val="24"/>
          <w:vertAlign w:val="superscript"/>
          <w:lang w:val="bg-BG"/>
        </w:rPr>
        <w:t xml:space="preserve"> </w:t>
      </w:r>
      <w:r w:rsidR="00817856" w:rsidRPr="00817856">
        <w:rPr>
          <w:sz w:val="24"/>
          <w:vertAlign w:val="superscript"/>
          <w:lang w:val="bg-BG"/>
        </w:rPr>
        <w:tab/>
      </w:r>
      <w:r w:rsidRPr="00817856">
        <w:rPr>
          <w:sz w:val="24"/>
          <w:lang w:val="bg-BG"/>
        </w:rPr>
        <w:t>Приети текстове, P10_TA(2025)0199.</w:t>
      </w:r>
    </w:p>
  </w:footnote>
  <w:footnote w:id="6">
    <w:p w14:paraId="6BF0BE1F" w14:textId="2BD9891D" w:rsidR="00DD2D8B" w:rsidRPr="00817856" w:rsidRDefault="00DD2D8B" w:rsidP="00817856">
      <w:pPr>
        <w:pStyle w:val="FootnoteText"/>
        <w:ind w:left="567" w:hanging="567"/>
        <w:rPr>
          <w:sz w:val="24"/>
          <w:lang w:val="bg-BG"/>
        </w:rPr>
      </w:pPr>
      <w:r w:rsidRPr="00817856">
        <w:rPr>
          <w:sz w:val="24"/>
          <w:vertAlign w:val="superscript"/>
          <w:lang w:val="bg-BG"/>
        </w:rPr>
        <w:t>6</w:t>
      </w:r>
      <w:r w:rsidR="00817856" w:rsidRPr="00817856">
        <w:rPr>
          <w:sz w:val="24"/>
          <w:vertAlign w:val="superscript"/>
          <w:lang w:val="bg-BG"/>
        </w:rPr>
        <w:t xml:space="preserve"> </w:t>
      </w:r>
      <w:r w:rsidR="00817856" w:rsidRPr="00817856">
        <w:rPr>
          <w:sz w:val="24"/>
          <w:vertAlign w:val="superscript"/>
          <w:lang w:val="bg-BG"/>
        </w:rPr>
        <w:tab/>
      </w:r>
      <w:r w:rsidRPr="00817856">
        <w:rPr>
          <w:sz w:val="24"/>
          <w:lang w:val="bg-BG"/>
        </w:rPr>
        <w:t xml:space="preserve">Световен икономически форум, „Saudi </w:t>
      </w:r>
      <w:proofErr w:type="spellStart"/>
      <w:r w:rsidRPr="00817856">
        <w:rPr>
          <w:sz w:val="24"/>
          <w:lang w:val="bg-BG"/>
        </w:rPr>
        <w:t>women</w:t>
      </w:r>
      <w:proofErr w:type="spellEnd"/>
      <w:r w:rsidRPr="00817856">
        <w:rPr>
          <w:sz w:val="24"/>
          <w:lang w:val="bg-BG"/>
        </w:rPr>
        <w:t xml:space="preserve"> </w:t>
      </w:r>
      <w:proofErr w:type="spellStart"/>
      <w:r w:rsidRPr="00817856">
        <w:rPr>
          <w:sz w:val="24"/>
          <w:lang w:val="bg-BG"/>
        </w:rPr>
        <w:t>are</w:t>
      </w:r>
      <w:proofErr w:type="spellEnd"/>
      <w:r w:rsidRPr="00817856">
        <w:rPr>
          <w:sz w:val="24"/>
          <w:lang w:val="bg-BG"/>
        </w:rPr>
        <w:t xml:space="preserve"> </w:t>
      </w:r>
      <w:proofErr w:type="spellStart"/>
      <w:r w:rsidRPr="00817856">
        <w:rPr>
          <w:sz w:val="24"/>
          <w:lang w:val="bg-BG"/>
        </w:rPr>
        <w:t>now</w:t>
      </w:r>
      <w:proofErr w:type="spellEnd"/>
      <w:r w:rsidRPr="00817856">
        <w:rPr>
          <w:sz w:val="24"/>
          <w:lang w:val="bg-BG"/>
        </w:rPr>
        <w:t xml:space="preserve"> </w:t>
      </w:r>
      <w:proofErr w:type="spellStart"/>
      <w:r w:rsidRPr="00817856">
        <w:rPr>
          <w:sz w:val="24"/>
          <w:lang w:val="bg-BG"/>
        </w:rPr>
        <w:t>legally</w:t>
      </w:r>
      <w:proofErr w:type="spellEnd"/>
      <w:r w:rsidRPr="00817856">
        <w:rPr>
          <w:sz w:val="24"/>
          <w:lang w:val="bg-BG"/>
        </w:rPr>
        <w:t xml:space="preserve"> </w:t>
      </w:r>
      <w:proofErr w:type="spellStart"/>
      <w:r w:rsidRPr="00817856">
        <w:rPr>
          <w:sz w:val="24"/>
          <w:lang w:val="bg-BG"/>
        </w:rPr>
        <w:t>allowed</w:t>
      </w:r>
      <w:proofErr w:type="spellEnd"/>
      <w:r w:rsidRPr="00817856">
        <w:rPr>
          <w:sz w:val="24"/>
          <w:lang w:val="bg-BG"/>
        </w:rPr>
        <w:t xml:space="preserve"> </w:t>
      </w:r>
      <w:proofErr w:type="spellStart"/>
      <w:r w:rsidRPr="00817856">
        <w:rPr>
          <w:sz w:val="24"/>
          <w:lang w:val="bg-BG"/>
        </w:rPr>
        <w:t>to</w:t>
      </w:r>
      <w:proofErr w:type="spellEnd"/>
      <w:r w:rsidRPr="00817856">
        <w:rPr>
          <w:sz w:val="24"/>
          <w:lang w:val="bg-BG"/>
        </w:rPr>
        <w:t xml:space="preserve"> </w:t>
      </w:r>
      <w:proofErr w:type="spellStart"/>
      <w:r w:rsidRPr="00817856">
        <w:rPr>
          <w:sz w:val="24"/>
          <w:lang w:val="bg-BG"/>
        </w:rPr>
        <w:t>drive</w:t>
      </w:r>
      <w:proofErr w:type="spellEnd"/>
      <w:r w:rsidRPr="00817856">
        <w:rPr>
          <w:sz w:val="24"/>
          <w:lang w:val="bg-BG"/>
        </w:rPr>
        <w:t>“ (Жените в Саудитска Арабия вече имат законно право да управляват моторни превозни средства), 25 юни 2018 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39262" w14:textId="77777777" w:rsidR="00064002" w:rsidRPr="0081785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C680A" w14:textId="77777777" w:rsidR="00064002" w:rsidRPr="0081785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E82B4" w14:textId="77777777" w:rsidR="00064002" w:rsidRPr="0081785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05902975">
    <w:abstractNumId w:val="9"/>
  </w:num>
  <w:num w:numId="2" w16cid:durableId="1090732990">
    <w:abstractNumId w:val="9"/>
  </w:num>
  <w:num w:numId="3" w16cid:durableId="548036981">
    <w:abstractNumId w:val="7"/>
  </w:num>
  <w:num w:numId="4" w16cid:durableId="735471804">
    <w:abstractNumId w:val="7"/>
  </w:num>
  <w:num w:numId="5" w16cid:durableId="1301616113">
    <w:abstractNumId w:val="6"/>
  </w:num>
  <w:num w:numId="6" w16cid:durableId="1013145866">
    <w:abstractNumId w:val="6"/>
  </w:num>
  <w:num w:numId="7" w16cid:durableId="1993562320">
    <w:abstractNumId w:val="5"/>
  </w:num>
  <w:num w:numId="8" w16cid:durableId="1563180184">
    <w:abstractNumId w:val="5"/>
  </w:num>
  <w:num w:numId="9" w16cid:durableId="899634916">
    <w:abstractNumId w:val="4"/>
  </w:num>
  <w:num w:numId="10" w16cid:durableId="221329286">
    <w:abstractNumId w:val="4"/>
  </w:num>
  <w:num w:numId="11" w16cid:durableId="201601867">
    <w:abstractNumId w:val="8"/>
  </w:num>
  <w:num w:numId="12" w16cid:durableId="1517035214">
    <w:abstractNumId w:val="8"/>
  </w:num>
  <w:num w:numId="13" w16cid:durableId="628629340">
    <w:abstractNumId w:val="3"/>
  </w:num>
  <w:num w:numId="14" w16cid:durableId="31268915">
    <w:abstractNumId w:val="3"/>
  </w:num>
  <w:num w:numId="15" w16cid:durableId="1682928440">
    <w:abstractNumId w:val="2"/>
  </w:num>
  <w:num w:numId="16" w16cid:durableId="875236942">
    <w:abstractNumId w:val="2"/>
  </w:num>
  <w:num w:numId="17" w16cid:durableId="937448914">
    <w:abstractNumId w:val="1"/>
  </w:num>
  <w:num w:numId="18" w16cid:durableId="1990286674">
    <w:abstractNumId w:val="1"/>
  </w:num>
  <w:num w:numId="19" w16cid:durableId="1598950421">
    <w:abstractNumId w:val="0"/>
  </w:num>
  <w:num w:numId="20" w16cid:durableId="1495564173">
    <w:abstractNumId w:val="0"/>
  </w:num>
  <w:num w:numId="21" w16cid:durableId="1350181922">
    <w:abstractNumId w:val="9"/>
  </w:num>
  <w:num w:numId="22" w16cid:durableId="908467900">
    <w:abstractNumId w:val="7"/>
  </w:num>
  <w:num w:numId="23" w16cid:durableId="423456610">
    <w:abstractNumId w:val="6"/>
  </w:num>
  <w:num w:numId="24" w16cid:durableId="609094957">
    <w:abstractNumId w:val="5"/>
  </w:num>
  <w:num w:numId="25" w16cid:durableId="22171100">
    <w:abstractNumId w:val="4"/>
  </w:num>
  <w:num w:numId="26" w16cid:durableId="1119647417">
    <w:abstractNumId w:val="8"/>
  </w:num>
  <w:num w:numId="27" w16cid:durableId="1928995718">
    <w:abstractNumId w:val="3"/>
  </w:num>
  <w:num w:numId="28" w16cid:durableId="1215968243">
    <w:abstractNumId w:val="2"/>
  </w:num>
  <w:num w:numId="29" w16cid:durableId="560016855">
    <w:abstractNumId w:val="1"/>
  </w:num>
  <w:num w:numId="30" w16cid:durableId="203178726">
    <w:abstractNumId w:val="0"/>
  </w:num>
  <w:num w:numId="31" w16cid:durableId="1000502227">
    <w:abstractNumId w:val="9"/>
  </w:num>
  <w:num w:numId="32" w16cid:durableId="436366116">
    <w:abstractNumId w:val="7"/>
  </w:num>
  <w:num w:numId="33" w16cid:durableId="840438338">
    <w:abstractNumId w:val="6"/>
  </w:num>
  <w:num w:numId="34" w16cid:durableId="658118787">
    <w:abstractNumId w:val="5"/>
  </w:num>
  <w:num w:numId="35" w16cid:durableId="657071981">
    <w:abstractNumId w:val="4"/>
  </w:num>
  <w:num w:numId="36" w16cid:durableId="1039940734">
    <w:abstractNumId w:val="8"/>
  </w:num>
  <w:num w:numId="37" w16cid:durableId="1319848593">
    <w:abstractNumId w:val="3"/>
  </w:num>
  <w:num w:numId="38" w16cid:durableId="1159808097">
    <w:abstractNumId w:val="2"/>
  </w:num>
  <w:num w:numId="39" w16cid:durableId="1514801070">
    <w:abstractNumId w:val="1"/>
  </w:num>
  <w:num w:numId="40" w16cid:durableId="2100826352">
    <w:abstractNumId w:val="0"/>
  </w:num>
  <w:num w:numId="41" w16cid:durableId="2068994125">
    <w:abstractNumId w:val="10"/>
  </w:num>
  <w:num w:numId="42" w16cid:durableId="598410696">
    <w:abstractNumId w:val="10"/>
  </w:num>
  <w:num w:numId="43" w16cid:durableId="191574602">
    <w:abstractNumId w:val="10"/>
  </w:num>
  <w:num w:numId="44" w16cid:durableId="6835522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0/2025"/>
    <w:docVar w:name="dvlangue" w:val="BG"/>
    <w:docVar w:name="dvnumam" w:val="0"/>
    <w:docVar w:name="dvpe" w:val="775.425"/>
    <w:docVar w:name="dvrapporteur" w:val="Докладчик: "/>
    <w:docVar w:name="dvtitre" w:val="Резолюция на Европейския парламент от ... 2025 г. относно отношенията между ЕС и Саудитска Арабия(2025/2082(INI))"/>
  </w:docVars>
  <w:rsids>
    <w:rsidRoot w:val="00522439"/>
    <w:rsid w:val="00002272"/>
    <w:rsid w:val="00064002"/>
    <w:rsid w:val="00066BCA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454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2439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17856"/>
    <w:rsid w:val="00842779"/>
    <w:rsid w:val="00865F67"/>
    <w:rsid w:val="00881A7B"/>
    <w:rsid w:val="00883C68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0EFC"/>
    <w:rsid w:val="00CC2357"/>
    <w:rsid w:val="00CF071A"/>
    <w:rsid w:val="00D02D3F"/>
    <w:rsid w:val="00D058B8"/>
    <w:rsid w:val="00D56C11"/>
    <w:rsid w:val="00D834A0"/>
    <w:rsid w:val="00D872DF"/>
    <w:rsid w:val="00D91E21"/>
    <w:rsid w:val="00DA7FCD"/>
    <w:rsid w:val="00DD2D8B"/>
    <w:rsid w:val="00E365E1"/>
    <w:rsid w:val="00E570B6"/>
    <w:rsid w:val="00E820A4"/>
    <w:rsid w:val="00EB006A"/>
    <w:rsid w:val="00EB4772"/>
    <w:rsid w:val="00ED169E"/>
    <w:rsid w:val="00ED4235"/>
    <w:rsid w:val="00F04346"/>
    <w:rsid w:val="00F075DC"/>
    <w:rsid w:val="00F149E9"/>
    <w:rsid w:val="00F2245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010430"/>
  <w15:chartTrackingRefBased/>
  <w15:docId w15:val="{D498C74F-6FA2-4776-B05C-82EFD2BB9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DD2D8B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DD2D8B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DD2D8B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DD2D8B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DD2D8B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DD2D8B"/>
    <w:rPr>
      <w:color w:val="0000FF"/>
      <w:u w:val="single"/>
    </w:rPr>
  </w:style>
  <w:style w:type="paragraph" w:styleId="Revision">
    <w:name w:val="Revision"/>
    <w:hidden/>
    <w:uiPriority w:val="99"/>
    <w:semiHidden/>
    <w:rsid w:val="00E570B6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4866</Words>
  <Characters>29428</Characters>
  <Application>Microsoft Office Word</Application>
  <DocSecurity>0</DocSecurity>
  <Lines>795</Lines>
  <Paragraphs>329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DIMITROV Cvetan</cp:lastModifiedBy>
  <cp:revision>2</cp:revision>
  <cp:lastPrinted>2004-11-19T15:42:00Z</cp:lastPrinted>
  <dcterms:created xsi:type="dcterms:W3CDTF">2026-01-27T11:24:00Z</dcterms:created>
  <dcterms:modified xsi:type="dcterms:W3CDTF">2026-01-27T11:24:00Z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A10-0230/2025</vt:lpwstr>
  </property>
  <property fmtid="{D5CDD505-2E9C-101B-9397-08002B2CF9AE}" pid="4" name="&lt;Type&gt;">
    <vt:lpwstr>RR</vt:lpwstr>
  </property>
</Properties>
</file>