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FE1" w14:paraId="38E2A6D4" w14:textId="77777777" w:rsidTr="0010095E">
        <w:trPr>
          <w:trHeight w:hRule="exact" w:val="1418"/>
        </w:trPr>
        <w:tc>
          <w:tcPr>
            <w:tcW w:w="6804" w:type="dxa"/>
            <w:shd w:val="clear" w:color="auto" w:fill="auto"/>
            <w:vAlign w:val="center"/>
          </w:tcPr>
          <w:p w14:paraId="372C1881" w14:textId="77777777" w:rsidR="00751A4A" w:rsidRPr="00127FE1" w:rsidRDefault="00F33350" w:rsidP="0010095E">
            <w:pPr>
              <w:pStyle w:val="EPName"/>
            </w:pPr>
            <w:r w:rsidRPr="00127FE1">
              <w:t>Evropský parlament</w:t>
            </w:r>
          </w:p>
          <w:p w14:paraId="31B4E4E8" w14:textId="77777777" w:rsidR="00751A4A" w:rsidRPr="00127FE1" w:rsidRDefault="005F1B17" w:rsidP="005F1B17">
            <w:pPr>
              <w:pStyle w:val="EPTerm"/>
              <w:rPr>
                <w:rStyle w:val="HideTWBExt"/>
                <w:noProof w:val="0"/>
                <w:vanish w:val="0"/>
                <w:color w:val="auto"/>
              </w:rPr>
            </w:pPr>
            <w:r w:rsidRPr="00127FE1">
              <w:t>2024</w:t>
            </w:r>
            <w:r w:rsidR="00817416" w:rsidRPr="00127FE1">
              <w:t>-202</w:t>
            </w:r>
            <w:r w:rsidRPr="00127FE1">
              <w:t>9</w:t>
            </w:r>
          </w:p>
        </w:tc>
        <w:tc>
          <w:tcPr>
            <w:tcW w:w="2268" w:type="dxa"/>
            <w:shd w:val="clear" w:color="auto" w:fill="auto"/>
          </w:tcPr>
          <w:p w14:paraId="03BE5C2C" w14:textId="77777777" w:rsidR="00751A4A" w:rsidRPr="00127FE1" w:rsidRDefault="00187494" w:rsidP="0010095E">
            <w:pPr>
              <w:pStyle w:val="EPLogo"/>
            </w:pPr>
            <w:r w:rsidRPr="00127FE1">
              <w:rPr>
                <w:noProof/>
                <w:lang w:eastAsia="ja-JP"/>
              </w:rPr>
              <w:drawing>
                <wp:inline distT="0" distB="0" distL="0" distR="0" wp14:anchorId="711DDA67" wp14:editId="215097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26D83F" w14:textId="77777777" w:rsidR="00D058B8" w:rsidRPr="00127FE1" w:rsidRDefault="00D058B8" w:rsidP="004C5D52">
      <w:pPr>
        <w:pStyle w:val="LineTop"/>
      </w:pPr>
    </w:p>
    <w:p w14:paraId="6F42E2CB" w14:textId="77777777" w:rsidR="00680577" w:rsidRPr="00127FE1" w:rsidRDefault="00F33350" w:rsidP="00680577">
      <w:pPr>
        <w:pStyle w:val="EPBodyTA1"/>
      </w:pPr>
      <w:r w:rsidRPr="00127FE1">
        <w:t>PŘIJATÉ TEXTY</w:t>
      </w:r>
    </w:p>
    <w:p w14:paraId="740373E3" w14:textId="77777777" w:rsidR="00D058B8" w:rsidRPr="00127FE1" w:rsidRDefault="00D058B8" w:rsidP="00D058B8">
      <w:pPr>
        <w:pStyle w:val="LineBottom"/>
      </w:pPr>
    </w:p>
    <w:p w14:paraId="4381CC44" w14:textId="5D6E874C" w:rsidR="00F33350" w:rsidRPr="00127FE1" w:rsidRDefault="00F33350" w:rsidP="00F33350">
      <w:pPr>
        <w:pStyle w:val="ATHeading1"/>
      </w:pPr>
      <w:bookmarkStart w:id="0" w:name="TANumber"/>
      <w:r w:rsidRPr="00127FE1">
        <w:t>P10_TA(2025)0</w:t>
      </w:r>
      <w:r w:rsidR="002F1635">
        <w:t>326</w:t>
      </w:r>
      <w:bookmarkEnd w:id="0"/>
    </w:p>
    <w:p w14:paraId="65862FD5" w14:textId="18AEBBBC" w:rsidR="00F33350" w:rsidRPr="00127FE1" w:rsidRDefault="00B26F59" w:rsidP="00F33350">
      <w:pPr>
        <w:pStyle w:val="ATHeading2"/>
      </w:pPr>
      <w:r w:rsidRPr="00B26F59">
        <w:t>Vztahy mezi EU a Saúdskou Arábií</w:t>
      </w:r>
    </w:p>
    <w:p w14:paraId="67E5E421" w14:textId="77777777" w:rsidR="00F33350" w:rsidRPr="00127FE1" w:rsidRDefault="00F33350" w:rsidP="00F33350">
      <w:pPr>
        <w:rPr>
          <w:i/>
          <w:vanish/>
        </w:rPr>
      </w:pPr>
      <w:r w:rsidRPr="00127FE1">
        <w:rPr>
          <w:i/>
        </w:rPr>
        <w:fldChar w:fldCharType="begin"/>
      </w:r>
      <w:r w:rsidRPr="00127FE1">
        <w:rPr>
          <w:i/>
        </w:rPr>
        <w:instrText xml:space="preserve"> TC"(</w:instrText>
      </w:r>
      <w:bookmarkStart w:id="1" w:name="DocNumber"/>
      <w:r w:rsidRPr="00127FE1">
        <w:rPr>
          <w:i/>
        </w:rPr>
        <w:instrText>A10-0230/2025</w:instrText>
      </w:r>
      <w:bookmarkEnd w:id="1"/>
      <w:r w:rsidRPr="00127FE1">
        <w:rPr>
          <w:i/>
        </w:rPr>
        <w:instrText xml:space="preserve"> - Zpravodajka: Hana Jalloul Muro)"\l3 \n&gt; \* MERGEFORMAT </w:instrText>
      </w:r>
      <w:r w:rsidRPr="00127FE1">
        <w:rPr>
          <w:i/>
        </w:rPr>
        <w:fldChar w:fldCharType="end"/>
      </w:r>
    </w:p>
    <w:p w14:paraId="796DB973" w14:textId="77777777" w:rsidR="00F33350" w:rsidRPr="00127FE1" w:rsidRDefault="00F33350" w:rsidP="00F33350">
      <w:pPr>
        <w:rPr>
          <w:vanish/>
        </w:rPr>
      </w:pPr>
      <w:bookmarkStart w:id="2" w:name="Commission"/>
      <w:r w:rsidRPr="00127FE1">
        <w:rPr>
          <w:vanish/>
        </w:rPr>
        <w:t>Výbor pro zahraniční věci</w:t>
      </w:r>
      <w:bookmarkEnd w:id="2"/>
    </w:p>
    <w:p w14:paraId="01706D76" w14:textId="77777777" w:rsidR="00F33350" w:rsidRPr="00127FE1" w:rsidRDefault="00F33350" w:rsidP="00F33350">
      <w:pPr>
        <w:rPr>
          <w:vanish/>
        </w:rPr>
      </w:pPr>
      <w:bookmarkStart w:id="3" w:name="PE"/>
      <w:r w:rsidRPr="00127FE1">
        <w:rPr>
          <w:vanish/>
        </w:rPr>
        <w:t>PE775.425</w:t>
      </w:r>
      <w:bookmarkEnd w:id="3"/>
    </w:p>
    <w:p w14:paraId="512404EF" w14:textId="5F481484" w:rsidR="00F33350" w:rsidRPr="00127FE1" w:rsidRDefault="00F33350" w:rsidP="00F33350">
      <w:pPr>
        <w:pStyle w:val="ATHeading3"/>
      </w:pPr>
      <w:bookmarkStart w:id="4" w:name="Sujet"/>
      <w:r w:rsidRPr="00127FE1">
        <w:t>Usnesení Evropského parlamentu ze dne</w:t>
      </w:r>
      <w:r w:rsidR="00B26F59">
        <w:t xml:space="preserve"> </w:t>
      </w:r>
      <w:r w:rsidR="002F1635">
        <w:t>16</w:t>
      </w:r>
      <w:r w:rsidR="00B26F59">
        <w:t>. prosince</w:t>
      </w:r>
      <w:r w:rsidRPr="00127FE1">
        <w:t xml:space="preserve"> 2025 o vztazích mezi EU a Saúdskou Arábií</w:t>
      </w:r>
      <w:bookmarkEnd w:id="4"/>
      <w:r w:rsidRPr="00127FE1">
        <w:t xml:space="preserve"> </w:t>
      </w:r>
      <w:bookmarkStart w:id="5" w:name="References"/>
      <w:r w:rsidRPr="00127FE1">
        <w:t>(2025/2082(INI))</w:t>
      </w:r>
      <w:bookmarkEnd w:id="5"/>
    </w:p>
    <w:p w14:paraId="16C9BE75" w14:textId="77777777" w:rsidR="00A67952" w:rsidRPr="00127FE1" w:rsidRDefault="00A67952" w:rsidP="00A67952">
      <w:pPr>
        <w:pStyle w:val="Normal12"/>
      </w:pPr>
      <w:r w:rsidRPr="00127FE1">
        <w:rPr>
          <w:i/>
        </w:rPr>
        <w:t>Evropský parlament</w:t>
      </w:r>
      <w:r w:rsidRPr="00127FE1">
        <w:t>,</w:t>
      </w:r>
    </w:p>
    <w:p w14:paraId="549C3B9C" w14:textId="77777777" w:rsidR="00A67952" w:rsidRPr="00127FE1" w:rsidRDefault="00A67952" w:rsidP="00A67952">
      <w:pPr>
        <w:pStyle w:val="NormalHanging"/>
      </w:pPr>
      <w:r w:rsidRPr="00127FE1">
        <w:t>–</w:t>
      </w:r>
      <w:r w:rsidRPr="00127FE1">
        <w:tab/>
        <w:t>s ohledem na články 205 až 222 Smlouvy o fungování Evropské unie (SFEU),</w:t>
      </w:r>
    </w:p>
    <w:p w14:paraId="08A7B6DA" w14:textId="77777777" w:rsidR="00A67952" w:rsidRPr="00127FE1" w:rsidRDefault="00A67952" w:rsidP="00A67952">
      <w:pPr>
        <w:pStyle w:val="NormalHanging"/>
      </w:pPr>
      <w:r w:rsidRPr="00127FE1">
        <w:t>–</w:t>
      </w:r>
      <w:r w:rsidRPr="00127FE1">
        <w:tab/>
        <w:t xml:space="preserve">s ohledem na svá předchozí usnesení o Saúdské Arábii, zejména na usnesení ze dne 25. října 2018 o zabití novináře </w:t>
      </w:r>
      <w:proofErr w:type="spellStart"/>
      <w:r w:rsidRPr="00127FE1">
        <w:t>Džamála</w:t>
      </w:r>
      <w:proofErr w:type="spellEnd"/>
      <w:r w:rsidRPr="00127FE1">
        <w:t xml:space="preserve"> </w:t>
      </w:r>
      <w:proofErr w:type="spellStart"/>
      <w:r w:rsidRPr="00127FE1">
        <w:t>Chášukdžího</w:t>
      </w:r>
      <w:proofErr w:type="spellEnd"/>
      <w:r w:rsidRPr="00127FE1">
        <w:t xml:space="preserve"> na konzulátu Saúdské Arábie</w:t>
      </w:r>
      <w:r w:rsidRPr="00127FE1">
        <w:rPr>
          <w:rStyle w:val="FootnoteReference"/>
        </w:rPr>
        <w:footnoteReference w:customMarkFollows="1" w:id="1"/>
        <w:t>1</w:t>
      </w:r>
      <w:r w:rsidRPr="00127FE1">
        <w:t>, ze dne 11. února 2021 o humanitární a politické situaci v Jemenu</w:t>
      </w:r>
      <w:r w:rsidRPr="00127FE1">
        <w:rPr>
          <w:rStyle w:val="FootnoteReference"/>
        </w:rPr>
        <w:footnoteReference w:customMarkFollows="1" w:id="2"/>
        <w:t>2</w:t>
      </w:r>
      <w:r w:rsidRPr="00127FE1">
        <w:t xml:space="preserve"> a ze dne 8. července 2021 o trestu smrti v Saudské Arábii, zejména případech Mustafy </w:t>
      </w:r>
      <w:proofErr w:type="spellStart"/>
      <w:r w:rsidRPr="00127FE1">
        <w:t>Hášima</w:t>
      </w:r>
      <w:proofErr w:type="spellEnd"/>
      <w:r w:rsidRPr="00127FE1">
        <w:t xml:space="preserve"> ad-</w:t>
      </w:r>
      <w:proofErr w:type="spellStart"/>
      <w:r w:rsidRPr="00127FE1">
        <w:t>Darvíše</w:t>
      </w:r>
      <w:proofErr w:type="spellEnd"/>
      <w:r w:rsidRPr="00127FE1">
        <w:t xml:space="preserve"> a </w:t>
      </w:r>
      <w:proofErr w:type="spellStart"/>
      <w:r w:rsidRPr="00127FE1">
        <w:t>Abdulláha</w:t>
      </w:r>
      <w:proofErr w:type="spellEnd"/>
      <w:r w:rsidRPr="00127FE1">
        <w:t xml:space="preserve"> al-Huwajtího</w:t>
      </w:r>
      <w:r w:rsidRPr="00127FE1">
        <w:rPr>
          <w:rStyle w:val="FootnoteReference"/>
        </w:rPr>
        <w:footnoteReference w:customMarkFollows="1" w:id="3"/>
        <w:t>3</w:t>
      </w:r>
      <w:r w:rsidRPr="00127FE1">
        <w:t>,</w:t>
      </w:r>
    </w:p>
    <w:p w14:paraId="251E813E" w14:textId="77777777" w:rsidR="00A67952" w:rsidRPr="00127FE1" w:rsidRDefault="00A67952" w:rsidP="00A67952">
      <w:pPr>
        <w:pStyle w:val="NormalHanging"/>
      </w:pPr>
      <w:r w:rsidRPr="00127FE1">
        <w:t>–</w:t>
      </w:r>
      <w:r w:rsidRPr="00127FE1">
        <w:tab/>
        <w:t>s ohledem na společné sdělení Komise a vysokého představitele Unie pro zahraniční věci a bezpečnostní politiku ze dne 18. května 2022 o strategickém partnerství s oblastí Zálivu (JOIN(2022)0013) a na závěry Rady o tomto tématu ze dne 20. června 2022,</w:t>
      </w:r>
    </w:p>
    <w:p w14:paraId="1E50FC45" w14:textId="77777777" w:rsidR="00A67952" w:rsidRPr="00127FE1" w:rsidRDefault="00A67952" w:rsidP="00A67952">
      <w:pPr>
        <w:pStyle w:val="NormalHanging"/>
      </w:pPr>
      <w:r w:rsidRPr="00127FE1">
        <w:t>–</w:t>
      </w:r>
      <w:r w:rsidRPr="00127FE1">
        <w:tab/>
        <w:t>s ohledem na mandát Rady pro zahájení jednání o jednotlivých dohodách o strategickém partnerství se zeměmi Rady pro spolupráci arabských států v Zálivu (Rada pro spolupráci v Zálivu – GCC), respektive Královstvím Bahrajn, Státem Kuvajt, Sultanátem Omán, Státem Katar, Královstvím Saúdská Arábie a Spojenými arabskými emiráty,</w:t>
      </w:r>
    </w:p>
    <w:p w14:paraId="23EAA741" w14:textId="77777777" w:rsidR="00A67952" w:rsidRPr="00127FE1" w:rsidRDefault="00A67952" w:rsidP="00A67952">
      <w:pPr>
        <w:pStyle w:val="NormalHanging"/>
      </w:pPr>
      <w:r w:rsidRPr="00127FE1">
        <w:t>–</w:t>
      </w:r>
      <w:r w:rsidRPr="00127FE1">
        <w:tab/>
        <w:t>s ohledem na společné prohlášení z prvního summitu EU a Rady pro spolupráci v Zálivu konaného dne 16. října 2024,</w:t>
      </w:r>
    </w:p>
    <w:p w14:paraId="7C1F2753" w14:textId="77777777" w:rsidR="00A67952" w:rsidRPr="00127FE1" w:rsidRDefault="00A67952" w:rsidP="00A67952">
      <w:pPr>
        <w:pStyle w:val="NormalHanging"/>
      </w:pPr>
      <w:r w:rsidRPr="00127FE1">
        <w:t>–</w:t>
      </w:r>
      <w:r w:rsidRPr="00127FE1">
        <w:tab/>
        <w:t>s ohledem na společné prohlášení z 29. zasedání Smíšené rady EU–GCC a zasedání ministrů ze dne 6. října 2025,</w:t>
      </w:r>
    </w:p>
    <w:p w14:paraId="52349CA1" w14:textId="77777777" w:rsidR="00A67952" w:rsidRPr="00127FE1" w:rsidRDefault="00A67952" w:rsidP="00A67952">
      <w:pPr>
        <w:pStyle w:val="NormalHanging"/>
      </w:pPr>
      <w:r w:rsidRPr="00127FE1">
        <w:t>–</w:t>
      </w:r>
      <w:r w:rsidRPr="00127FE1">
        <w:tab/>
        <w:t>s ohledem na doporučení pro rozhodnutí Rady o nových směrnicích pro jednání o regionální dohodě o volném obchodu a dvoustranných dohodách o volném obchodu se zeměmi Rady pro spolupráci arabských států v Zálivu, respektive Královstvím Bahrajn, Státem Kuvajt, Sultanátem Omán, Státem Katar, Královstvím Saúdská Arábie a Spojenými arabskými emiráty (</w:t>
      </w:r>
      <w:hyperlink r:id="rId9" w:tgtFrame="https://eur-lex.europa.eu/legal-content/EN/ALL/?uri=CELEX:52025PC0194" w:history="1">
        <w:r w:rsidRPr="00B26F59">
          <w:t>COM(2025)0194</w:t>
        </w:r>
      </w:hyperlink>
      <w:r w:rsidRPr="00127FE1">
        <w:t>),</w:t>
      </w:r>
    </w:p>
    <w:p w14:paraId="4769A188" w14:textId="77777777" w:rsidR="00A67952" w:rsidRPr="00127FE1" w:rsidRDefault="00A67952" w:rsidP="00A67952">
      <w:pPr>
        <w:pStyle w:val="NormalHanging"/>
      </w:pPr>
      <w:r w:rsidRPr="00127FE1">
        <w:lastRenderedPageBreak/>
        <w:t>–</w:t>
      </w:r>
      <w:r w:rsidRPr="00127FE1">
        <w:tab/>
        <w:t>s ohledem na ujednání o spolupráci mezi Evropskou službou pro vnější činnost a ministerstvem zahraničních věcí Království Saúdská Arábie podepsané dne 3. října 2021,</w:t>
      </w:r>
    </w:p>
    <w:p w14:paraId="3A66BE77" w14:textId="77777777" w:rsidR="00A67952" w:rsidRPr="00127FE1" w:rsidRDefault="00A67952" w:rsidP="00A67952">
      <w:pPr>
        <w:pStyle w:val="NormalHanging"/>
      </w:pPr>
      <w:r w:rsidRPr="00127FE1">
        <w:t>–</w:t>
      </w:r>
      <w:r w:rsidRPr="00127FE1">
        <w:tab/>
        <w:t>s ohledem na čtvrté kolo rozhovorů mezi EU a Královstvím Saúdská Arábie o lidských právech, které se konalo dne 20. prosince 2024 v Rijádu,</w:t>
      </w:r>
    </w:p>
    <w:p w14:paraId="12A5AFD4" w14:textId="77777777" w:rsidR="00A67952" w:rsidRPr="00127FE1" w:rsidRDefault="00A67952" w:rsidP="00A67952">
      <w:pPr>
        <w:pStyle w:val="NormalHanging"/>
      </w:pPr>
      <w:r w:rsidRPr="00127FE1">
        <w:t>–</w:t>
      </w:r>
      <w:r w:rsidRPr="00127FE1">
        <w:tab/>
        <w:t>s ohledem na globální režim sankcí EU v oblasti lidských práv zavedený v prosinci 2020,</w:t>
      </w:r>
    </w:p>
    <w:p w14:paraId="79570E43" w14:textId="77777777" w:rsidR="00A67952" w:rsidRPr="00127FE1" w:rsidRDefault="00A67952" w:rsidP="00A67952">
      <w:pPr>
        <w:pStyle w:val="NormalHanging"/>
      </w:pPr>
      <w:r w:rsidRPr="00127FE1">
        <w:t>–</w:t>
      </w:r>
      <w:r w:rsidRPr="00127FE1">
        <w:tab/>
        <w:t>s ohledem na obecné zásady EU týkající se ochránců lidských práv, které byly přijaty roce 2004 a revidovány v roce 2008,</w:t>
      </w:r>
    </w:p>
    <w:p w14:paraId="1BCB0DAA" w14:textId="77777777" w:rsidR="00A67952" w:rsidRPr="00127FE1" w:rsidRDefault="00A67952" w:rsidP="00A67952">
      <w:pPr>
        <w:pStyle w:val="NormalHanging"/>
      </w:pPr>
      <w:r w:rsidRPr="00127FE1">
        <w:t>–</w:t>
      </w:r>
      <w:r w:rsidRPr="00127FE1">
        <w:tab/>
        <w:t>s ohledem na zprávu Skupiny expertů OSN pro geografické názvosloví o Království Saúdská Arábie ze dne 8. dubna 2025 (2025/169/CRP.169),</w:t>
      </w:r>
    </w:p>
    <w:p w14:paraId="57D7E6D5" w14:textId="77777777" w:rsidR="00A67952" w:rsidRPr="00127FE1" w:rsidRDefault="00A67952" w:rsidP="00A67952">
      <w:pPr>
        <w:pStyle w:val="NormalHanging"/>
      </w:pPr>
      <w:r w:rsidRPr="00127FE1">
        <w:t>–</w:t>
      </w:r>
      <w:r w:rsidRPr="00127FE1">
        <w:tab/>
        <w:t>s ohledem na Úmluvu OSN o odstranění všech forem diskriminace žen ze dne 18. prosince 1979,</w:t>
      </w:r>
    </w:p>
    <w:p w14:paraId="10BF5C70" w14:textId="77777777" w:rsidR="00A67952" w:rsidRPr="00127FE1" w:rsidRDefault="00A67952" w:rsidP="00A67952">
      <w:pPr>
        <w:pStyle w:val="NormalHanging"/>
      </w:pPr>
      <w:r w:rsidRPr="00127FE1">
        <w:t>–</w:t>
      </w:r>
      <w:r w:rsidRPr="00127FE1">
        <w:tab/>
        <w:t>s ohledem na článek 55 jednacího řádu,</w:t>
      </w:r>
    </w:p>
    <w:p w14:paraId="1849ED1C" w14:textId="77777777" w:rsidR="00A67952" w:rsidRPr="00127FE1" w:rsidRDefault="00A67952" w:rsidP="00A67952">
      <w:pPr>
        <w:pStyle w:val="NormalHanging"/>
      </w:pPr>
      <w:r w:rsidRPr="00127FE1">
        <w:t>–</w:t>
      </w:r>
      <w:r w:rsidRPr="00127FE1">
        <w:tab/>
        <w:t>s ohledem na zprávu Výboru pro zahraniční věci (A10-0230/2025),</w:t>
      </w:r>
    </w:p>
    <w:p w14:paraId="671A1C64" w14:textId="77777777" w:rsidR="00A67952" w:rsidRPr="00127FE1" w:rsidRDefault="00A67952" w:rsidP="00A67952">
      <w:pPr>
        <w:pStyle w:val="NormalHanging"/>
      </w:pPr>
      <w:r w:rsidRPr="00127FE1">
        <w:t>A.</w:t>
      </w:r>
      <w:r w:rsidRPr="00127FE1">
        <w:tab/>
        <w:t>vzhledem k tomu, že Saúdská Arábie je pro EU klíčovým dvoustranným a regionálním partnerem; vzhledem k tomu, že je důležité prohloubit tuto spolupráci až ke strategickému partnerství s cílem posílit dvoustranné vztahy a podpořit spolupráci v různých odvětvích, včetně obrany, kultury a inovací, ale především energetiky;</w:t>
      </w:r>
    </w:p>
    <w:p w14:paraId="6FC024A2" w14:textId="77777777" w:rsidR="00A67952" w:rsidRPr="00127FE1" w:rsidRDefault="00A67952" w:rsidP="00A67952">
      <w:pPr>
        <w:pStyle w:val="NormalHanging"/>
      </w:pPr>
      <w:r w:rsidRPr="00127FE1">
        <w:t>B.</w:t>
      </w:r>
      <w:r w:rsidRPr="00127FE1">
        <w:tab/>
        <w:t>vzhledem k tomu, že Saúdská Arábie je v celosvětovém měřítku 17. největším obchodním partnerem EU a EU je v Saúdské Arábii největším zahraničním investorem;</w:t>
      </w:r>
    </w:p>
    <w:p w14:paraId="394A41CE" w14:textId="77777777" w:rsidR="00A67952" w:rsidRPr="00127FE1" w:rsidRDefault="00A67952" w:rsidP="00A67952">
      <w:pPr>
        <w:pStyle w:val="NormalHanging"/>
      </w:pPr>
      <w:r w:rsidRPr="00127FE1">
        <w:t>C.</w:t>
      </w:r>
      <w:r w:rsidRPr="00127FE1">
        <w:tab/>
        <w:t>vzhledem k tomu, že v posledním desetiletí Saúdská Arábie a Čína prohloubily své vztahy v rámci saúdskoarabského projektu „Vize 2030“ a Saúdská Arábie se stala největším příjemcem čínských investic v rámci iniciativy „Jeden pás, jedna cesta“, včetně investic do strategické infrastruktury, jako jsou přístavy a digitální sítě; vzhledem k tomu, že Čína je od roku 2019 hlavním odběratelem saúdskoarabské surové ropy; vzhledem k tomu, že Saúdská Arábie a Čína posílily spolupráci v oblasti zahraniční politiky, bezpečnosti, energetiky, obchodu a technologií prostřednictvím zřízení společného výboru na vysoké úrovni a příslušných podvýborů v roce 2016;</w:t>
      </w:r>
    </w:p>
    <w:p w14:paraId="70CB457D" w14:textId="77777777" w:rsidR="00A67952" w:rsidRPr="00127FE1" w:rsidRDefault="00A67952" w:rsidP="00A67952">
      <w:pPr>
        <w:pStyle w:val="NormalHanging"/>
      </w:pPr>
      <w:r w:rsidRPr="00127FE1">
        <w:t>D.</w:t>
      </w:r>
      <w:r w:rsidRPr="00127FE1">
        <w:tab/>
        <w:t>vzhledem k tomu, že Saúdská Arábie posiluje své vztahy s Indií, zejména prostřednictvím projektu nazvaného „Hospodářský koridor Indie – Blízký východ – Evropa“, jehož cílem je zlepšit propojení Asie a Evropy přes Arabský poloostrov;</w:t>
      </w:r>
    </w:p>
    <w:p w14:paraId="4135BB74" w14:textId="77777777" w:rsidR="00A67952" w:rsidRPr="00127FE1" w:rsidRDefault="00A67952" w:rsidP="00A67952">
      <w:pPr>
        <w:pStyle w:val="NormalHanging"/>
      </w:pPr>
      <w:r w:rsidRPr="00127FE1">
        <w:t>E.</w:t>
      </w:r>
      <w:r w:rsidRPr="00127FE1">
        <w:tab/>
        <w:t>vzhledem k tomu, že Saúdská Arábie dále upevňuje svůj status důvěryhodného regionálního mediátora a klíčového globálního aktéra a je klíčové, aby v této roli plně dodržovala a prosazovala lidská práva a mezinárodní právo;</w:t>
      </w:r>
    </w:p>
    <w:p w14:paraId="45653279" w14:textId="77777777" w:rsidR="00A67952" w:rsidRPr="00127FE1" w:rsidRDefault="00A67952" w:rsidP="00A67952">
      <w:pPr>
        <w:pStyle w:val="NormalHanging"/>
      </w:pPr>
      <w:r w:rsidRPr="00127FE1">
        <w:t>F.</w:t>
      </w:r>
      <w:r w:rsidRPr="00127FE1">
        <w:tab/>
        <w:t xml:space="preserve">vzhledem k tomu, že Mezinárodní soudní dvůr (ICJ) v současnosti projednává žalobu týkající se uplatňování Úmluvy o zabránění a trestání zločinu </w:t>
      </w:r>
      <w:proofErr w:type="spellStart"/>
      <w:r w:rsidRPr="00127FE1">
        <w:t>genocidia</w:t>
      </w:r>
      <w:proofErr w:type="spellEnd"/>
      <w:r w:rsidRPr="00127FE1">
        <w:t xml:space="preserve"> v Pásmu Gazy (Jižní</w:t>
      </w:r>
      <w:r w:rsidRPr="00127FE1">
        <w:rPr>
          <w:i/>
        </w:rPr>
        <w:t xml:space="preserve"> </w:t>
      </w:r>
      <w:r w:rsidRPr="00127FE1">
        <w:t>Afrika v. Izrael), kterou podala Jižní Afrika dne 29. prosince 2023;</w:t>
      </w:r>
    </w:p>
    <w:p w14:paraId="564E23EC" w14:textId="77777777" w:rsidR="00A67952" w:rsidRPr="00127FE1" w:rsidRDefault="00A67952" w:rsidP="00A67952">
      <w:pPr>
        <w:pStyle w:val="NormalHanging"/>
      </w:pPr>
      <w:r w:rsidRPr="00127FE1">
        <w:lastRenderedPageBreak/>
        <w:t>G.</w:t>
      </w:r>
      <w:r w:rsidRPr="00127FE1">
        <w:tab/>
        <w:t>vzhledem k tomu, že Saúdská Arábie posiluje dialog a spolupráci s EU v oblasti lidských práv;</w:t>
      </w:r>
    </w:p>
    <w:p w14:paraId="0EC4F805" w14:textId="77777777" w:rsidR="00A67952" w:rsidRPr="00127FE1" w:rsidRDefault="00A67952" w:rsidP="00A67952">
      <w:pPr>
        <w:pStyle w:val="NormalHanging"/>
      </w:pPr>
      <w:r w:rsidRPr="00127FE1">
        <w:t>H.</w:t>
      </w:r>
      <w:r w:rsidRPr="00127FE1">
        <w:tab/>
        <w:t>vzhledem k tomu, že podpora dodržování lidských práv a mezinárodního práva v zahraniční politice, včetně obchodu, je pro EU smluvní povinností, jež je zakotvena v článcích 3 a 21 Smlouvy o Evropské unii;</w:t>
      </w:r>
    </w:p>
    <w:p w14:paraId="356B7EC8" w14:textId="77777777" w:rsidR="00A67952" w:rsidRPr="00127FE1" w:rsidRDefault="00A67952" w:rsidP="00A67952">
      <w:pPr>
        <w:pStyle w:val="NormalHanging"/>
      </w:pPr>
      <w:r w:rsidRPr="00127FE1">
        <w:t>I.</w:t>
      </w:r>
      <w:r w:rsidRPr="00127FE1">
        <w:tab/>
        <w:t>vzhledem k tomu, že Výbor OSN pro odstranění diskriminace žen vyjádřil ve svých zjištěních o Saúdské Arábii z října 2024 obavy ohledně zakořeněných diskriminačních praktik, obtěžování aktivistek a širšího dopadu represivních opatření, včetně používání trestu smrti;</w:t>
      </w:r>
    </w:p>
    <w:p w14:paraId="77EB8383" w14:textId="77777777" w:rsidR="00A67952" w:rsidRPr="00127FE1" w:rsidRDefault="00A67952" w:rsidP="00A67952">
      <w:pPr>
        <w:pStyle w:val="NormalHanging"/>
      </w:pPr>
      <w:r w:rsidRPr="00127FE1">
        <w:t>J.</w:t>
      </w:r>
      <w:r w:rsidRPr="00127FE1">
        <w:tab/>
        <w:t>vzhledem k tomu, že příští summit EU a Rady pro spolupráci v Zálivu, který se má konat v roce 2026 v Rijádu, bude rozhodující pro další rozšíření rozsahu vztahů mezi EU a Saúdskou Arábií a pro posílení spolupráce v klíčových otázkách společného zájmu;</w:t>
      </w:r>
    </w:p>
    <w:p w14:paraId="21213606" w14:textId="77777777" w:rsidR="00A67952" w:rsidRPr="00474531" w:rsidRDefault="00A67952" w:rsidP="00A67952">
      <w:pPr>
        <w:pStyle w:val="Normal12a"/>
        <w:rPr>
          <w:b/>
          <w:bCs/>
        </w:rPr>
      </w:pPr>
      <w:r w:rsidRPr="00474531">
        <w:rPr>
          <w:b/>
          <w:bCs/>
          <w:i/>
        </w:rPr>
        <w:t>Dvoustranné vztahy mezi EU a Saúdskou Arábií</w:t>
      </w:r>
    </w:p>
    <w:p w14:paraId="12223A5B" w14:textId="77777777" w:rsidR="00A67952" w:rsidRPr="00127FE1" w:rsidRDefault="00A67952" w:rsidP="00A67952">
      <w:pPr>
        <w:pStyle w:val="NormalHanging12a"/>
      </w:pPr>
      <w:r w:rsidRPr="00127FE1">
        <w:t>1.</w:t>
      </w:r>
      <w:r w:rsidRPr="00127FE1">
        <w:tab/>
        <w:t>vyzdvihuje pozitivní spolupráci EU a Rady pro spolupráci v Zálivu coby dvou hlavních aktérů v rozšířeném Středomoří, k níž došlo na jejich prvním společném summitu v roce 2024; potvrzuje, že cílem EU je posílit dvoustranné vztahy s každou zemí Rady pro spolupráci v Zálivu prostřednictvím dohod o strategickém partnerství, které by řešily současný chybějící právně závazný rámec pro dvoustranné vztahy mezi EU a Saúdskou Arábií, a uvolnily tak potenciál pro hlubší a širší spolupráci v oblastech, jako je zahraniční a bezpečnostní politika, spravedlnost a prosazování práva, obchod a investice, energetika a klima, digitální transformace, životní prostředí, výzkum a inovace, umělá inteligence, konektivita, digitální správa, vzdělávání, kultura, výzkum, mládež a mezilidské kontakty, i potenciál pro dosažení reforem v oblasti lidských a pracovních práv v zemích Rady pro spolupráci v Zálivu;</w:t>
      </w:r>
    </w:p>
    <w:p w14:paraId="4625750C" w14:textId="77777777" w:rsidR="00A67952" w:rsidRPr="00127FE1" w:rsidRDefault="00A67952" w:rsidP="00A67952">
      <w:pPr>
        <w:pStyle w:val="NormalHanging12a"/>
      </w:pPr>
      <w:r w:rsidRPr="00127FE1">
        <w:t>2.</w:t>
      </w:r>
      <w:r w:rsidRPr="00127FE1">
        <w:tab/>
        <w:t>vítá sbližování a spolupráci mezi Saúdskou Arábií a EU v oblasti zahraniční a bezpečnostní politiky;</w:t>
      </w:r>
    </w:p>
    <w:p w14:paraId="26082BD9" w14:textId="77777777" w:rsidR="00A67952" w:rsidRPr="00127FE1" w:rsidRDefault="00A67952" w:rsidP="00A67952">
      <w:pPr>
        <w:pStyle w:val="NormalHanging12a"/>
      </w:pPr>
      <w:r w:rsidRPr="00127FE1">
        <w:t>3.</w:t>
      </w:r>
      <w:r w:rsidRPr="00127FE1">
        <w:tab/>
        <w:t>zdůrazňuje potenciál pro další hospodářskou spolupráci mezi EU a Saúdskou Arábií v oblasti udržitelné energetiky, kritických surovin, informačních technologií a podnikání a konstatuje, že hospodářská spolupráce mezi EU a Saúdskou Arábií je základem dvoustranných vztahů; vyzývá k posílení spolupráce mezi EU a Saúdskou Arábií v těchto oblastech; staví se za to, aby Saúdská Arábie dodržovala právní předpisy EU týkající se náležité péče při uzavírání hospodářských nebo obchodních dohod, do nichž jsou zapojeny společnosti vlastněné saúdskoarabským Veřejným investičním fondem nebo k tomuto fondu přidružené;</w:t>
      </w:r>
    </w:p>
    <w:p w14:paraId="2286D92F" w14:textId="77777777" w:rsidR="00A67952" w:rsidRPr="00127FE1" w:rsidRDefault="00A67952" w:rsidP="00A67952">
      <w:pPr>
        <w:pStyle w:val="NormalHanging12a"/>
      </w:pPr>
      <w:r w:rsidRPr="00127FE1">
        <w:t>4.</w:t>
      </w:r>
      <w:r w:rsidRPr="00127FE1">
        <w:tab/>
        <w:t xml:space="preserve">zdůrazňuje, že prohloubení spolupráce mezi EU a Saúdskou Arábií v oblasti energetiky a obchodu by mělo posílit strategickou autonomii EU prostřednictvím krátkodobé diverzifikace spolehlivých zdrojů dodávek energie; zdůrazňuje, že ačkoli Saúdská Arábie zůstává klíčovým globálním aktérem na trzích s energií z fosilních paliv, vydala se rovněž na cestu diverzifikace a udržitelnosti a investuje do energie z obnovitelných zdrojů, zejména do rozsáhlých solárních a vodíkových projektů; konstatuje, že Saúdská Arábie se nyní řadí mezi deset největších světových trhů se skladováním energie, což dále posiluje její vedoucí postavení v oblasti energie z obnovitelných zdrojů; </w:t>
      </w:r>
      <w:r w:rsidRPr="00127FE1">
        <w:lastRenderedPageBreak/>
        <w:t>zdůrazňuje, že využití obrovského potenciálu Saúdské Arábie v oblasti solární energie spolu s pokročilými technologiemi EU v oblasti obnovitelných zdrojů může umožnit společné iniciativy v oblasti zeleného vodíku, udržitelných paliv a energetické infrastruktury nové generace;</w:t>
      </w:r>
    </w:p>
    <w:p w14:paraId="2A46A024" w14:textId="77777777" w:rsidR="00A67952" w:rsidRPr="00127FE1" w:rsidRDefault="00A67952" w:rsidP="00A67952">
      <w:pPr>
        <w:pStyle w:val="NormalHanging12a"/>
      </w:pPr>
      <w:r w:rsidRPr="00127FE1">
        <w:t>5.</w:t>
      </w:r>
      <w:r w:rsidRPr="00127FE1">
        <w:tab/>
        <w:t>opětovně zdůrazňuje, že EU je odhodlána podporovat Saúdskou Arábii v její snaze o socioekonomickou diverzifikaci a reformy, včetně podpory udržitelného rozvoje;</w:t>
      </w:r>
    </w:p>
    <w:p w14:paraId="727A442A" w14:textId="77777777" w:rsidR="00A67952" w:rsidRPr="00127FE1" w:rsidRDefault="00A67952" w:rsidP="00A67952">
      <w:pPr>
        <w:pStyle w:val="NormalHanging12a"/>
      </w:pPr>
      <w:r w:rsidRPr="00127FE1">
        <w:t>6.</w:t>
      </w:r>
      <w:r w:rsidRPr="00127FE1">
        <w:tab/>
        <w:t>opětovně zdůrazňuje, že EU je i nadále odhodlána prosazovat bezpečnou a vzájemně výhodnou dohodu o bezvízovém styku se zbývajícími pěti zeměmi Rady pro spolupráci v Zálivu, a zajistit jim tak rovné zacházení, přičemž tato dohoda by mohla být posouzena v souvislosti s novou strategií EU v oblasti vízové politiky; poukazuje na značný hospodářský význam saúdskoarabských turistů pro členské státy EU, zejména pokud jde o podporu klíčových odvětví, jako jsou pohostinství, maloobchod a kulturní odvětví; zdůrazňuje, že saúdskoarabští občané nejsou zdrojem nelegální migrace</w:t>
      </w:r>
      <w:r w:rsidRPr="00127FE1">
        <w:rPr>
          <w:rStyle w:val="FootnoteReference"/>
        </w:rPr>
        <w:footnoteReference w:customMarkFollows="1" w:id="4"/>
        <w:t>4</w:t>
      </w:r>
      <w:r w:rsidRPr="00127FE1">
        <w:t>, a vyzývá proto Komisi a členské státy, aby zvážily zavedení osvobození od schengenské vízové povinnosti po uplatnění kaskádového mechanismu s cílem usnadnit cestovní ruch, rozšířit mezilidské kontakty a dále posílit hospodářské a kulturní vztahy mezi EU a Saúdskou Arábií;</w:t>
      </w:r>
    </w:p>
    <w:p w14:paraId="5795FD36" w14:textId="77777777" w:rsidR="00A67952" w:rsidRPr="00127FE1" w:rsidRDefault="00A67952" w:rsidP="00A67952">
      <w:pPr>
        <w:pStyle w:val="NormalHanging12a"/>
      </w:pPr>
      <w:r w:rsidRPr="00127FE1">
        <w:t>7.</w:t>
      </w:r>
      <w:r w:rsidRPr="00127FE1">
        <w:tab/>
        <w:t xml:space="preserve">vyzývá EU, aby dále usnadňovala spolupráci v oblasti regulace, která Saúdské Arábii pomůže v jejím úsilí o zavedení pravidel a postupů pro úspěšnou energetickou diverzifikaci a sociálně-ekonomickou reformu; vybízí k posílení partnerství mezi vzdělávacími a výzkumnými subjekty z EU a Saúdské Arábie, mimo jiné prostřednictvím programů, jako jsou Erasmus </w:t>
      </w:r>
      <w:proofErr w:type="spellStart"/>
      <w:r w:rsidRPr="00127FE1">
        <w:t>Mundus</w:t>
      </w:r>
      <w:proofErr w:type="spellEnd"/>
      <w:r w:rsidRPr="00127FE1">
        <w:t xml:space="preserve"> a Horizont Evropa; zdůrazňuje, že je důležité vytvořit nezbytné podmínky pro zvýšení mobility studentů; zdůrazňuje, že rozšíření výměnných příležitostí pro mladé lidi významně přispěje k upevnění vztahů mezi EU, Saúdskou Arábií a celou oblastí Perského zálivu;</w:t>
      </w:r>
    </w:p>
    <w:p w14:paraId="301FE77F" w14:textId="77777777" w:rsidR="00A67952" w:rsidRPr="00474531" w:rsidRDefault="00A67952" w:rsidP="00A67952">
      <w:pPr>
        <w:pStyle w:val="Normal12a"/>
        <w:rPr>
          <w:b/>
          <w:bCs/>
        </w:rPr>
      </w:pPr>
      <w:r w:rsidRPr="00474531">
        <w:rPr>
          <w:b/>
          <w:bCs/>
          <w:i/>
        </w:rPr>
        <w:t>Priority zahraniční politiky Saúdské Arábie a příležitosti pro EU</w:t>
      </w:r>
    </w:p>
    <w:p w14:paraId="5300B5AC" w14:textId="77777777" w:rsidR="00A67952" w:rsidRPr="00127FE1" w:rsidRDefault="00A67952" w:rsidP="00A67952">
      <w:pPr>
        <w:pStyle w:val="NormalHanging12a"/>
      </w:pPr>
      <w:r w:rsidRPr="00127FE1">
        <w:t>8.</w:t>
      </w:r>
      <w:r w:rsidRPr="00127FE1">
        <w:tab/>
        <w:t>upozorňuje na význam Saúdské Arábie jako diplomatického aktéra a na její významný přínos k regionální a celosvětové stabilitě, zejména v souvislosti s vojenskými operacemi Izraele v Gaze, jakož i s ohledem na nedávný vývoj v Sýrii, Libanonu, Jemenu, Rudém moři a Súdánu;</w:t>
      </w:r>
    </w:p>
    <w:p w14:paraId="5D466CB6" w14:textId="77777777" w:rsidR="00A67952" w:rsidRPr="00127FE1" w:rsidRDefault="00A67952" w:rsidP="00A67952">
      <w:pPr>
        <w:pStyle w:val="NormalHanging12a"/>
      </w:pPr>
      <w:r w:rsidRPr="00127FE1">
        <w:t>9.</w:t>
      </w:r>
      <w:r w:rsidRPr="00127FE1">
        <w:tab/>
        <w:t xml:space="preserve">vzhledem k eskalaci dění v těchto regionech vyzývá k posílení zahraniční a bezpečnostní spolupráce; zdůrazňuje, že společné sdělení o strategickém partnerství s oblastí Zálivu i budoucí dohoda o strategickém partnerství obsahují výzvu k posílení politické a bezpečnostní spolupráce; zdůrazňuje, že tato spolupráce musí být založena na sdíleném odhodlání dodržovat mezinárodní právo, včetně lidských práv, mezinárodního humanitárního práva a Charty OSN; vyjadřuje podporu rozhodnutí Rady z července 2025, kterým se Komise a vysoká představitelka Unie pro zahraniční věci a bezpečnostní politiku zmocňují k zahájení jednání o ustanovení dohody o strategickém partnerství s Královstvím Saúdská Arábie; uznává, že tato iniciativa je klíčovou příležitostí k prosazování strategických zájmů EU, posílení regionální stability a </w:t>
      </w:r>
      <w:r w:rsidRPr="00127FE1">
        <w:lastRenderedPageBreak/>
        <w:t>zlepšení spolupráce v oblasti energetiky a bezpečnosti; vyzývá k intenzivnímu a aktivnímu zapojení obou stran po celou dobu jednání s cílem zajistit jeho rychlé a včasné ukončení; zdůrazňuje, že posílená spolupráce EU se Saúdskou Arábií by měla rovněž sloužit k upevnění společných závazků v oblasti míru a stability a k ochraně mnohostranného systému založeného na pravidlech;</w:t>
      </w:r>
    </w:p>
    <w:p w14:paraId="71C56B2A" w14:textId="77777777" w:rsidR="00A67952" w:rsidRPr="00127FE1" w:rsidRDefault="00A67952" w:rsidP="00A67952">
      <w:pPr>
        <w:pStyle w:val="NormalHanging12a"/>
      </w:pPr>
      <w:r w:rsidRPr="00127FE1">
        <w:t>10.</w:t>
      </w:r>
      <w:r w:rsidRPr="00127FE1">
        <w:tab/>
        <w:t>vyzdvihuje důležitou diplomatickou úlohu Saúdské Arábie, zejména pokud jde o podporu zmírňování napětí v Jemenu, posilování námořní bezpečnosti v Rudém moři, pořádání rozhovorů o Ukrajině a napomáhání dialogu o Súdánu, čímž konstruktivně přispívá k regionální a mezinárodní stabilitě;</w:t>
      </w:r>
    </w:p>
    <w:p w14:paraId="3DAD1D6C" w14:textId="77777777" w:rsidR="00A67952" w:rsidRPr="00127FE1" w:rsidRDefault="00A67952" w:rsidP="00A67952">
      <w:pPr>
        <w:pStyle w:val="NormalHanging12a"/>
      </w:pPr>
      <w:r w:rsidRPr="00127FE1">
        <w:t>11.</w:t>
      </w:r>
      <w:r w:rsidRPr="00127FE1">
        <w:tab/>
        <w:t>vyzývá Saúdskou Arábii, aby pokračovala ve spolupráci s EU v oblasti boje proti terorismu a předcházení radikalizaci, jež musí probíhat v souladu s mezinárodními normami v oblasti lidských práv; zdůrazňuje, že je důležité, aby v těchto oblastech existovala mezi EU a Saúdskou Arábií dalekosáhlá shoda;</w:t>
      </w:r>
    </w:p>
    <w:p w14:paraId="354E991E" w14:textId="77777777" w:rsidR="00A67952" w:rsidRPr="00127FE1" w:rsidRDefault="00A67952" w:rsidP="00A67952">
      <w:pPr>
        <w:pStyle w:val="NormalHanging12a"/>
      </w:pPr>
      <w:r w:rsidRPr="00127FE1">
        <w:t>12.</w:t>
      </w:r>
      <w:r w:rsidRPr="00127FE1">
        <w:tab/>
        <w:t xml:space="preserve">oceňuje úsilí Saúdské Arábie o podporu deeskalace v souvislosti s izraelskými vojenskými operacemi v Gaze; připomíná svůj postoj vyjádřený v usnesení Parlamentu ze dne 11. září 2025 o Gaze na pokraji kolapsu: opatření EU v boji proti hladomoru, naléhavá potřeba propustit rukojmí a pokročit směrem k </w:t>
      </w:r>
      <w:proofErr w:type="spellStart"/>
      <w:r w:rsidRPr="00127FE1">
        <w:t>dvoustátnímu</w:t>
      </w:r>
      <w:proofErr w:type="spellEnd"/>
      <w:r w:rsidRPr="00127FE1">
        <w:t xml:space="preserve"> řešení</w:t>
      </w:r>
      <w:r w:rsidRPr="00127FE1">
        <w:rPr>
          <w:rStyle w:val="FootnoteReference"/>
        </w:rPr>
        <w:footnoteReference w:customMarkFollows="1" w:id="5"/>
        <w:t>5</w:t>
      </w:r>
      <w:r w:rsidRPr="00127FE1">
        <w:t xml:space="preserve"> a vítá Newyorskou deklaraci o mírovém urovnání palestinské otázky a realizaci </w:t>
      </w:r>
      <w:proofErr w:type="spellStart"/>
      <w:r w:rsidRPr="00127FE1">
        <w:t>dvoustátního</w:t>
      </w:r>
      <w:proofErr w:type="spellEnd"/>
      <w:r w:rsidRPr="00127FE1">
        <w:t xml:space="preserve"> řešení ze dne 29. července 2025 a její schválení Valným shromážděním OSN dne 12. září 2025;</w:t>
      </w:r>
    </w:p>
    <w:p w14:paraId="2354E86B" w14:textId="77777777" w:rsidR="00A67952" w:rsidRPr="00127FE1" w:rsidRDefault="00A67952" w:rsidP="00A67952">
      <w:pPr>
        <w:pStyle w:val="NormalHanging12a"/>
      </w:pPr>
      <w:r w:rsidRPr="00127FE1">
        <w:t>13.</w:t>
      </w:r>
      <w:r w:rsidRPr="00127FE1">
        <w:tab/>
        <w:t xml:space="preserve">bere na vědomí úsilí Saúdské Arábie a některých dalších arabských států o normalizaci diplomatických vztahů s Izraelem v rámci Abrahámovských dohod z roku 2020; vyzývá EU, aby v zájmu regionální stability podporovala iniciativy, které se v unijním rámci přijatého </w:t>
      </w:r>
      <w:proofErr w:type="spellStart"/>
      <w:r w:rsidRPr="00127FE1">
        <w:t>dvoustátního</w:t>
      </w:r>
      <w:proofErr w:type="spellEnd"/>
      <w:r w:rsidRPr="00127FE1">
        <w:t xml:space="preserve"> řešení snaží získat širokou regionální a mezinárodní podporu pro lepší budoucnost arabsko-izraelských vztahů</w:t>
      </w:r>
    </w:p>
    <w:p w14:paraId="0B652685" w14:textId="77777777" w:rsidR="00A67952" w:rsidRPr="00127FE1" w:rsidRDefault="00A67952" w:rsidP="00A67952">
      <w:pPr>
        <w:pStyle w:val="NormalHanging12a"/>
      </w:pPr>
      <w:r w:rsidRPr="00127FE1">
        <w:t>14.</w:t>
      </w:r>
      <w:r w:rsidRPr="00127FE1">
        <w:tab/>
        <w:t>oceňuje značný diplomatický a finanční vliv Saúdské Arábie v Sýrii, mimo jiné prostřednictvím regionálních konzultací, ale i širšího úsilí o stabilizaci a obnovu; vyzývá Saúdskou Arábii a její partnery v regionu, aby přechodné syrské vládě pomáhali při vytváření trvalé a inkluzivní politické a bezpečnostní struktury; zdůrazňuje, že je důležité zachovat svrchovanost a územní celistvost Sýrie i zapojení a ochranu syrských menšin; vyzývá k posílení spolupráce mezi EU a Saúdskou Arábií s cílem usilovat o pokojnou a inkluzivní transformaci v Sýrii a chránit křesťany a všechny syrské komunity, přičemž je nutné zaručit jejich bezpečnost a náboženskou svobodu, jakož i ochranu jejich kulturního dědictví;</w:t>
      </w:r>
    </w:p>
    <w:p w14:paraId="42836108" w14:textId="77777777" w:rsidR="00A67952" w:rsidRPr="00127FE1" w:rsidRDefault="00A67952" w:rsidP="00A67952">
      <w:pPr>
        <w:pStyle w:val="NormalHanging12a"/>
      </w:pPr>
      <w:r w:rsidRPr="00127FE1">
        <w:t>15.</w:t>
      </w:r>
      <w:r w:rsidRPr="00127FE1">
        <w:tab/>
        <w:t>opětovně potvrzuje, že EU podporuje politickou a sociálně-ekonomickou obnovu Libanonu, a zdůrazňuje význam spolupráce mezi EU a Saúdskou Arábií při provádění rezoluce Rady bezpečnosti OSN č. 1701 (2006) a podpoře libanonských ozbrojených sil; vítá úsilí libanonské vlády a vyzývá k odzbrojení Hizballáhu; znovu opakuje, že je důležité, aby všechny země v regionu respektovaly svrchovanost a územní celistvost Libanonu, a vyzývá všechny strany k ochraně členů mírových jednotek z Prozatímních sil OSN v Libanonu (UNIFIL);</w:t>
      </w:r>
    </w:p>
    <w:p w14:paraId="452E49E5" w14:textId="77777777" w:rsidR="00A67952" w:rsidRPr="00127FE1" w:rsidRDefault="00A67952" w:rsidP="00A67952">
      <w:pPr>
        <w:pStyle w:val="NormalHanging12a"/>
      </w:pPr>
      <w:r w:rsidRPr="00127FE1">
        <w:lastRenderedPageBreak/>
        <w:t>16.</w:t>
      </w:r>
      <w:r w:rsidRPr="00127FE1">
        <w:tab/>
        <w:t>oceňuje konstruktivní úlohu Saúdské Arábie v nynější situaci napjatých regionálních vztahů, intenzivnější spolupráci mezi Saúdskou Arábií a Spojenými arabskými emiráty a postupnou normalizaci diplomatických vztahů s Íránem; vyzdvihuje shodu mezi EU a Saúdskou Arábií, pokud jde o omezení vlivu íránských spojenců a zastavení dalšího rozvoje íránského jaderného programu;</w:t>
      </w:r>
    </w:p>
    <w:p w14:paraId="1BD5B5CD" w14:textId="77777777" w:rsidR="00A67952" w:rsidRPr="00127FE1" w:rsidRDefault="00A67952" w:rsidP="00A67952">
      <w:pPr>
        <w:pStyle w:val="NormalHanging12a"/>
      </w:pPr>
      <w:r w:rsidRPr="00127FE1">
        <w:t>17.</w:t>
      </w:r>
      <w:r w:rsidRPr="00127FE1">
        <w:tab/>
        <w:t>vyzdvihuje společnou prioritu EU a Saúdské Arábie, kterou je nastolení trvalého míru v Jemenu, a oceňuje trvalé odhodlání Saúdské Arábie dosáhnout v Jemenu inkluzivního politického řešení; vyzývá Saúdskou Arábii, aby podpořila nezávislý mezinárodní vyšetřovací mechanismus, jenž by se zabýval porušováním mezinárodního humanitárního práva v Jemenu v letech 2015 až 2022; vybízí k navýšení humanitární pomoci, kterou Jemenu poskytují EU a Saúdská Arábie, a ke společnému boji obou stran proti útokům na humanitární pracovníky;</w:t>
      </w:r>
    </w:p>
    <w:p w14:paraId="70AC4A9E" w14:textId="77777777" w:rsidR="00A67952" w:rsidRPr="00127FE1" w:rsidRDefault="00A67952" w:rsidP="00A67952">
      <w:pPr>
        <w:pStyle w:val="NormalHanging12a"/>
      </w:pPr>
      <w:r w:rsidRPr="00127FE1">
        <w:t>18.</w:t>
      </w:r>
      <w:r w:rsidRPr="00127FE1">
        <w:tab/>
        <w:t xml:space="preserve">vítá rozhovory zprostředkované OSN, které se konaly v lednu 2025 v Rijádu za účelem vypracování plánu pro inkluzivní mír v Jemenu a které přinesly pokrok v otázce harmonogramu pro odzbrojení </w:t>
      </w:r>
      <w:proofErr w:type="spellStart"/>
      <w:r w:rsidRPr="00127FE1">
        <w:t>Hútiů</w:t>
      </w:r>
      <w:proofErr w:type="spellEnd"/>
      <w:r w:rsidRPr="00127FE1">
        <w:t>; upozorňuje, že tento harmonogram je i nadále závislý na hospodářské pomoci Saúdské Arábie;</w:t>
      </w:r>
    </w:p>
    <w:p w14:paraId="1CB784BD" w14:textId="77777777" w:rsidR="00A67952" w:rsidRPr="00127FE1" w:rsidRDefault="00A67952" w:rsidP="00A67952">
      <w:pPr>
        <w:pStyle w:val="NormalHanging12a"/>
      </w:pPr>
      <w:r w:rsidRPr="00127FE1">
        <w:t>19.</w:t>
      </w:r>
      <w:r w:rsidRPr="00127FE1">
        <w:tab/>
        <w:t xml:space="preserve">zdůrazňuje, že EU je neochvějně odhodlána zajistit ochranu námořních tras a mezinárodních plavebních práv v Rudém moři; vyzdvihuje i odhodlání Saúdské Arábie chránit námořní bezpečnost a vyzývá k užší politické a zpravodajské spolupráci s operací námořních sil EU </w:t>
      </w:r>
      <w:proofErr w:type="spellStart"/>
      <w:r w:rsidRPr="00127FE1">
        <w:t>Aspides</w:t>
      </w:r>
      <w:proofErr w:type="spellEnd"/>
      <w:r w:rsidRPr="00127FE1">
        <w:t xml:space="preserve"> a obecněji s členskými státy EU;</w:t>
      </w:r>
    </w:p>
    <w:p w14:paraId="476C0B85" w14:textId="77777777" w:rsidR="00A67952" w:rsidRPr="00127FE1" w:rsidRDefault="00A67952" w:rsidP="00A67952">
      <w:pPr>
        <w:pStyle w:val="NormalHanging12a"/>
      </w:pPr>
      <w:r w:rsidRPr="00127FE1">
        <w:t>20.</w:t>
      </w:r>
      <w:r w:rsidRPr="00127FE1">
        <w:tab/>
        <w:t>vítá zapojení Saúdské Arábie do pořádání jednání o příměří na Ukrajině; naléhavě vyzývá Saúdskou Arábii, aby úžeji spolupracovala se svými partnery na podpoře sankcí vůči Ruské federaci a přijala opatření, která pomohou ukončit činnost ruské stínové flotily;</w:t>
      </w:r>
    </w:p>
    <w:p w14:paraId="1702C463" w14:textId="77777777" w:rsidR="00A67952" w:rsidRPr="00127FE1" w:rsidRDefault="00A67952" w:rsidP="00A67952">
      <w:pPr>
        <w:pStyle w:val="NormalHanging12a"/>
      </w:pPr>
      <w:r w:rsidRPr="00127FE1">
        <w:t>21.</w:t>
      </w:r>
      <w:r w:rsidRPr="00127FE1">
        <w:tab/>
        <w:t>bere na vědomí závazek Saúdské Arábie investovat ve Spojených státech 600 miliard USD, včetně dohody o obraně a strategické spolupráci v oblasti nově vznikajících technologií;</w:t>
      </w:r>
    </w:p>
    <w:p w14:paraId="6034BFFD" w14:textId="77777777" w:rsidR="00A67952" w:rsidRPr="00127FE1" w:rsidRDefault="00A67952" w:rsidP="00A67952">
      <w:pPr>
        <w:pStyle w:val="NormalHanging12a"/>
      </w:pPr>
      <w:r w:rsidRPr="00127FE1">
        <w:t>22.</w:t>
      </w:r>
      <w:r w:rsidRPr="00127FE1">
        <w:tab/>
        <w:t xml:space="preserve">oceňuje úlohu Saúdské Arábie při rozvoji mnohostranné spolupráce, mimo jiné prostřednictvím její rostoucí angažovanosti v Africe, zejména v oblasti Sahelu, a v Asii; vyzývá k užší koordinaci mezi EU a Saúdskou Arábií, pokud jde o spolupráci v oblasti energetiky, rozvoj meziregionální infrastruktury, budování kapacit, rozvoj lidského kapitálu, finanční nástroje a investiční mechanismy na celém africkém kontinentu; zdůrazňuje, že je důležité začlenit projekty vedené Saúdskou Arábií do unijních rámců, včetně iniciativy </w:t>
      </w:r>
      <w:proofErr w:type="spellStart"/>
      <w:r w:rsidRPr="00127FE1">
        <w:t>Global</w:t>
      </w:r>
      <w:proofErr w:type="spellEnd"/>
      <w:r w:rsidRPr="00127FE1">
        <w:t xml:space="preserve"> </w:t>
      </w:r>
      <w:proofErr w:type="spellStart"/>
      <w:r w:rsidRPr="00127FE1">
        <w:t>Gateway</w:t>
      </w:r>
      <w:proofErr w:type="spellEnd"/>
      <w:r w:rsidRPr="00127FE1">
        <w:t>;</w:t>
      </w:r>
    </w:p>
    <w:p w14:paraId="62B62553" w14:textId="77777777" w:rsidR="00A67952" w:rsidRPr="00127FE1" w:rsidRDefault="00A67952" w:rsidP="00A67952">
      <w:pPr>
        <w:pStyle w:val="NormalHanging12a"/>
      </w:pPr>
      <w:r w:rsidRPr="00127FE1">
        <w:t>23.</w:t>
      </w:r>
      <w:r w:rsidRPr="00127FE1">
        <w:tab/>
        <w:t>konstatuje, že Saúdská Arábie byla oficiálně vyzvána, aby se stala členem skupiny zemí BRICS; konstatuje, že zapojení Saúdské Arábie ve skupině BRICS odráží trend směřující k diverzifikovaným aliancím; vyzývá EU, aby se Saúdskou Arábií konstruktivně spolupracovala na mnohostranných fórech za účelem ochrany společných obchodních a investičních zájmů;</w:t>
      </w:r>
    </w:p>
    <w:p w14:paraId="00C2C7E2" w14:textId="77777777" w:rsidR="00A67952" w:rsidRPr="00127FE1" w:rsidRDefault="00A67952" w:rsidP="00A67952">
      <w:pPr>
        <w:pStyle w:val="NormalHanging12a"/>
      </w:pPr>
      <w:r w:rsidRPr="00127FE1">
        <w:t>24.</w:t>
      </w:r>
      <w:r w:rsidRPr="00127FE1">
        <w:tab/>
        <w:t xml:space="preserve">bere na vědomí posilování dvoustranných vztahů mezi Saúdskou Arábií a Tureckem, zejména v oblasti bezpečnosti a obrany; vyzývá Saúdskou Arábii, aby tyto vztahy využila k přesvědčení Turecka, aby konstruktivně přispělo k mírovému procesu na </w:t>
      </w:r>
      <w:r w:rsidRPr="00127FE1">
        <w:lastRenderedPageBreak/>
        <w:t xml:space="preserve">Blízkém východě tím, že uzná </w:t>
      </w:r>
      <w:proofErr w:type="spellStart"/>
      <w:r w:rsidRPr="00127FE1">
        <w:t>Hamás</w:t>
      </w:r>
      <w:proofErr w:type="spellEnd"/>
      <w:r w:rsidRPr="00127FE1">
        <w:t xml:space="preserve"> za teroristickou organizaci a ukončí politickou, hospodářskou a logistickou podporu;</w:t>
      </w:r>
    </w:p>
    <w:p w14:paraId="4B7ADDB3" w14:textId="77777777" w:rsidR="00A67952" w:rsidRPr="00127FE1" w:rsidRDefault="00A67952" w:rsidP="00A67952">
      <w:pPr>
        <w:pStyle w:val="NormalHanging12a"/>
      </w:pPr>
      <w:r w:rsidRPr="00127FE1">
        <w:t>25.</w:t>
      </w:r>
      <w:r w:rsidRPr="00127FE1">
        <w:tab/>
        <w:t>vítá důsledný postoj Saúdské Arábie, pokud jde o klasifikaci Muslimského bratrstva jako teroristické organizace, a vyzývá EU a její členské státy, aby ji následovaly a rovněž uznaly Muslimské bratrstvo za teroristickou organizaci;</w:t>
      </w:r>
    </w:p>
    <w:p w14:paraId="43980980" w14:textId="77777777" w:rsidR="00A67952" w:rsidRPr="00474531" w:rsidRDefault="00A67952" w:rsidP="00A67952">
      <w:pPr>
        <w:pStyle w:val="Normal12a"/>
        <w:rPr>
          <w:b/>
          <w:bCs/>
        </w:rPr>
      </w:pPr>
      <w:r w:rsidRPr="00474531">
        <w:rPr>
          <w:b/>
          <w:bCs/>
          <w:i/>
        </w:rPr>
        <w:t>Sociálně-ekonomická transformace Saúdské Arábie a příležitosti pro EU</w:t>
      </w:r>
    </w:p>
    <w:p w14:paraId="3AB140E7" w14:textId="77777777" w:rsidR="00A67952" w:rsidRPr="00127FE1" w:rsidRDefault="00A67952" w:rsidP="00A67952">
      <w:pPr>
        <w:pStyle w:val="NormalHanging12a"/>
      </w:pPr>
      <w:r w:rsidRPr="00127FE1">
        <w:t>26.</w:t>
      </w:r>
      <w:r w:rsidRPr="00127FE1">
        <w:tab/>
        <w:t>vítá ambiciózní plány Saúdské Arábie v rámci Vize 2030, nastiňující smysluplné sociálně-ekonomické reformy, které mají modernizovat zemi a její instituce a diverzifikovat její hospodářství;</w:t>
      </w:r>
    </w:p>
    <w:p w14:paraId="3D13A9BF" w14:textId="77777777" w:rsidR="00A67952" w:rsidRPr="00127FE1" w:rsidRDefault="00A67952" w:rsidP="00A67952">
      <w:pPr>
        <w:pStyle w:val="NormalHanging12a"/>
      </w:pPr>
      <w:r w:rsidRPr="00127FE1">
        <w:t>27.</w:t>
      </w:r>
      <w:r w:rsidRPr="00127FE1">
        <w:tab/>
        <w:t>vyzývá Saúdskou Arábii, aby v rámci svých plánů Vize 2030 transformovala svou energetiku a přešla na obnovitelné zdroje energie a zelený vodík; dále vyzývá Saúdskou Arábii, aby dodržovala své závazky vyplývající z Pařížské dohody a jednala v souladu se stanovisky odborníků OSN; konstatuje, že EU je připravena spolupracovat se svými saúdskoarabskými partnery na projektech podporujících environmentální cíle obou regionů; zdůrazňuje, že se Království Saúdská Arábie zavázalo k transformaci energetiky, a připomíná jeho příslib dosáhnout do roku 2060 nulových čistých emisí a vyrábět do roku 2030 50 % své elektřiny z obnovitelných zdrojů; v této souvislosti vítá stěžejní projekt Saúdské Arábie, jehož cílem je produkovat do roku 2030 čtyři miliony tun čistého vodíku ročně;</w:t>
      </w:r>
    </w:p>
    <w:p w14:paraId="3663D755" w14:textId="77777777" w:rsidR="00A67952" w:rsidRPr="00127FE1" w:rsidRDefault="00A67952" w:rsidP="00A67952">
      <w:pPr>
        <w:pStyle w:val="NormalHanging12a"/>
      </w:pPr>
      <w:r w:rsidRPr="00127FE1">
        <w:t>28.</w:t>
      </w:r>
      <w:r w:rsidRPr="00127FE1">
        <w:tab/>
        <w:t>zdůrazňuje, že Saúdská Arábie je stále významnějším hráčem v dodavatelských řetězcích nerostných surovin a usiluje o dosažení souladu s mezinárodními osvědčenými postupy; zdůrazňuje, že rozšíření spolupráce mezi EU a Saúdskou Arábií v této oblasti bude klíčové pro další konsolidaci strategie EU pro snižování rizik, které v tomto ohledu hrozí, i pro její úsilí o diverzifikaci dodávek surovin;</w:t>
      </w:r>
    </w:p>
    <w:p w14:paraId="2F48B4A4" w14:textId="77777777" w:rsidR="00A67952" w:rsidRPr="00127FE1" w:rsidRDefault="00A67952" w:rsidP="00A67952">
      <w:pPr>
        <w:pStyle w:val="NormalHanging12a"/>
      </w:pPr>
      <w:r w:rsidRPr="00127FE1">
        <w:t>29.</w:t>
      </w:r>
      <w:r w:rsidRPr="00127FE1">
        <w:tab/>
        <w:t>bere na vědomí, že Saúdská Arábie dosáhla pokroku při řešení vysoké míry nezaměstnanosti mladých lidí, kterou snížila z 35,01 % v roce 2006 na 16 % v roce 2023; doporučuje Saúdské Arábii, aby této otázce věnovala i nadále prioritní pozornost;</w:t>
      </w:r>
    </w:p>
    <w:p w14:paraId="1346CC7A" w14:textId="77777777" w:rsidR="00A67952" w:rsidRPr="00127FE1" w:rsidRDefault="00A67952" w:rsidP="00A67952">
      <w:pPr>
        <w:pStyle w:val="NormalHanging12a"/>
      </w:pPr>
      <w:r w:rsidRPr="00127FE1">
        <w:t>30.</w:t>
      </w:r>
      <w:r w:rsidRPr="00127FE1">
        <w:tab/>
        <w:t xml:space="preserve">vítá přístup saúdskoarabských orgánů, které jsou nyní tolerantnější a odklání se od restriktivních náboženských politik; bere na vědomí přímou souvislost mezi tolerancí a udržitelným hospodářským růstem a zdůrazňuje, že otevřenost a </w:t>
      </w:r>
      <w:proofErr w:type="spellStart"/>
      <w:r w:rsidRPr="00127FE1">
        <w:t>inkluzivnost</w:t>
      </w:r>
      <w:proofErr w:type="spellEnd"/>
      <w:r w:rsidRPr="00127FE1">
        <w:t xml:space="preserve"> podporují podmínky pro inovace, investice a sociální pokrok; oceňuje pozitivní reformy učebních osnov provedené v Saúdské Arábii, zejména odstranění diskriminačního náboženského obsahu, a vybízí v tomto ohledu k dalšímu pokroku; vybízí Saúdskou Arábii, aby v těchto reformách pokračovala;</w:t>
      </w:r>
    </w:p>
    <w:p w14:paraId="1E1F1015" w14:textId="77777777" w:rsidR="00A67952" w:rsidRPr="00127FE1" w:rsidRDefault="00A67952" w:rsidP="00A67952">
      <w:pPr>
        <w:pStyle w:val="NormalHanging12a"/>
      </w:pPr>
      <w:r w:rsidRPr="00127FE1">
        <w:t>31.</w:t>
      </w:r>
      <w:r w:rsidRPr="00127FE1">
        <w:tab/>
        <w:t xml:space="preserve">vyzdvihuje významný pokrok, jehož Saúdská Arábie dosáhla v účasti žen na trhu práce, která vzrostla na 36 %, i skutečnost, že ženy získaly právo řídit motorová vozidla a cestovat bez mužského doprovodu; zdůrazňuje, že účast žen na trhu práce v Saúdské Arábii se od roku 2017 více než zdvojnásobila; konstatuje, že saúdskoarabské ženy nyní vlastní 45 % malých a středních podniků a 17 % všech podniků; domnívá se, že tento vývoj odráží dopad právních reforem zavedených od roku 2018, včetně zrušení zákazu </w:t>
      </w:r>
      <w:r w:rsidRPr="00127FE1">
        <w:lastRenderedPageBreak/>
        <w:t>řízení motorových vozidel</w:t>
      </w:r>
      <w:r w:rsidRPr="00127FE1">
        <w:rPr>
          <w:rStyle w:val="FootnoteReference"/>
        </w:rPr>
        <w:footnoteReference w:customMarkFollows="1" w:id="6"/>
        <w:t>6</w:t>
      </w:r>
      <w:r w:rsidRPr="00127FE1">
        <w:t xml:space="preserve">, přijetí zákona proti obtěžování a nových právních předpisů o postavení jednotlivce, které zvyšují minimální věkovou hranici pro uzavření manželství na 18 let a posilují autonomii žen; vyzdvihuje tyto úspěchy a vybízí k pokračování reforem zaměřených na další prosazování práv žen a zvyšování jejich účasti na veřejném životě, přičemž ženy v současné době zastávají 41 % pozic ve státní správě, včetně vysokých diplomatických funkcí, tvoří 20 % členů rady </w:t>
      </w:r>
      <w:proofErr w:type="spellStart"/>
      <w:r w:rsidRPr="00127FE1">
        <w:t>Šúra</w:t>
      </w:r>
      <w:proofErr w:type="spellEnd"/>
      <w:r w:rsidRPr="00127FE1">
        <w:t xml:space="preserve"> a ze Saúdské Arábie byla první arabská muslimská žena, která letěla do vesmíru; konstatuje, že navzdory dosaženému pokroku přetrvávají problémy, mimo jiné v souvislosti se zákonem o postavení jednotlivce a nerovným postavením mužů a žen, pokud jde o manželství, rozvod, péči o dítě, dědictví a vlastnická práva;</w:t>
      </w:r>
    </w:p>
    <w:p w14:paraId="28B8AC1B" w14:textId="77777777" w:rsidR="00A67952" w:rsidRPr="00127FE1" w:rsidRDefault="00A67952" w:rsidP="00A67952">
      <w:pPr>
        <w:pStyle w:val="NormalHanging12a"/>
      </w:pPr>
      <w:r w:rsidRPr="00127FE1">
        <w:t>32.</w:t>
      </w:r>
      <w:r w:rsidRPr="00127FE1">
        <w:tab/>
        <w:t xml:space="preserve">bere na vědomí, že Saúdská Arábie zahájila před konáním výstavy EXPO 2030 a mistrovství světa ve fotbale 2034, které pořádá, řadu ambiciózních infrastrukturních projektů; spoléhá na schopnost saúdskoarabské vlády zaručit dodržování práv pracovníků na svobodné sdružování a zdůrazňuje, že přetrvávají obavy ohledně zacházení s pracovníky a dodržování jejich práv, jakož i míry úmrtnosti migrantů při pracovních úrazech v Saúdské Arábii; bere na vědomí reformy zavedené v rámci saúdskoarabské iniciativy zaměřené na reformu práce a vyzývá Saúdskou Arábii, aby zajistila, aby bylo zrušení sponzorského systému </w:t>
      </w:r>
      <w:proofErr w:type="spellStart"/>
      <w:r w:rsidRPr="00127FE1">
        <w:rPr>
          <w:i/>
        </w:rPr>
        <w:t>kafala</w:t>
      </w:r>
      <w:proofErr w:type="spellEnd"/>
      <w:r w:rsidRPr="00127FE1">
        <w:t xml:space="preserve"> z roku 2025 provedeno v plné míře, a zaručila pracovníkům právo na stávku a kolektivní vyjednávání; očekává, že Saúdská Arábie využije příležitosti, kterou nabízí mistrovství světa ve fotbale v roce 2034, a bude do té doby pokračovat v provádění reforem; naléhavě vyzývá Saúdskou Arábii, aby dodržovala právní předpisy EU o náležité péči a monitorování náborových společností s cílem zajistit, aby tyto společnosti hradily veškeré náklady a poplatky spojené s náborem pracovníků, a aby zavedla opatření pro náhradu nezákonných náborových poplatků, které zaplatili pracovníci;</w:t>
      </w:r>
    </w:p>
    <w:p w14:paraId="4FAF3D4F" w14:textId="77777777" w:rsidR="00A67952" w:rsidRPr="00127FE1" w:rsidRDefault="00A67952" w:rsidP="00A67952">
      <w:pPr>
        <w:pStyle w:val="NormalHanging12a"/>
      </w:pPr>
      <w:r w:rsidRPr="00127FE1">
        <w:t>33.</w:t>
      </w:r>
      <w:r w:rsidRPr="00127FE1">
        <w:tab/>
        <w:t xml:space="preserve">oceňuje příležitosti, které přináší spolupráce mezi EU a Saúdskou Arábií v rámci strategického partnerství mezi EU a Radou pro spolupráci v Zálivu i v rámci unijní iniciativy </w:t>
      </w:r>
      <w:proofErr w:type="spellStart"/>
      <w:r w:rsidRPr="00127FE1">
        <w:t>Global</w:t>
      </w:r>
      <w:proofErr w:type="spellEnd"/>
      <w:r w:rsidRPr="00127FE1">
        <w:t xml:space="preserve"> </w:t>
      </w:r>
      <w:proofErr w:type="spellStart"/>
      <w:r w:rsidRPr="00127FE1">
        <w:t>Gateway</w:t>
      </w:r>
      <w:proofErr w:type="spellEnd"/>
      <w:r w:rsidRPr="00127FE1">
        <w:t xml:space="preserve"> na hospodářském koridoru Indie – Blízký východ – Evropa (IMEC), u nějž se očekává, že povede k investicím do elektrických kabelů, podmořských telekomunikačních a datových kabelů i do potrubí pro zelený vodík, a uznává, že tato spolupráce slouží sbližujícím se zájmům; posuzuje potenciál tohoto projektu, pokud jde o propojení s EU prostřednictvím multimodálních dopravních spojení; bere na vědomí účast Spojených států; důrazně žádá, aby byly chybějící prostředky ve financování koridoru IMEC řešeny investicemi z EU, USA a zemí Zálivu, a vyzývá k podpoře rozvoje udržitelné infrastruktury; zdůrazňuje strategický význam koridoru IMEC coby transformační hybné síly regionálního propojení, hospodářské integrace a geopolitické spolupráce; bere na vědomí potenciál pro rozšíření spolupráce v oblasti strategické digitální infrastruktury, včetně diverzifikovaných a bezpečných datových tras spojujících Perský záliv a Evropu, přičemž společným cílem je zvýšit digitální odolnost Evropy, zabezpečení dat a propojení s Asií a Afrikou; bere na vědomí pokračující úsilí Evropské obchodní komory v Království Saúdská Arábie (ECCKSA) o rozvoj spolupráce mezi evropskými společnostmi a Saúdskou Arábií v oblasti dopravní a logistické infrastruktury, a to v souladu s právními předpisy EU týkajícími se náležité péče;</w:t>
      </w:r>
    </w:p>
    <w:p w14:paraId="10CFCDB4" w14:textId="77777777" w:rsidR="00A67952" w:rsidRPr="00127FE1" w:rsidRDefault="00A67952" w:rsidP="00A67952">
      <w:pPr>
        <w:pStyle w:val="Normal12a"/>
      </w:pPr>
      <w:r w:rsidRPr="00127FE1">
        <w:rPr>
          <w:b/>
          <w:i/>
        </w:rPr>
        <w:lastRenderedPageBreak/>
        <w:t xml:space="preserve">Lidská práva </w:t>
      </w:r>
    </w:p>
    <w:p w14:paraId="0F13293E" w14:textId="77777777" w:rsidR="00A67952" w:rsidRPr="00127FE1" w:rsidRDefault="00A67952" w:rsidP="00A67952">
      <w:pPr>
        <w:pStyle w:val="NormalHanging12a"/>
      </w:pPr>
      <w:r w:rsidRPr="00127FE1">
        <w:t>34.</w:t>
      </w:r>
      <w:r w:rsidRPr="00127FE1">
        <w:tab/>
        <w:t>vyzývá k užší spolupráci mezi EU a Saúdskou Arábií v oblasti lidských práv; vítá dialogy o lidských právech mezi EU a Saúdskou Arábií vedené Komisí pro lidská práva Saúdské Arábie a zvláštním zástupcem EU pro lidská práva, přičemž čtvrtý dialog o lidských právech se uskutečnil v Rijádu v prosinci 2024; konstatuje, že diskuse se týkaly široké škály otázek v oblasti lidských práv, včetně práv žen a práv zranitelných skupin, právního státu, práva na spravedlivý proces, trestu smrti, svobody projevu, shromažďování a sdružování, obchodování s lidmi, hospodářských, sociálních a kulturních práv, jakož i dvoustranné spolupráce mezi EU a Královstvím Saúdská Arábie a činnosti na mnohostranných fórech o lidských právech; upozorňuje, že dialogy o lidských právech jsou klíčovou platformou pro výměnu názorů na mezinárodní lidská práva a posílení mnohostranné spolupráce, a zdůrazňuje, že cílem tohoto a všech ostatních dialogů o lidských právech, které EU vede, by mělo být zajištění konkrétního, měřitelného a časově vymezeného pokroku v oblasti lidských práv, včetně reforem v oblasti lidských práv, ukončení nekorektních politik, zajištění odpovědnosti v případě porušování lidských práv a propuštění nespravedlivě vězněných osob; vyzývá k vytvoření strukturovaného monitorovacího mechanismu EU s jasnými referenčními hodnotami a harmonogramem, včetně následných opatření, jež by motivovala k dalšímu pokroku v reformách v oblasti lidských práv; naléhavě vyzývá EU a její členské státy, aby se Saúdskou Arábií během jednání o dvoustranné dohodě o partnerství dohodly na podmínkách v oblasti lidských práv, jež by mimo jiné zahrnovaly ratifikaci základních úmluv o lidských a pracovních právech ze strany Saúdské Arábie a propuštění nespravedlivě vězněných osob;</w:t>
      </w:r>
    </w:p>
    <w:p w14:paraId="6D21E180" w14:textId="77777777" w:rsidR="00A67952" w:rsidRPr="00127FE1" w:rsidRDefault="00A67952" w:rsidP="00A67952">
      <w:pPr>
        <w:pStyle w:val="NormalHanging12a"/>
      </w:pPr>
      <w:r w:rsidRPr="00127FE1">
        <w:t>35.</w:t>
      </w:r>
      <w:r w:rsidRPr="00127FE1">
        <w:tab/>
        <w:t xml:space="preserve">oceňuje sociální reformy, které Saúdská Arábie provedla, jako je nový zákon o občanskoprávních úkonech, pokrok v oblasti posílení postavení žen, práce na přípravě trestního zákoníku, reforma systému </w:t>
      </w:r>
      <w:proofErr w:type="spellStart"/>
      <w:r w:rsidRPr="00127FE1">
        <w:rPr>
          <w:i/>
        </w:rPr>
        <w:t>kafala</w:t>
      </w:r>
      <w:proofErr w:type="spellEnd"/>
      <w:r w:rsidRPr="00127FE1">
        <w:t>, tj. systému sponzorství migrujících pracovníků, a zavedení nových pracovněprávních předpisů; konstatuje však, že právní systém Saúdské Arábie čelí problémům při zajišťování toho, aby některá práva nebyla kriminalizována, neboť nemá kodifikované trestní právo a právní předpisy jsou široce definovány;</w:t>
      </w:r>
    </w:p>
    <w:p w14:paraId="47D4CB42" w14:textId="77777777" w:rsidR="00A67952" w:rsidRPr="00127FE1" w:rsidRDefault="00A67952" w:rsidP="00A67952">
      <w:pPr>
        <w:pStyle w:val="NormalHanging12a"/>
      </w:pPr>
      <w:r w:rsidRPr="00127FE1">
        <w:t>36.</w:t>
      </w:r>
      <w:r w:rsidRPr="00127FE1">
        <w:tab/>
        <w:t xml:space="preserve">oceňuje rostoucí zapojení občanské společnosti v Saúdské Arábii, kde je registrováno více než 5 400 sdružení a organizací, a vyzývá k dalším opatřením na podporu a udržení tohoto pozitivního trendu; vyjadřuje znepokojení nad nárůstem zatýkání aktivistů, zástupců občanské společnosti, intelektuálů a obránců lidských práv, kteří v souladu s mezinárodním právem v oblasti lidských práv uplatňují své právo na svobodu projevu na internetu i mimo něj; vybízí Saúdskou Arábii, aby přezkoumala svou definici terorismu v souladu s mezinárodními normami; vyzývá k okamžitému propuštění osob, které byly zadrženy za pokojné uplatňování svých práv, zejména klíčových aktivistů, obránců lidských práv, pokojných kritiků, akademických pracovníků a duchovních, a vyzývá ke zrušení zákazu cestování propuštěných osob; připomíná, že Parlament udělil </w:t>
      </w:r>
      <w:proofErr w:type="spellStart"/>
      <w:r w:rsidRPr="00127FE1">
        <w:t>Sacharovovu</w:t>
      </w:r>
      <w:proofErr w:type="spellEnd"/>
      <w:r w:rsidRPr="00127FE1">
        <w:t xml:space="preserve"> cenu za rok 2015 saúdskoarabskému blogerovi </w:t>
      </w:r>
      <w:proofErr w:type="spellStart"/>
      <w:r w:rsidRPr="00127FE1">
        <w:t>Ráifu</w:t>
      </w:r>
      <w:proofErr w:type="spellEnd"/>
      <w:r w:rsidRPr="00127FE1">
        <w:t xml:space="preserve"> </w:t>
      </w:r>
      <w:proofErr w:type="spellStart"/>
      <w:r w:rsidRPr="00127FE1">
        <w:t>Badawímu</w:t>
      </w:r>
      <w:proofErr w:type="spellEnd"/>
      <w:r w:rsidRPr="00127FE1">
        <w:t>; naléhavě vyzývá Saúdskou Arábii, aby rozšířila povolení k přístupu a návštěvě země na větší škálu organizací na ochranu lidských práv;</w:t>
      </w:r>
    </w:p>
    <w:p w14:paraId="49868236" w14:textId="77777777" w:rsidR="00A67952" w:rsidRPr="00127FE1" w:rsidRDefault="00A67952" w:rsidP="00A67952">
      <w:pPr>
        <w:pStyle w:val="NormalHanging12a"/>
      </w:pPr>
      <w:r w:rsidRPr="00127FE1">
        <w:t>37.</w:t>
      </w:r>
      <w:r w:rsidRPr="00127FE1">
        <w:tab/>
        <w:t xml:space="preserve">bere na vědomí strategii Saúdské Arábie v oblasti lidských práv pro mistrovství světa ve fotbale v roce 2034; znovu potvrzuje připravenost EU podporovat probíhající reformy Saúdské Arábie v oblasti lidských práv, jakož i pracovní a právní reformy; vyzývá k tomu, aby byla při provádění dalších komplexních a inkluzivních pracovních reforem v </w:t>
      </w:r>
      <w:r w:rsidRPr="00127FE1">
        <w:lastRenderedPageBreak/>
        <w:t>souladu s mezinárodními normami, zejména před výstavou EXPO 2030 a mistrovstvím světa v roce 2034, posílena spolupráce s OSN a Mezinárodní organizací práce v oblasti práv migrujících pracovníků, tak aby bylo zajištěno řádné vyšetření všech úmrtí a nehod migrujících pracovníků bez ohledu na vnímanou příčinu, čas a místo a rodiny zesnulých pracovníků obdržely spravedlivé a včasné odškodnění;</w:t>
      </w:r>
    </w:p>
    <w:p w14:paraId="483E2649" w14:textId="77777777" w:rsidR="00A67952" w:rsidRPr="00127FE1" w:rsidRDefault="00A67952" w:rsidP="00A67952">
      <w:pPr>
        <w:pStyle w:val="NormalHanging12a"/>
      </w:pPr>
      <w:r w:rsidRPr="00127FE1">
        <w:t>38.</w:t>
      </w:r>
      <w:r w:rsidRPr="00127FE1">
        <w:tab/>
        <w:t>znovu potvrzuje závazek EU, že bude za všech okolností usilovat o zrušení trestu smrti, i její důrazné odhodlání spolupracovat na dosažení tohoto cíle se Saúdskou Arábií; vyjadřuje znepokojení nad nárůstem poprav v Saúdské Arábii, kterých bylo v roce 2024 vykonáno více než 345, což je nebývale vysoké číslo; vyzývá Saúdskou Arábii, aby vyhlásila moratorium na výkon trestu smrti; odsuzuje pokračující ukládání trestu smrti za trestné činy, při nichž nedošlo k usmrcení žádné osoby, zejména za trestné činy související s drogami, což porušuje mezinárodní právo v oblasti lidských práv, jež omezuje uplatňování trestu smrti pouze na „nejzávažnější trestné činy“, i skutečnost, že více než polovinu všech popravených v roce 2025 tvořili cizí státní příslušníci, kteří byli často odsouzeni v soudních řízeních, která nesplňovala mezinárodní normy pro spravedlivý proces; vyzývá k dekriminalizaci sexuální aktivity osob stejného pohlaví;</w:t>
      </w:r>
    </w:p>
    <w:p w14:paraId="134FA21A" w14:textId="77777777" w:rsidR="00A67952" w:rsidRPr="00127FE1" w:rsidRDefault="00A67952" w:rsidP="00A67952">
      <w:pPr>
        <w:pStyle w:val="NormalHanging12a"/>
      </w:pPr>
      <w:r w:rsidRPr="00127FE1">
        <w:t>39.</w:t>
      </w:r>
      <w:r w:rsidRPr="00127FE1">
        <w:tab/>
        <w:t>vyjadřuje hluboké politování nad pokračujícím zadržováním osob odsouzených k trestu smrti za trestné činy spáchané v době, kdy byly dětmi, a vyzývá saúdskoarabské orgány, aby tyto rozsudky smrti zrušily v souladu se závazky Saúdské Arábie plynoucími z mezinárodního práva a královským nařízením z dubna 2020; vyzývá Saúdskou Arábii, aby okamžitě a bezpodmínečně propustila všechny osoby zadržované za pokojné uplatňování svých lidských práv;</w:t>
      </w:r>
    </w:p>
    <w:p w14:paraId="710A8247" w14:textId="77777777" w:rsidR="00A67952" w:rsidRPr="00127FE1" w:rsidRDefault="00A67952" w:rsidP="00A67952">
      <w:pPr>
        <w:pStyle w:val="NormalHanging12a"/>
      </w:pPr>
      <w:r w:rsidRPr="00127FE1">
        <w:t>40.</w:t>
      </w:r>
      <w:r w:rsidRPr="00127FE1">
        <w:tab/>
        <w:t>vyzývá Saúdskou Arábii, aby ratifikovala všechny základní mezinárodní úmluvy o lidských a pracovních právech; vybízí Saúdskou Arábii, aby zajistila, aby všechny stávající i nové právní předpisy, včetně trestního zákoníku, byly v souladu s mezinárodními normami v oblasti lidských práv, a vyzdvihuje v tomto ohledu význam úzké spolupráce s OSN a nezávislými organizacemi občanské společnosti;</w:t>
      </w:r>
    </w:p>
    <w:p w14:paraId="3B34DEE5" w14:textId="77777777" w:rsidR="00A67952" w:rsidRPr="00127FE1" w:rsidRDefault="00A67952" w:rsidP="00A67952">
      <w:pPr>
        <w:pStyle w:val="NormalCenter12a"/>
      </w:pPr>
      <w:r w:rsidRPr="00127FE1">
        <w:t>°</w:t>
      </w:r>
    </w:p>
    <w:p w14:paraId="7657CFD4" w14:textId="77777777" w:rsidR="00A67952" w:rsidRPr="00127FE1" w:rsidRDefault="00A67952" w:rsidP="00A67952">
      <w:pPr>
        <w:pStyle w:val="NormalCenter12a"/>
      </w:pPr>
      <w:r w:rsidRPr="00127FE1">
        <w:t>°</w:t>
      </w:r>
      <w:r w:rsidRPr="00127FE1">
        <w:tab/>
        <w:t>°</w:t>
      </w:r>
    </w:p>
    <w:p w14:paraId="21CCF3A6" w14:textId="6E030A27" w:rsidR="00127FE1" w:rsidRPr="00127FE1" w:rsidRDefault="00A67952" w:rsidP="00127FE1">
      <w:pPr>
        <w:pStyle w:val="NormalHanging12a"/>
      </w:pPr>
      <w:r w:rsidRPr="00127FE1">
        <w:t>41.</w:t>
      </w:r>
      <w:r w:rsidRPr="00127FE1">
        <w:tab/>
        <w:t xml:space="preserve">pověřuje svou předsedkyni, aby předala toto usnesení Radě, Komisi, místopředsedkyni Komise, vysoké představitelce Unie pro zahraniční věci a bezpečnostní politiku, Jeho Veličenstvu králi </w:t>
      </w:r>
      <w:proofErr w:type="spellStart"/>
      <w:r w:rsidRPr="00127FE1">
        <w:t>Salmánovi</w:t>
      </w:r>
      <w:proofErr w:type="spellEnd"/>
      <w:r w:rsidRPr="00127FE1">
        <w:t xml:space="preserve"> bin </w:t>
      </w:r>
      <w:proofErr w:type="spellStart"/>
      <w:r w:rsidRPr="00127FE1">
        <w:t>Abd</w:t>
      </w:r>
      <w:proofErr w:type="spellEnd"/>
      <w:r w:rsidRPr="00127FE1">
        <w:t xml:space="preserve"> al-</w:t>
      </w:r>
      <w:proofErr w:type="spellStart"/>
      <w:r w:rsidRPr="00127FE1">
        <w:t>Azízovi</w:t>
      </w:r>
      <w:proofErr w:type="spellEnd"/>
      <w:r w:rsidRPr="00127FE1">
        <w:t xml:space="preserve">, korunnímu princi Muhammadovi bin </w:t>
      </w:r>
      <w:proofErr w:type="spellStart"/>
      <w:r w:rsidRPr="00127FE1">
        <w:t>Salmán</w:t>
      </w:r>
      <w:proofErr w:type="spellEnd"/>
      <w:r w:rsidRPr="00127FE1">
        <w:t xml:space="preserve"> </w:t>
      </w:r>
      <w:proofErr w:type="spellStart"/>
      <w:r w:rsidRPr="00127FE1">
        <w:t>ál</w:t>
      </w:r>
      <w:proofErr w:type="spellEnd"/>
      <w:r w:rsidRPr="00127FE1">
        <w:t xml:space="preserve">-Saúdovi, vládě Království Saúdská Arábie a radě </w:t>
      </w:r>
      <w:proofErr w:type="spellStart"/>
      <w:r w:rsidRPr="00127FE1">
        <w:t>Šúra</w:t>
      </w:r>
      <w:proofErr w:type="spellEnd"/>
      <w:r w:rsidRPr="00127FE1">
        <w:t>; žádá, aby bylo toto usnesení přeloženo do arabštiny.</w:t>
      </w:r>
    </w:p>
    <w:p w14:paraId="79A5CAA2" w14:textId="06644052" w:rsidR="00E365E1" w:rsidRPr="00127FE1" w:rsidRDefault="00E365E1" w:rsidP="00F33350"/>
    <w:sectPr w:rsidR="00E365E1" w:rsidRPr="00127FE1" w:rsidSect="00127FE1">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A1BEF" w14:textId="77777777" w:rsidR="00F33350" w:rsidRPr="00127FE1" w:rsidRDefault="00F33350">
      <w:r w:rsidRPr="00127FE1">
        <w:separator/>
      </w:r>
    </w:p>
  </w:endnote>
  <w:endnote w:type="continuationSeparator" w:id="0">
    <w:p w14:paraId="4FE25F86" w14:textId="77777777" w:rsidR="00F33350" w:rsidRPr="00127FE1" w:rsidRDefault="00F33350">
      <w:r w:rsidRPr="00127F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958D0" w14:textId="77777777" w:rsidR="00064002" w:rsidRPr="00127FE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023E3" w14:textId="77777777" w:rsidR="00064002" w:rsidRPr="00127FE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CBCDE" w14:textId="77777777" w:rsidR="00064002" w:rsidRPr="00127F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791FF" w14:textId="77777777" w:rsidR="00F33350" w:rsidRPr="00127FE1" w:rsidRDefault="00F33350">
      <w:r w:rsidRPr="00127FE1">
        <w:separator/>
      </w:r>
    </w:p>
  </w:footnote>
  <w:footnote w:type="continuationSeparator" w:id="0">
    <w:p w14:paraId="4497F6E9" w14:textId="77777777" w:rsidR="00F33350" w:rsidRPr="00127FE1" w:rsidRDefault="00F33350">
      <w:r w:rsidRPr="00127FE1">
        <w:continuationSeparator/>
      </w:r>
    </w:p>
  </w:footnote>
  <w:footnote w:id="1">
    <w:p w14:paraId="360B4D41" w14:textId="1581BF12" w:rsidR="00A67952" w:rsidRPr="00127FE1" w:rsidRDefault="00A67952" w:rsidP="00127FE1">
      <w:pPr>
        <w:pStyle w:val="FootnoteText"/>
        <w:ind w:left="567" w:hanging="567"/>
        <w:rPr>
          <w:sz w:val="24"/>
          <w:lang w:val="cs-CZ"/>
        </w:rPr>
      </w:pPr>
      <w:r w:rsidRPr="00127FE1">
        <w:rPr>
          <w:sz w:val="24"/>
          <w:vertAlign w:val="superscript"/>
          <w:lang w:val="cs-CZ"/>
        </w:rPr>
        <w:t>1</w:t>
      </w:r>
      <w:r w:rsidR="00127FE1" w:rsidRPr="00127FE1">
        <w:rPr>
          <w:sz w:val="24"/>
          <w:vertAlign w:val="superscript"/>
          <w:lang w:val="cs-CZ"/>
        </w:rPr>
        <w:t xml:space="preserve"> </w:t>
      </w:r>
      <w:r w:rsidR="00127FE1" w:rsidRPr="00127FE1">
        <w:rPr>
          <w:sz w:val="24"/>
          <w:vertAlign w:val="superscript"/>
          <w:lang w:val="cs-CZ"/>
        </w:rPr>
        <w:tab/>
      </w:r>
      <w:proofErr w:type="spellStart"/>
      <w:r w:rsidRPr="00127FE1">
        <w:rPr>
          <w:sz w:val="24"/>
          <w:lang w:val="cs-CZ"/>
        </w:rPr>
        <w:t>Úř</w:t>
      </w:r>
      <w:proofErr w:type="spellEnd"/>
      <w:r w:rsidRPr="00127FE1">
        <w:rPr>
          <w:sz w:val="24"/>
          <w:lang w:val="cs-CZ"/>
        </w:rPr>
        <w:t xml:space="preserve">. </w:t>
      </w:r>
      <w:proofErr w:type="spellStart"/>
      <w:r w:rsidRPr="00127FE1">
        <w:rPr>
          <w:sz w:val="24"/>
          <w:lang w:val="cs-CZ"/>
        </w:rPr>
        <w:t>věst</w:t>
      </w:r>
      <w:proofErr w:type="spellEnd"/>
      <w:r w:rsidRPr="00127FE1">
        <w:rPr>
          <w:sz w:val="24"/>
          <w:lang w:val="cs-CZ"/>
        </w:rPr>
        <w:t>. C 345, 16.10.2020, s. 67.</w:t>
      </w:r>
    </w:p>
  </w:footnote>
  <w:footnote w:id="2">
    <w:p w14:paraId="6A9F8C1B" w14:textId="65C29A99" w:rsidR="00A67952" w:rsidRPr="00127FE1" w:rsidRDefault="00A67952" w:rsidP="00127FE1">
      <w:pPr>
        <w:pStyle w:val="FootnoteText"/>
        <w:ind w:left="567" w:hanging="567"/>
        <w:rPr>
          <w:sz w:val="24"/>
          <w:lang w:val="cs-CZ"/>
        </w:rPr>
      </w:pPr>
      <w:r w:rsidRPr="00127FE1">
        <w:rPr>
          <w:sz w:val="24"/>
          <w:vertAlign w:val="superscript"/>
          <w:lang w:val="cs-CZ"/>
        </w:rPr>
        <w:t>2</w:t>
      </w:r>
      <w:r w:rsidR="00127FE1" w:rsidRPr="00127FE1">
        <w:rPr>
          <w:sz w:val="24"/>
          <w:vertAlign w:val="superscript"/>
          <w:lang w:val="cs-CZ"/>
        </w:rPr>
        <w:t xml:space="preserve"> </w:t>
      </w:r>
      <w:r w:rsidR="00127FE1" w:rsidRPr="00127FE1">
        <w:rPr>
          <w:sz w:val="24"/>
          <w:vertAlign w:val="superscript"/>
          <w:lang w:val="cs-CZ"/>
        </w:rPr>
        <w:tab/>
      </w:r>
      <w:proofErr w:type="spellStart"/>
      <w:r w:rsidRPr="00127FE1">
        <w:rPr>
          <w:sz w:val="24"/>
          <w:lang w:val="cs-CZ"/>
        </w:rPr>
        <w:t>Úř</w:t>
      </w:r>
      <w:proofErr w:type="spellEnd"/>
      <w:r w:rsidRPr="00127FE1">
        <w:rPr>
          <w:sz w:val="24"/>
          <w:lang w:val="cs-CZ"/>
        </w:rPr>
        <w:t xml:space="preserve">. </w:t>
      </w:r>
      <w:proofErr w:type="spellStart"/>
      <w:r w:rsidRPr="00127FE1">
        <w:rPr>
          <w:sz w:val="24"/>
          <w:lang w:val="cs-CZ"/>
        </w:rPr>
        <w:t>věst</w:t>
      </w:r>
      <w:proofErr w:type="spellEnd"/>
      <w:r w:rsidRPr="00127FE1">
        <w:rPr>
          <w:sz w:val="24"/>
          <w:lang w:val="cs-CZ"/>
        </w:rPr>
        <w:t>. C 465, 17.11.2021, s. 126.</w:t>
      </w:r>
    </w:p>
  </w:footnote>
  <w:footnote w:id="3">
    <w:p w14:paraId="05CECB51" w14:textId="4219E841" w:rsidR="00A67952" w:rsidRPr="00127FE1" w:rsidRDefault="00A67952" w:rsidP="00127FE1">
      <w:pPr>
        <w:pStyle w:val="FootnoteText"/>
        <w:ind w:left="567" w:hanging="567"/>
        <w:rPr>
          <w:sz w:val="24"/>
          <w:lang w:val="cs-CZ"/>
        </w:rPr>
      </w:pPr>
      <w:r w:rsidRPr="00127FE1">
        <w:rPr>
          <w:sz w:val="24"/>
          <w:vertAlign w:val="superscript"/>
          <w:lang w:val="cs-CZ"/>
        </w:rPr>
        <w:t>3</w:t>
      </w:r>
      <w:r w:rsidR="00127FE1" w:rsidRPr="00127FE1">
        <w:rPr>
          <w:sz w:val="24"/>
          <w:vertAlign w:val="superscript"/>
          <w:lang w:val="cs-CZ"/>
        </w:rPr>
        <w:t xml:space="preserve"> </w:t>
      </w:r>
      <w:r w:rsidR="00127FE1" w:rsidRPr="00127FE1">
        <w:rPr>
          <w:sz w:val="24"/>
          <w:vertAlign w:val="superscript"/>
          <w:lang w:val="cs-CZ"/>
        </w:rPr>
        <w:tab/>
      </w:r>
      <w:proofErr w:type="spellStart"/>
      <w:r w:rsidRPr="00127FE1">
        <w:rPr>
          <w:sz w:val="24"/>
          <w:lang w:val="cs-CZ"/>
        </w:rPr>
        <w:t>Úř</w:t>
      </w:r>
      <w:proofErr w:type="spellEnd"/>
      <w:r w:rsidRPr="00127FE1">
        <w:rPr>
          <w:sz w:val="24"/>
          <w:lang w:val="cs-CZ"/>
        </w:rPr>
        <w:t>. </w:t>
      </w:r>
      <w:proofErr w:type="spellStart"/>
      <w:r w:rsidRPr="00127FE1">
        <w:rPr>
          <w:sz w:val="24"/>
          <w:lang w:val="cs-CZ"/>
        </w:rPr>
        <w:t>věst</w:t>
      </w:r>
      <w:proofErr w:type="spellEnd"/>
      <w:r w:rsidRPr="00127FE1">
        <w:rPr>
          <w:sz w:val="24"/>
          <w:lang w:val="cs-CZ"/>
        </w:rPr>
        <w:t>. C 99, 1.3.2022, s. 185.</w:t>
      </w:r>
    </w:p>
  </w:footnote>
  <w:footnote w:id="4">
    <w:p w14:paraId="695A9E4B" w14:textId="43115CC3" w:rsidR="00A67952" w:rsidRPr="00127FE1" w:rsidRDefault="00A67952" w:rsidP="00127FE1">
      <w:pPr>
        <w:pStyle w:val="FootnoteText"/>
        <w:ind w:left="567" w:hanging="567"/>
        <w:rPr>
          <w:sz w:val="24"/>
          <w:lang w:val="cs-CZ"/>
        </w:rPr>
      </w:pPr>
      <w:r w:rsidRPr="00127FE1">
        <w:rPr>
          <w:sz w:val="24"/>
          <w:vertAlign w:val="superscript"/>
          <w:lang w:val="cs-CZ"/>
        </w:rPr>
        <w:t>4</w:t>
      </w:r>
      <w:r w:rsidR="00127FE1" w:rsidRPr="00127FE1">
        <w:rPr>
          <w:sz w:val="24"/>
          <w:vertAlign w:val="superscript"/>
          <w:lang w:val="cs-CZ"/>
        </w:rPr>
        <w:t xml:space="preserve"> </w:t>
      </w:r>
      <w:r w:rsidR="00127FE1" w:rsidRPr="00127FE1">
        <w:rPr>
          <w:sz w:val="24"/>
          <w:vertAlign w:val="superscript"/>
          <w:lang w:val="cs-CZ"/>
        </w:rPr>
        <w:tab/>
      </w:r>
      <w:r w:rsidRPr="00127FE1">
        <w:rPr>
          <w:sz w:val="24"/>
          <w:lang w:val="cs-CZ"/>
        </w:rPr>
        <w:t xml:space="preserve">Prováděcí rozhodnutí Komise ze dne 22. dubna 2024, kterým se zavádí upravená pravidla pro udělování víz pro více vstupů saúdskoarabským státním příslušníkům, kteří pobývají v Saúdské Arábii a žádají v ní o krátkodobé vízum, a kterým se zrušuje prováděcí </w:t>
      </w:r>
      <w:r w:rsidRPr="00D171CE">
        <w:rPr>
          <w:sz w:val="24"/>
          <w:lang w:val="cs-CZ"/>
        </w:rPr>
        <w:t xml:space="preserve">rozhodnutí </w:t>
      </w:r>
      <w:r w:rsidRPr="00474531">
        <w:rPr>
          <w:sz w:val="24"/>
          <w:lang w:val="cs-CZ"/>
        </w:rPr>
        <w:t>Komise C(2022)8007</w:t>
      </w:r>
      <w:r w:rsidRPr="00D171CE">
        <w:rPr>
          <w:sz w:val="24"/>
          <w:lang w:val="cs-CZ"/>
        </w:rPr>
        <w:t xml:space="preserve"> (C</w:t>
      </w:r>
      <w:r w:rsidRPr="00127FE1">
        <w:rPr>
          <w:sz w:val="24"/>
          <w:lang w:val="cs-CZ"/>
        </w:rPr>
        <w:t>(2024)2689).</w:t>
      </w:r>
    </w:p>
  </w:footnote>
  <w:footnote w:id="5">
    <w:p w14:paraId="5477821B" w14:textId="22CC3FFC" w:rsidR="00A67952" w:rsidRPr="00127FE1" w:rsidRDefault="00A67952" w:rsidP="00127FE1">
      <w:pPr>
        <w:pStyle w:val="FootnoteText"/>
        <w:ind w:left="567" w:hanging="567"/>
        <w:rPr>
          <w:sz w:val="24"/>
          <w:lang w:val="cs-CZ"/>
        </w:rPr>
      </w:pPr>
      <w:r w:rsidRPr="00127FE1">
        <w:rPr>
          <w:sz w:val="24"/>
          <w:vertAlign w:val="superscript"/>
          <w:lang w:val="cs-CZ"/>
        </w:rPr>
        <w:t>5</w:t>
      </w:r>
      <w:r w:rsidR="00127FE1" w:rsidRPr="00127FE1">
        <w:rPr>
          <w:sz w:val="24"/>
          <w:vertAlign w:val="superscript"/>
          <w:lang w:val="cs-CZ"/>
        </w:rPr>
        <w:t xml:space="preserve"> </w:t>
      </w:r>
      <w:r w:rsidR="00127FE1" w:rsidRPr="00127FE1">
        <w:rPr>
          <w:sz w:val="24"/>
          <w:vertAlign w:val="superscript"/>
          <w:lang w:val="cs-CZ"/>
        </w:rPr>
        <w:tab/>
      </w:r>
      <w:r w:rsidRPr="00127FE1">
        <w:rPr>
          <w:sz w:val="24"/>
          <w:lang w:val="cs-CZ"/>
        </w:rPr>
        <w:t>Přijaté texty, P10_TA(2025)0199.</w:t>
      </w:r>
    </w:p>
  </w:footnote>
  <w:footnote w:id="6">
    <w:p w14:paraId="07C71E01" w14:textId="199F7653" w:rsidR="00A67952" w:rsidRPr="00127FE1" w:rsidRDefault="00A67952" w:rsidP="00127FE1">
      <w:pPr>
        <w:pStyle w:val="FootnoteText"/>
        <w:ind w:left="567" w:hanging="567"/>
        <w:rPr>
          <w:sz w:val="24"/>
          <w:lang w:val="cs-CZ"/>
        </w:rPr>
      </w:pPr>
      <w:r w:rsidRPr="00127FE1">
        <w:rPr>
          <w:sz w:val="24"/>
          <w:vertAlign w:val="superscript"/>
          <w:lang w:val="cs-CZ"/>
        </w:rPr>
        <w:t>6</w:t>
      </w:r>
      <w:r w:rsidR="00127FE1" w:rsidRPr="00127FE1">
        <w:rPr>
          <w:sz w:val="24"/>
          <w:vertAlign w:val="superscript"/>
          <w:lang w:val="cs-CZ"/>
        </w:rPr>
        <w:t xml:space="preserve"> </w:t>
      </w:r>
      <w:r w:rsidR="00127FE1" w:rsidRPr="00127FE1">
        <w:rPr>
          <w:sz w:val="24"/>
          <w:vertAlign w:val="superscript"/>
          <w:lang w:val="cs-CZ"/>
        </w:rPr>
        <w:tab/>
      </w:r>
      <w:r w:rsidRPr="00127FE1">
        <w:rPr>
          <w:sz w:val="24"/>
          <w:lang w:val="cs-CZ"/>
        </w:rPr>
        <w:t>Světové ekonomické fórum, „</w:t>
      </w:r>
      <w:proofErr w:type="spellStart"/>
      <w:r w:rsidRPr="00127FE1">
        <w:rPr>
          <w:sz w:val="24"/>
          <w:lang w:val="cs-CZ"/>
        </w:rPr>
        <w:t>Saudi</w:t>
      </w:r>
      <w:proofErr w:type="spellEnd"/>
      <w:r w:rsidRPr="00127FE1">
        <w:rPr>
          <w:sz w:val="24"/>
          <w:lang w:val="cs-CZ"/>
        </w:rPr>
        <w:t xml:space="preserve"> </w:t>
      </w:r>
      <w:proofErr w:type="spellStart"/>
      <w:r w:rsidRPr="00127FE1">
        <w:rPr>
          <w:sz w:val="24"/>
          <w:lang w:val="cs-CZ"/>
        </w:rPr>
        <w:t>women</w:t>
      </w:r>
      <w:proofErr w:type="spellEnd"/>
      <w:r w:rsidRPr="00127FE1">
        <w:rPr>
          <w:sz w:val="24"/>
          <w:lang w:val="cs-CZ"/>
        </w:rPr>
        <w:t xml:space="preserve"> are </w:t>
      </w:r>
      <w:proofErr w:type="spellStart"/>
      <w:r w:rsidRPr="00127FE1">
        <w:rPr>
          <w:sz w:val="24"/>
          <w:lang w:val="cs-CZ"/>
        </w:rPr>
        <w:t>now</w:t>
      </w:r>
      <w:proofErr w:type="spellEnd"/>
      <w:r w:rsidRPr="00127FE1">
        <w:rPr>
          <w:sz w:val="24"/>
          <w:lang w:val="cs-CZ"/>
        </w:rPr>
        <w:t xml:space="preserve"> </w:t>
      </w:r>
      <w:proofErr w:type="spellStart"/>
      <w:r w:rsidRPr="00127FE1">
        <w:rPr>
          <w:sz w:val="24"/>
          <w:lang w:val="cs-CZ"/>
        </w:rPr>
        <w:t>legally</w:t>
      </w:r>
      <w:proofErr w:type="spellEnd"/>
      <w:r w:rsidRPr="00127FE1">
        <w:rPr>
          <w:sz w:val="24"/>
          <w:lang w:val="cs-CZ"/>
        </w:rPr>
        <w:t xml:space="preserve"> </w:t>
      </w:r>
      <w:proofErr w:type="spellStart"/>
      <w:r w:rsidRPr="00127FE1">
        <w:rPr>
          <w:sz w:val="24"/>
          <w:lang w:val="cs-CZ"/>
        </w:rPr>
        <w:t>allowed</w:t>
      </w:r>
      <w:proofErr w:type="spellEnd"/>
      <w:r w:rsidRPr="00127FE1">
        <w:rPr>
          <w:sz w:val="24"/>
          <w:lang w:val="cs-CZ"/>
        </w:rPr>
        <w:t xml:space="preserve"> to drive“ (Saúdskoarabské ženy mají nyní zákonem povoleno řídit motorová vozidla), 25. června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69D58" w14:textId="77777777" w:rsidR="00064002" w:rsidRPr="00127F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343BC" w14:textId="77777777" w:rsidR="00064002" w:rsidRPr="00127F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B058" w14:textId="77777777" w:rsidR="00064002" w:rsidRPr="00127F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527079">
    <w:abstractNumId w:val="9"/>
  </w:num>
  <w:num w:numId="2" w16cid:durableId="461265075">
    <w:abstractNumId w:val="9"/>
  </w:num>
  <w:num w:numId="3" w16cid:durableId="422647460">
    <w:abstractNumId w:val="7"/>
  </w:num>
  <w:num w:numId="4" w16cid:durableId="372773978">
    <w:abstractNumId w:val="7"/>
  </w:num>
  <w:num w:numId="5" w16cid:durableId="677121534">
    <w:abstractNumId w:val="6"/>
  </w:num>
  <w:num w:numId="6" w16cid:durableId="570582319">
    <w:abstractNumId w:val="6"/>
  </w:num>
  <w:num w:numId="7" w16cid:durableId="1284313350">
    <w:abstractNumId w:val="5"/>
  </w:num>
  <w:num w:numId="8" w16cid:durableId="546842632">
    <w:abstractNumId w:val="5"/>
  </w:num>
  <w:num w:numId="9" w16cid:durableId="1970627722">
    <w:abstractNumId w:val="4"/>
  </w:num>
  <w:num w:numId="10" w16cid:durableId="651836484">
    <w:abstractNumId w:val="4"/>
  </w:num>
  <w:num w:numId="11" w16cid:durableId="1472868710">
    <w:abstractNumId w:val="8"/>
  </w:num>
  <w:num w:numId="12" w16cid:durableId="224145093">
    <w:abstractNumId w:val="8"/>
  </w:num>
  <w:num w:numId="13" w16cid:durableId="2131515056">
    <w:abstractNumId w:val="3"/>
  </w:num>
  <w:num w:numId="14" w16cid:durableId="719789727">
    <w:abstractNumId w:val="3"/>
  </w:num>
  <w:num w:numId="15" w16cid:durableId="1642886912">
    <w:abstractNumId w:val="2"/>
  </w:num>
  <w:num w:numId="16" w16cid:durableId="1116867722">
    <w:abstractNumId w:val="2"/>
  </w:num>
  <w:num w:numId="17" w16cid:durableId="1190408004">
    <w:abstractNumId w:val="1"/>
  </w:num>
  <w:num w:numId="18" w16cid:durableId="408617547">
    <w:abstractNumId w:val="1"/>
  </w:num>
  <w:num w:numId="19" w16cid:durableId="1557934247">
    <w:abstractNumId w:val="0"/>
  </w:num>
  <w:num w:numId="20" w16cid:durableId="1462311141">
    <w:abstractNumId w:val="0"/>
  </w:num>
  <w:num w:numId="21" w16cid:durableId="1879775837">
    <w:abstractNumId w:val="9"/>
  </w:num>
  <w:num w:numId="22" w16cid:durableId="708071152">
    <w:abstractNumId w:val="7"/>
  </w:num>
  <w:num w:numId="23" w16cid:durableId="918052898">
    <w:abstractNumId w:val="6"/>
  </w:num>
  <w:num w:numId="24" w16cid:durableId="1038747806">
    <w:abstractNumId w:val="5"/>
  </w:num>
  <w:num w:numId="25" w16cid:durableId="1738549702">
    <w:abstractNumId w:val="4"/>
  </w:num>
  <w:num w:numId="26" w16cid:durableId="1374037895">
    <w:abstractNumId w:val="8"/>
  </w:num>
  <w:num w:numId="27" w16cid:durableId="1082218189">
    <w:abstractNumId w:val="3"/>
  </w:num>
  <w:num w:numId="28" w16cid:durableId="801189086">
    <w:abstractNumId w:val="2"/>
  </w:num>
  <w:num w:numId="29" w16cid:durableId="1051152081">
    <w:abstractNumId w:val="1"/>
  </w:num>
  <w:num w:numId="30" w16cid:durableId="283659255">
    <w:abstractNumId w:val="0"/>
  </w:num>
  <w:num w:numId="31" w16cid:durableId="404302842">
    <w:abstractNumId w:val="9"/>
  </w:num>
  <w:num w:numId="32" w16cid:durableId="2107380746">
    <w:abstractNumId w:val="7"/>
  </w:num>
  <w:num w:numId="33" w16cid:durableId="1898199596">
    <w:abstractNumId w:val="6"/>
  </w:num>
  <w:num w:numId="34" w16cid:durableId="1625380184">
    <w:abstractNumId w:val="5"/>
  </w:num>
  <w:num w:numId="35" w16cid:durableId="884560708">
    <w:abstractNumId w:val="4"/>
  </w:num>
  <w:num w:numId="36" w16cid:durableId="1273053806">
    <w:abstractNumId w:val="8"/>
  </w:num>
  <w:num w:numId="37" w16cid:durableId="2088187537">
    <w:abstractNumId w:val="3"/>
  </w:num>
  <w:num w:numId="38" w16cid:durableId="521481946">
    <w:abstractNumId w:val="2"/>
  </w:num>
  <w:num w:numId="39" w16cid:durableId="1850636999">
    <w:abstractNumId w:val="1"/>
  </w:num>
  <w:num w:numId="40" w16cid:durableId="1361589043">
    <w:abstractNumId w:val="0"/>
  </w:num>
  <w:num w:numId="41" w16cid:durableId="2131127922">
    <w:abstractNumId w:val="10"/>
  </w:num>
  <w:num w:numId="42" w16cid:durableId="822889901">
    <w:abstractNumId w:val="10"/>
  </w:num>
  <w:num w:numId="43" w16cid:durableId="1924103848">
    <w:abstractNumId w:val="10"/>
  </w:num>
  <w:num w:numId="44" w16cid:durableId="6897970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CS"/>
    <w:docVar w:name="dvnumam" w:val="0"/>
    <w:docVar w:name="dvpe" w:val="775.425"/>
    <w:docVar w:name="dvrapporteur" w:val="Zpravodajka: "/>
    <w:docVar w:name="dvtitre" w:val="Usnesení Evropského parlamentu ze dne.... 2025 o vztazích mezi EU a Saúdskou Arábií(2025/2082(INI))"/>
  </w:docVars>
  <w:rsids>
    <w:rsidRoot w:val="00F33350"/>
    <w:rsid w:val="00002272"/>
    <w:rsid w:val="00064002"/>
    <w:rsid w:val="000677B9"/>
    <w:rsid w:val="000831BA"/>
    <w:rsid w:val="000A42CC"/>
    <w:rsid w:val="000E1023"/>
    <w:rsid w:val="000E7DD9"/>
    <w:rsid w:val="0010095E"/>
    <w:rsid w:val="00125B37"/>
    <w:rsid w:val="00127FE1"/>
    <w:rsid w:val="00187494"/>
    <w:rsid w:val="001F32AE"/>
    <w:rsid w:val="00276169"/>
    <w:rsid w:val="002767FF"/>
    <w:rsid w:val="002839CB"/>
    <w:rsid w:val="002B18FE"/>
    <w:rsid w:val="002B5493"/>
    <w:rsid w:val="002F1635"/>
    <w:rsid w:val="00343214"/>
    <w:rsid w:val="00361C00"/>
    <w:rsid w:val="00365389"/>
    <w:rsid w:val="00395FA1"/>
    <w:rsid w:val="003E15D4"/>
    <w:rsid w:val="00411CCE"/>
    <w:rsid w:val="0041666E"/>
    <w:rsid w:val="00421060"/>
    <w:rsid w:val="00471C19"/>
    <w:rsid w:val="00474531"/>
    <w:rsid w:val="004867E3"/>
    <w:rsid w:val="00494A28"/>
    <w:rsid w:val="004C0004"/>
    <w:rsid w:val="004C5D52"/>
    <w:rsid w:val="0050519A"/>
    <w:rsid w:val="005072A1"/>
    <w:rsid w:val="00514517"/>
    <w:rsid w:val="00545827"/>
    <w:rsid w:val="00556CA3"/>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952"/>
    <w:rsid w:val="00A778C7"/>
    <w:rsid w:val="00AB441E"/>
    <w:rsid w:val="00AB6293"/>
    <w:rsid w:val="00AE0928"/>
    <w:rsid w:val="00AF3B82"/>
    <w:rsid w:val="00B12E95"/>
    <w:rsid w:val="00B22876"/>
    <w:rsid w:val="00B26F59"/>
    <w:rsid w:val="00B558F0"/>
    <w:rsid w:val="00BD48FE"/>
    <w:rsid w:val="00BD7BD8"/>
    <w:rsid w:val="00BE6ADC"/>
    <w:rsid w:val="00C05BFE"/>
    <w:rsid w:val="00C23CD4"/>
    <w:rsid w:val="00C61C0C"/>
    <w:rsid w:val="00C941CB"/>
    <w:rsid w:val="00CC2357"/>
    <w:rsid w:val="00CF071A"/>
    <w:rsid w:val="00D058B8"/>
    <w:rsid w:val="00D171C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35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48FF94"/>
  <w15:chartTrackingRefBased/>
  <w15:docId w15:val="{039004A9-C30E-4021-B4FE-C4AA9A92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67952"/>
    <w:pPr>
      <w:widowControl/>
      <w:spacing w:after="240"/>
    </w:pPr>
    <w:rPr>
      <w:szCs w:val="24"/>
      <w:lang w:eastAsia="en-US"/>
    </w:rPr>
  </w:style>
  <w:style w:type="paragraph" w:customStyle="1" w:styleId="NormalHanging12a">
    <w:name w:val="NormalHanging12a"/>
    <w:basedOn w:val="Normal"/>
    <w:rsid w:val="00A67952"/>
    <w:pPr>
      <w:widowControl/>
      <w:spacing w:after="240"/>
      <w:ind w:left="566" w:hanging="566"/>
    </w:pPr>
    <w:rPr>
      <w:szCs w:val="24"/>
      <w:lang w:eastAsia="en-US"/>
    </w:rPr>
  </w:style>
  <w:style w:type="paragraph" w:customStyle="1" w:styleId="Normal12">
    <w:name w:val="Normal12"/>
    <w:basedOn w:val="Normal"/>
    <w:rsid w:val="00A67952"/>
    <w:pPr>
      <w:widowControl/>
      <w:spacing w:after="240"/>
    </w:pPr>
    <w:rPr>
      <w:szCs w:val="24"/>
      <w:lang w:eastAsia="en-US"/>
    </w:rPr>
  </w:style>
  <w:style w:type="paragraph" w:customStyle="1" w:styleId="NormalHanging">
    <w:name w:val="NormalHanging"/>
    <w:basedOn w:val="Normal"/>
    <w:rsid w:val="00A67952"/>
    <w:pPr>
      <w:widowControl/>
      <w:spacing w:after="240"/>
      <w:ind w:left="566" w:hanging="566"/>
    </w:pPr>
    <w:rPr>
      <w:szCs w:val="24"/>
      <w:lang w:eastAsia="en-US"/>
    </w:rPr>
  </w:style>
  <w:style w:type="paragraph" w:customStyle="1" w:styleId="NormalCenter12a">
    <w:name w:val="NormalCenter12a"/>
    <w:basedOn w:val="Normal"/>
    <w:rsid w:val="00A67952"/>
    <w:pPr>
      <w:widowControl/>
      <w:spacing w:after="240"/>
      <w:jc w:val="center"/>
    </w:pPr>
    <w:rPr>
      <w:szCs w:val="24"/>
      <w:lang w:eastAsia="en-US"/>
    </w:rPr>
  </w:style>
  <w:style w:type="character" w:styleId="Hyperlink">
    <w:name w:val="Hyperlink"/>
    <w:basedOn w:val="DefaultParagraphFont"/>
    <w:rsid w:val="00A67952"/>
    <w:rPr>
      <w:color w:val="0000FF"/>
      <w:u w:val="single"/>
    </w:rPr>
  </w:style>
  <w:style w:type="paragraph" w:styleId="Revision">
    <w:name w:val="Revision"/>
    <w:hidden/>
    <w:uiPriority w:val="99"/>
    <w:semiHidden/>
    <w:rsid w:val="00D171CE"/>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5PC019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4287</Words>
  <Characters>25797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2026-02-02T17:50:00Z</dcterms:created>
  <dcterms:modified xsi:type="dcterms:W3CDTF">2026-02-02T17:50:00Z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A10-0230/2025</vt:lpwstr>
  </property>
  <property fmtid="{D5CDD505-2E9C-101B-9397-08002B2CF9AE}" pid="4" name="&lt;Type&gt;">
    <vt:lpwstr>RR</vt:lpwstr>
  </property>
</Properties>
</file>