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386F" w14:paraId="37D6A781" w14:textId="77777777" w:rsidTr="0010095E">
        <w:trPr>
          <w:trHeight w:hRule="exact" w:val="1418"/>
        </w:trPr>
        <w:tc>
          <w:tcPr>
            <w:tcW w:w="6804" w:type="dxa"/>
            <w:shd w:val="clear" w:color="auto" w:fill="auto"/>
            <w:vAlign w:val="center"/>
          </w:tcPr>
          <w:p w14:paraId="08AE0DE0" w14:textId="77777777" w:rsidR="00751A4A" w:rsidRPr="00DE386F" w:rsidRDefault="00B76316" w:rsidP="0010095E">
            <w:pPr>
              <w:pStyle w:val="EPName"/>
            </w:pPr>
            <w:r w:rsidRPr="00DE386F">
              <w:t>Europa-Parlamentet</w:t>
            </w:r>
          </w:p>
          <w:p w14:paraId="1856F550" w14:textId="77777777" w:rsidR="00751A4A" w:rsidRPr="00DE386F" w:rsidRDefault="005F1B17" w:rsidP="005F1B17">
            <w:pPr>
              <w:pStyle w:val="EPTerm"/>
              <w:rPr>
                <w:rStyle w:val="HideTWBExt"/>
                <w:noProof w:val="0"/>
                <w:vanish w:val="0"/>
                <w:color w:val="auto"/>
              </w:rPr>
            </w:pPr>
            <w:r w:rsidRPr="00DE386F">
              <w:t>2024</w:t>
            </w:r>
            <w:r w:rsidR="00817416" w:rsidRPr="00DE386F">
              <w:t>-202</w:t>
            </w:r>
            <w:r w:rsidRPr="00DE386F">
              <w:t>9</w:t>
            </w:r>
          </w:p>
        </w:tc>
        <w:tc>
          <w:tcPr>
            <w:tcW w:w="2268" w:type="dxa"/>
            <w:shd w:val="clear" w:color="auto" w:fill="auto"/>
          </w:tcPr>
          <w:p w14:paraId="5B0DB49C" w14:textId="77777777" w:rsidR="00751A4A" w:rsidRPr="00DE386F" w:rsidRDefault="00187494" w:rsidP="0010095E">
            <w:pPr>
              <w:pStyle w:val="EPLogo"/>
            </w:pPr>
            <w:r w:rsidRPr="00DE386F">
              <w:rPr>
                <w:noProof/>
                <w:lang w:eastAsia="ja-JP"/>
              </w:rPr>
              <w:drawing>
                <wp:inline distT="0" distB="0" distL="0" distR="0" wp14:anchorId="34CC9383" wp14:editId="2743D6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E4C9BE" w14:textId="77777777" w:rsidR="00D058B8" w:rsidRPr="00DE386F" w:rsidRDefault="00D058B8" w:rsidP="004C5D52">
      <w:pPr>
        <w:pStyle w:val="LineTop"/>
      </w:pPr>
    </w:p>
    <w:p w14:paraId="241C5B9C" w14:textId="77777777" w:rsidR="00680577" w:rsidRPr="00DE386F" w:rsidRDefault="00B76316" w:rsidP="00680577">
      <w:pPr>
        <w:pStyle w:val="EPBodyTA1"/>
      </w:pPr>
      <w:r w:rsidRPr="00DE386F">
        <w:t>VEDTAGNE TEKSTER</w:t>
      </w:r>
    </w:p>
    <w:p w14:paraId="6EF3447D" w14:textId="77777777" w:rsidR="00D058B8" w:rsidRPr="00DE386F" w:rsidRDefault="00D058B8" w:rsidP="00D058B8">
      <w:pPr>
        <w:pStyle w:val="LineBottom"/>
      </w:pPr>
    </w:p>
    <w:p w14:paraId="059760EE" w14:textId="61DA5366" w:rsidR="00B76316" w:rsidRPr="00DE386F" w:rsidRDefault="00B76316" w:rsidP="00B76316">
      <w:pPr>
        <w:pStyle w:val="ATHeading1"/>
      </w:pPr>
      <w:bookmarkStart w:id="0" w:name="TANumber"/>
      <w:r w:rsidRPr="00DE386F">
        <w:t>P10_TA(2025)0</w:t>
      </w:r>
      <w:bookmarkEnd w:id="0"/>
      <w:r w:rsidR="00AA2812">
        <w:t>326</w:t>
      </w:r>
    </w:p>
    <w:p w14:paraId="1B6E4522" w14:textId="4A3DBF3E" w:rsidR="00B76316" w:rsidRPr="00D91A51" w:rsidRDefault="00D91A51" w:rsidP="00B76316">
      <w:pPr>
        <w:pStyle w:val="ATHeading2"/>
      </w:pPr>
      <w:r w:rsidRPr="003A05FF">
        <w:t>Forbindelserne mellem EU og Saudi-Arabien</w:t>
      </w:r>
    </w:p>
    <w:p w14:paraId="705EE571" w14:textId="77777777" w:rsidR="00B76316" w:rsidRPr="00DE386F" w:rsidRDefault="00B76316" w:rsidP="00B76316">
      <w:pPr>
        <w:rPr>
          <w:i/>
          <w:vanish/>
        </w:rPr>
      </w:pPr>
      <w:r w:rsidRPr="00DE386F">
        <w:rPr>
          <w:i/>
        </w:rPr>
        <w:fldChar w:fldCharType="begin"/>
      </w:r>
      <w:r w:rsidRPr="00DE386F">
        <w:rPr>
          <w:i/>
        </w:rPr>
        <w:instrText xml:space="preserve"> TC"(</w:instrText>
      </w:r>
      <w:bookmarkStart w:id="1" w:name="DocNumber"/>
      <w:r w:rsidRPr="00DE386F">
        <w:rPr>
          <w:i/>
        </w:rPr>
        <w:instrText>A10-0230/2025</w:instrText>
      </w:r>
      <w:bookmarkEnd w:id="1"/>
      <w:r w:rsidRPr="00DE386F">
        <w:rPr>
          <w:i/>
        </w:rPr>
        <w:instrText xml:space="preserve"> - Ordfører: Hana </w:instrText>
      </w:r>
      <w:proofErr w:type="spellStart"/>
      <w:r w:rsidRPr="00DE386F">
        <w:rPr>
          <w:i/>
        </w:rPr>
        <w:instrText>Jalloul</w:instrText>
      </w:r>
      <w:proofErr w:type="spellEnd"/>
      <w:r w:rsidRPr="00DE386F">
        <w:rPr>
          <w:i/>
        </w:rPr>
        <w:instrText xml:space="preserve"> </w:instrText>
      </w:r>
      <w:proofErr w:type="spellStart"/>
      <w:r w:rsidRPr="00DE386F">
        <w:rPr>
          <w:i/>
        </w:rPr>
        <w:instrText>Muro</w:instrText>
      </w:r>
      <w:proofErr w:type="spellEnd"/>
      <w:r w:rsidRPr="00DE386F">
        <w:rPr>
          <w:i/>
        </w:rPr>
        <w:instrText xml:space="preserve">)"\l3 \n&gt; \* MERGEFORMAT </w:instrText>
      </w:r>
      <w:r w:rsidRPr="00DE386F">
        <w:rPr>
          <w:i/>
        </w:rPr>
        <w:fldChar w:fldCharType="end"/>
      </w:r>
    </w:p>
    <w:p w14:paraId="039513D2" w14:textId="77777777" w:rsidR="00B76316" w:rsidRPr="00DE386F" w:rsidRDefault="00B76316" w:rsidP="00B76316">
      <w:pPr>
        <w:rPr>
          <w:vanish/>
        </w:rPr>
      </w:pPr>
      <w:bookmarkStart w:id="2" w:name="Commission"/>
      <w:r w:rsidRPr="00DE386F">
        <w:rPr>
          <w:vanish/>
        </w:rPr>
        <w:t>Udenrigsudvalget</w:t>
      </w:r>
      <w:bookmarkEnd w:id="2"/>
    </w:p>
    <w:p w14:paraId="092604D5" w14:textId="77777777" w:rsidR="00B76316" w:rsidRPr="00DE386F" w:rsidRDefault="00B76316" w:rsidP="00B76316">
      <w:pPr>
        <w:rPr>
          <w:vanish/>
        </w:rPr>
      </w:pPr>
      <w:bookmarkStart w:id="3" w:name="PE"/>
      <w:r w:rsidRPr="00DE386F">
        <w:rPr>
          <w:vanish/>
        </w:rPr>
        <w:t>PE775.425</w:t>
      </w:r>
      <w:bookmarkEnd w:id="3"/>
    </w:p>
    <w:p w14:paraId="129412EF" w14:textId="6D4A7852" w:rsidR="00B76316" w:rsidRPr="00DE386F" w:rsidRDefault="00B76316" w:rsidP="00B76316">
      <w:pPr>
        <w:pStyle w:val="ATHeading3"/>
      </w:pPr>
      <w:bookmarkStart w:id="4" w:name="Sujet"/>
      <w:r w:rsidRPr="00DE386F">
        <w:t xml:space="preserve">Europa-Parlamentets beslutning af </w:t>
      </w:r>
      <w:r w:rsidR="00E93EDA">
        <w:t>16</w:t>
      </w:r>
      <w:r w:rsidRPr="00DE386F">
        <w:t>.</w:t>
      </w:r>
      <w:r w:rsidR="00351F87">
        <w:t xml:space="preserve"> december</w:t>
      </w:r>
      <w:r w:rsidRPr="00DE386F">
        <w:t xml:space="preserve"> 2025 om forbindelserne mellem EU og Saudi-Arabien</w:t>
      </w:r>
      <w:bookmarkEnd w:id="4"/>
      <w:r w:rsidRPr="00DE386F">
        <w:t xml:space="preserve"> </w:t>
      </w:r>
      <w:bookmarkStart w:id="5" w:name="References"/>
      <w:r w:rsidRPr="00DE386F">
        <w:t>(2025/2082(INI))</w:t>
      </w:r>
      <w:bookmarkEnd w:id="5"/>
    </w:p>
    <w:p w14:paraId="07953412" w14:textId="77777777" w:rsidR="00351F87" w:rsidRDefault="00351F87" w:rsidP="00C57513">
      <w:pPr>
        <w:pStyle w:val="Normal12"/>
        <w:rPr>
          <w:i/>
        </w:rPr>
      </w:pPr>
    </w:p>
    <w:p w14:paraId="0DB13253" w14:textId="0A9169D1" w:rsidR="00C57513" w:rsidRPr="00D91A51" w:rsidRDefault="00C57513" w:rsidP="00C57513">
      <w:pPr>
        <w:pStyle w:val="Normal12"/>
      </w:pPr>
      <w:r w:rsidRPr="00DE386F">
        <w:rPr>
          <w:i/>
        </w:rPr>
        <w:t>Europa-Parlamentet</w:t>
      </w:r>
      <w:r w:rsidRPr="00DE386F">
        <w:t>,</w:t>
      </w:r>
    </w:p>
    <w:p w14:paraId="61E44010" w14:textId="77777777" w:rsidR="00C57513" w:rsidRPr="00DE386F" w:rsidRDefault="00C57513" w:rsidP="00C57513">
      <w:pPr>
        <w:pStyle w:val="NormalHanging"/>
      </w:pPr>
      <w:r w:rsidRPr="00DE386F">
        <w:t>–</w:t>
      </w:r>
      <w:r w:rsidRPr="00DE386F">
        <w:tab/>
        <w:t>der henviser til artikel 205‑222 i traktaten om Den Europæiske Unions funktionsmåde (TEUF),</w:t>
      </w:r>
    </w:p>
    <w:p w14:paraId="0C7AA292" w14:textId="77777777" w:rsidR="00C57513" w:rsidRPr="00DE386F" w:rsidRDefault="00C57513" w:rsidP="00C57513">
      <w:pPr>
        <w:pStyle w:val="NormalHanging"/>
      </w:pPr>
      <w:r w:rsidRPr="00DE386F">
        <w:t>–</w:t>
      </w:r>
      <w:r w:rsidRPr="00DE386F">
        <w:tab/>
        <w:t xml:space="preserve">der henviser til sine tidligere beslutninger om Saudi-Arabien, navnlig beslutningen af 25. oktober 2018 om drabet på journalisten Jamal </w:t>
      </w:r>
      <w:proofErr w:type="spellStart"/>
      <w:r w:rsidRPr="00DE386F">
        <w:t>Khashoggi</w:t>
      </w:r>
      <w:proofErr w:type="spellEnd"/>
      <w:r w:rsidRPr="00DE386F">
        <w:t xml:space="preserve"> på det saudiarabiske konsulat i Istanbul</w:t>
      </w:r>
      <w:r w:rsidRPr="00DE386F">
        <w:rPr>
          <w:rStyle w:val="FootnoteReference"/>
        </w:rPr>
        <w:footnoteReference w:customMarkFollows="1" w:id="1"/>
        <w:t>1</w:t>
      </w:r>
      <w:r w:rsidRPr="00DE386F">
        <w:t>, beslutningen af 11. februar 2021 om den humanitære og politiske situation i Yemen</w:t>
      </w:r>
      <w:r w:rsidRPr="00DE386F">
        <w:rPr>
          <w:rStyle w:val="FootnoteReference"/>
        </w:rPr>
        <w:footnoteReference w:customMarkFollows="1" w:id="2"/>
        <w:t>2</w:t>
      </w:r>
      <w:r w:rsidRPr="00DE386F">
        <w:t xml:space="preserve"> og beslutningen af 8. juli 2021 om dødsstraf i Saudi-Arabien, navnlig sagerne om Mustafa Hashem al‑</w:t>
      </w:r>
      <w:proofErr w:type="spellStart"/>
      <w:r w:rsidRPr="00DE386F">
        <w:t>Darwish</w:t>
      </w:r>
      <w:proofErr w:type="spellEnd"/>
      <w:r w:rsidRPr="00DE386F">
        <w:t xml:space="preserve"> og Abdullah al‑Howaiti</w:t>
      </w:r>
      <w:r w:rsidRPr="00DE386F">
        <w:rPr>
          <w:rStyle w:val="FootnoteReference"/>
        </w:rPr>
        <w:footnoteReference w:customMarkFollows="1" w:id="3"/>
        <w:t>3</w:t>
      </w:r>
      <w:r w:rsidRPr="00DE386F">
        <w:t>,</w:t>
      </w:r>
    </w:p>
    <w:p w14:paraId="57BB7F13" w14:textId="77777777" w:rsidR="00C57513" w:rsidRPr="00DE386F" w:rsidRDefault="00C57513" w:rsidP="00C57513">
      <w:pPr>
        <w:pStyle w:val="NormalHanging"/>
      </w:pPr>
      <w:r w:rsidRPr="00DE386F">
        <w:t>–</w:t>
      </w:r>
      <w:r w:rsidRPr="00DE386F">
        <w:tab/>
        <w:t>der henviser til den fælles meddelelse af 18. maj 2022 fra Kommissionen og Unionens højtstående repræsentant for udenrigsanliggender og sikkerhedspolitik om et strategisk partnerskab med Golfstaterne (</w:t>
      </w:r>
      <w:proofErr w:type="gramStart"/>
      <w:r w:rsidRPr="00DE386F">
        <w:t>JOIN(</w:t>
      </w:r>
      <w:proofErr w:type="gramEnd"/>
      <w:r w:rsidRPr="00DE386F">
        <w:t>2022)0013) og til Rådets konklusioner herom af 20. juni 2022,</w:t>
      </w:r>
    </w:p>
    <w:p w14:paraId="4F06D30B" w14:textId="77777777" w:rsidR="00C57513" w:rsidRPr="00DE386F" w:rsidRDefault="00C57513" w:rsidP="00C57513">
      <w:pPr>
        <w:pStyle w:val="NormalHanging"/>
      </w:pPr>
      <w:r w:rsidRPr="00DE386F">
        <w:t>–</w:t>
      </w:r>
      <w:r w:rsidRPr="00DE386F">
        <w:tab/>
        <w:t>der henviser til Rådets mandat til at åbne forhandlinger om individuelle strategiske partnerskabsaftaler med landene i Samarbejdsrådet for Golfstaterne (Golfstaternes Samarbejdsråd (GCC)) og henholdsvis Kongeriget Bahrain, Staten Kuwait, Sultanatet Oman, Staten Qatar, Kongeriget Saudi-Arabien og De Forenede Arabiske Emirater,</w:t>
      </w:r>
    </w:p>
    <w:p w14:paraId="53DB305A" w14:textId="77777777" w:rsidR="00C57513" w:rsidRPr="00DE386F" w:rsidRDefault="00C57513" w:rsidP="00C57513">
      <w:pPr>
        <w:pStyle w:val="NormalHanging"/>
      </w:pPr>
      <w:r w:rsidRPr="00DE386F">
        <w:t>–</w:t>
      </w:r>
      <w:r w:rsidRPr="00DE386F">
        <w:tab/>
        <w:t>der henviser til den fælles erklæring fra det første topmøde mellem Den Europæiske Union og Samarbejdsrådet for Golfstaterne den 16. oktober 2024,</w:t>
      </w:r>
    </w:p>
    <w:p w14:paraId="1ADAC0FE" w14:textId="77777777" w:rsidR="00C57513" w:rsidRPr="00DE386F" w:rsidRDefault="00C57513" w:rsidP="00C57513">
      <w:pPr>
        <w:pStyle w:val="NormalHanging"/>
      </w:pPr>
      <w:r w:rsidRPr="00DE386F">
        <w:t>–</w:t>
      </w:r>
      <w:r w:rsidRPr="00DE386F">
        <w:tab/>
        <w:t>der henviser til den fælles erklæring fra det 29. møde i det fælles råds- og ministermøde mellem Samarbejdsrådet for Golfstaterne og EU den 6. oktober 2025,</w:t>
      </w:r>
    </w:p>
    <w:p w14:paraId="552A9103" w14:textId="77777777" w:rsidR="00C57513" w:rsidRPr="00DE386F" w:rsidRDefault="00C57513" w:rsidP="00C57513">
      <w:pPr>
        <w:pStyle w:val="NormalHanging"/>
      </w:pPr>
      <w:r w:rsidRPr="00DE386F">
        <w:lastRenderedPageBreak/>
        <w:t>–</w:t>
      </w:r>
      <w:r w:rsidRPr="00DE386F">
        <w:tab/>
        <w:t>der henviser til henstillingen med henblik på Rådets afgørelse om nye forhandlingsdirektiver med henblik på en regional frihandelsaftale og bilaterale frihandelsaftaler med landene i Samarbejdsrådet for Golfstaterne og henholdsvis Kongeriget Bahrain, Staten Kuwait, Sultanatet Oman, Staten Qatar, Kongeriget Saudi-Arabien og De Forenede Arabiske Emirater (</w:t>
      </w:r>
      <w:hyperlink r:id="rId9" w:tgtFrame="https://eur-lex.europa.eu/legal-content/EN/ALL/?uri=CELEX:52025PC0194" w:history="1">
        <w:r w:rsidRPr="00DE386F">
          <w:rPr>
            <w:rStyle w:val="Hyperlink"/>
          </w:rPr>
          <w:t>COM(2025)0194</w:t>
        </w:r>
      </w:hyperlink>
      <w:r w:rsidRPr="00DE386F">
        <w:t>),</w:t>
      </w:r>
    </w:p>
    <w:p w14:paraId="5D09F788" w14:textId="77777777" w:rsidR="00C57513" w:rsidRPr="00DE386F" w:rsidRDefault="00C57513" w:rsidP="00C57513">
      <w:pPr>
        <w:pStyle w:val="NormalHanging"/>
      </w:pPr>
      <w:r w:rsidRPr="00DE386F">
        <w:t>–</w:t>
      </w:r>
      <w:r w:rsidRPr="00DE386F">
        <w:tab/>
        <w:t>der henviser til samarbejdsaftalen mellem Tjenesten for EU's Optræden Udadtil og Kongeriget Saudi-Arabiens udenrigsministerium, der blev indgået den 3. oktober 2021,</w:t>
      </w:r>
    </w:p>
    <w:p w14:paraId="6269F545" w14:textId="77777777" w:rsidR="00C57513" w:rsidRPr="00DE386F" w:rsidRDefault="00C57513" w:rsidP="00C57513">
      <w:pPr>
        <w:pStyle w:val="NormalHanging"/>
      </w:pPr>
      <w:r w:rsidRPr="00DE386F">
        <w:t>–</w:t>
      </w:r>
      <w:r w:rsidRPr="00DE386F">
        <w:tab/>
        <w:t>der henviser til den fjerde menneskerettighedsdialog mellem EU og Kongeriget Saudi-Arabien, der blev afholdt i Riyadh den 20. december 2024,</w:t>
      </w:r>
    </w:p>
    <w:p w14:paraId="15F3423E" w14:textId="77777777" w:rsidR="00C57513" w:rsidRPr="00DE386F" w:rsidRDefault="00C57513" w:rsidP="00C57513">
      <w:pPr>
        <w:pStyle w:val="NormalHanging"/>
      </w:pPr>
      <w:r w:rsidRPr="00DE386F">
        <w:t>–</w:t>
      </w:r>
      <w:r w:rsidRPr="00DE386F">
        <w:tab/>
        <w:t>der henviser til den globale EU-ordning for menneskerettighedssanktioner, der blev indført i december 2020,</w:t>
      </w:r>
    </w:p>
    <w:p w14:paraId="304106C3" w14:textId="77777777" w:rsidR="00C57513" w:rsidRPr="00DE386F" w:rsidRDefault="00C57513" w:rsidP="00C57513">
      <w:pPr>
        <w:pStyle w:val="NormalHanging"/>
      </w:pPr>
      <w:r w:rsidRPr="00DE386F">
        <w:t>–</w:t>
      </w:r>
      <w:r w:rsidRPr="00DE386F">
        <w:tab/>
        <w:t>der henviser til EU-retningslinjerne vedrørende menneskerettighedsforkæmpere, der blev vedtaget i 2004 og ajourført i 2008,</w:t>
      </w:r>
    </w:p>
    <w:p w14:paraId="49AD3032" w14:textId="77777777" w:rsidR="00C57513" w:rsidRPr="00DE386F" w:rsidRDefault="00C57513" w:rsidP="00C57513">
      <w:pPr>
        <w:pStyle w:val="NormalHanging"/>
      </w:pPr>
      <w:r w:rsidRPr="00DE386F">
        <w:t>–</w:t>
      </w:r>
      <w:r w:rsidRPr="00DE386F">
        <w:tab/>
        <w:t>der henviser til rapporten af 8. april 2025 fra FN's Ekspertgruppe i Geografiske Navne om Kongeriget Saudi-Arabien (2025/169/CRP.169),</w:t>
      </w:r>
    </w:p>
    <w:p w14:paraId="141EC156" w14:textId="77777777" w:rsidR="00C57513" w:rsidRPr="00DE386F" w:rsidRDefault="00C57513" w:rsidP="00C57513">
      <w:pPr>
        <w:pStyle w:val="NormalHanging"/>
      </w:pPr>
      <w:r w:rsidRPr="00DE386F">
        <w:t>–</w:t>
      </w:r>
      <w:r w:rsidRPr="00DE386F">
        <w:tab/>
        <w:t>der henviser til FN's konvention af 18. december 1979 om afskaffelse af alle former for diskrimination imod kvinder,</w:t>
      </w:r>
    </w:p>
    <w:p w14:paraId="7AEBCB8B" w14:textId="77777777" w:rsidR="00C57513" w:rsidRPr="00DE386F" w:rsidRDefault="00C57513" w:rsidP="00C57513">
      <w:pPr>
        <w:pStyle w:val="NormalHanging"/>
      </w:pPr>
      <w:r w:rsidRPr="00DE386F">
        <w:t>–</w:t>
      </w:r>
      <w:r w:rsidRPr="00DE386F">
        <w:tab/>
        <w:t>der henviser til forretningsordenens artikel 55,</w:t>
      </w:r>
    </w:p>
    <w:p w14:paraId="42EC8264" w14:textId="77777777" w:rsidR="00C57513" w:rsidRPr="00DE386F" w:rsidRDefault="00C57513" w:rsidP="00C57513">
      <w:pPr>
        <w:pStyle w:val="NormalHanging"/>
      </w:pPr>
      <w:r w:rsidRPr="00DE386F">
        <w:t>–</w:t>
      </w:r>
      <w:r w:rsidRPr="00DE386F">
        <w:tab/>
        <w:t>der henviser til betænkning fra Udenrigsudvalget (A10-0230/2025),</w:t>
      </w:r>
    </w:p>
    <w:p w14:paraId="06530994" w14:textId="77777777" w:rsidR="00C57513" w:rsidRPr="00DE386F" w:rsidRDefault="00C57513" w:rsidP="00C57513">
      <w:pPr>
        <w:pStyle w:val="NormalHanging"/>
      </w:pPr>
      <w:r w:rsidRPr="00DE386F">
        <w:t>A.</w:t>
      </w:r>
      <w:r w:rsidRPr="00DE386F">
        <w:tab/>
        <w:t>der henviser til, at Saudi-Arabien er en vigtig bilateral og regional partner for EU; der henviser til, at det er vigtigt at uddybe dette samarbejde hen imod et strategisk partnerskab, der har til formål at styrke de bilaterale forbindelser og fremme samarbejdet inden for forskellige sektorer, herunder forsvar, kultur, innovation og frem for alt energi;</w:t>
      </w:r>
    </w:p>
    <w:p w14:paraId="3AA31EAD" w14:textId="77777777" w:rsidR="00C57513" w:rsidRPr="00DE386F" w:rsidRDefault="00C57513" w:rsidP="00C57513">
      <w:pPr>
        <w:pStyle w:val="NormalHanging"/>
      </w:pPr>
      <w:r w:rsidRPr="00DE386F">
        <w:t>B.</w:t>
      </w:r>
      <w:r w:rsidRPr="00DE386F">
        <w:tab/>
        <w:t>der henviser til, at Saudi-Arabien er EU's 17. største handelspartner i verden, og at EU er Saudi-Arabiens største udenlandske investor;</w:t>
      </w:r>
    </w:p>
    <w:p w14:paraId="1EDC9742" w14:textId="77777777" w:rsidR="00C57513" w:rsidRPr="00DE386F" w:rsidRDefault="00C57513" w:rsidP="00C57513">
      <w:pPr>
        <w:pStyle w:val="NormalHanging"/>
      </w:pPr>
      <w:r w:rsidRPr="00DE386F">
        <w:t>C.</w:t>
      </w:r>
      <w:r w:rsidRPr="00DE386F">
        <w:tab/>
        <w:t>der henviser til, at Saudi-Arabien og Kina i det forgangne årti har styrket deres forbindelser inden for rammerne af Saudi-Arabiens "Vision 2030"-projekt, og at Saudi-Arabien er blevet den største modtager af investeringer under Kinas "ét bælte, én vej"-initiativ, herunder investeringer i strategisk infrastruktur såsom havne og digitale netværk; der henviser til, at Kina siden 2019 har været den største aftager af saudiarabisk råolie; der henviser til, at Saudi-Arabien og Kina styrkede deres samarbejde inden for udenrigspolitik, sikkerhed, energi, handel og teknologi, da de i 2016 nedsatte et fælles udvalg på højt plan samt flere underudvalg;</w:t>
      </w:r>
    </w:p>
    <w:p w14:paraId="0FA3929A" w14:textId="77777777" w:rsidR="00C57513" w:rsidRPr="00DE386F" w:rsidRDefault="00C57513" w:rsidP="00C57513">
      <w:pPr>
        <w:pStyle w:val="NormalHanging"/>
      </w:pPr>
      <w:r w:rsidRPr="00DE386F">
        <w:t>D.</w:t>
      </w:r>
      <w:r w:rsidRPr="00DE386F">
        <w:tab/>
        <w:t xml:space="preserve">der henviser til, at Saudi-Arabien har styrket sine forbindelser med Indien, navnlig gennem projektet om en økonomisk korridor mellem Indien, Mellemøsten og Europa (IMEC), som har til formål at forbedre </w:t>
      </w:r>
      <w:proofErr w:type="spellStart"/>
      <w:r w:rsidRPr="00DE386F">
        <w:t>konnektiviteten</w:t>
      </w:r>
      <w:proofErr w:type="spellEnd"/>
      <w:r w:rsidRPr="00DE386F">
        <w:t xml:space="preserve"> mellem Asien og Europa via Den Arabiske Halvø;</w:t>
      </w:r>
    </w:p>
    <w:p w14:paraId="113BC656" w14:textId="77777777" w:rsidR="00C57513" w:rsidRPr="00DE386F" w:rsidRDefault="00C57513" w:rsidP="00C57513">
      <w:pPr>
        <w:pStyle w:val="NormalHanging"/>
      </w:pPr>
      <w:r w:rsidRPr="00DE386F">
        <w:lastRenderedPageBreak/>
        <w:t>E.</w:t>
      </w:r>
      <w:r w:rsidRPr="00DE386F">
        <w:tab/>
        <w:t>der henviser til, at Saudi-Arabien i den senere tid har konsolideret sin status som en pålidelig regional mægler og global nøgleaktør yderligere, og at det er afgørende, at landet samtidig fuldt ud overholder og fremmer menneskerettighederne og folkeretten;</w:t>
      </w:r>
    </w:p>
    <w:p w14:paraId="3D34810C" w14:textId="77777777" w:rsidR="00C57513" w:rsidRPr="00DE386F" w:rsidRDefault="00C57513" w:rsidP="00C57513">
      <w:pPr>
        <w:pStyle w:val="NormalHanging"/>
      </w:pPr>
      <w:r w:rsidRPr="00DE386F">
        <w:t>F.</w:t>
      </w:r>
      <w:r w:rsidRPr="00DE386F">
        <w:tab/>
        <w:t>der henviser til den verserende sag ved Den Internationale Domstol (ICJ) om anvendelsen af konventionen om forebyggelse af og straf for folkedrab i Gazastriben (Sydafrika mod Israel), der blev anlagt af Sydafrika den 29. december 2023;</w:t>
      </w:r>
    </w:p>
    <w:p w14:paraId="22477EDB" w14:textId="77777777" w:rsidR="00C57513" w:rsidRPr="00DE386F" w:rsidRDefault="00C57513" w:rsidP="00C57513">
      <w:pPr>
        <w:pStyle w:val="NormalHanging"/>
      </w:pPr>
      <w:r w:rsidRPr="00DE386F">
        <w:t>G.</w:t>
      </w:r>
      <w:r w:rsidRPr="00DE386F">
        <w:tab/>
        <w:t>der henviser til, at Saudi-Arabien styrker dialogen og samarbejdet med EU om menneskerettigheder;</w:t>
      </w:r>
    </w:p>
    <w:p w14:paraId="2BDA54B4" w14:textId="77777777" w:rsidR="00C57513" w:rsidRPr="00DE386F" w:rsidRDefault="00C57513" w:rsidP="00C57513">
      <w:pPr>
        <w:pStyle w:val="NormalHanging"/>
      </w:pPr>
      <w:r w:rsidRPr="00DE386F">
        <w:t>H.</w:t>
      </w:r>
      <w:r w:rsidRPr="00DE386F">
        <w:tab/>
        <w:t xml:space="preserve">der henviser </w:t>
      </w:r>
      <w:proofErr w:type="gramStart"/>
      <w:r w:rsidRPr="00DE386F">
        <w:t>til,</w:t>
      </w:r>
      <w:proofErr w:type="gramEnd"/>
      <w:r w:rsidRPr="00DE386F">
        <w:t xml:space="preserve"> at fremme af respekten for menneskerettighederne og folkeretten i udenrigspolitikken, herunder handel, er en traktatmæssig forpligtelse for EU, som er nedfældet i artikel 3 og 21 i traktaten om Den Europæiske Union;</w:t>
      </w:r>
    </w:p>
    <w:p w14:paraId="71F03941" w14:textId="77777777" w:rsidR="00C57513" w:rsidRPr="00DE386F" w:rsidRDefault="00C57513" w:rsidP="00C57513">
      <w:pPr>
        <w:pStyle w:val="NormalHanging"/>
      </w:pPr>
      <w:r w:rsidRPr="00DE386F">
        <w:t>I.</w:t>
      </w:r>
      <w:r w:rsidRPr="00DE386F">
        <w:tab/>
        <w:t>der henviser til, at FN's Komité for Afskaffelse af Diskrimination mod Kvinder i sine konklusioner om Saudi-Arabien fra oktober 2024 har udtrykt bekymring over rodfæstet diskriminerende praksis, chikane af kvindelige aktivister og den bredere virkning af straffeforanstaltninger, herunder brugen af dødsstraf;</w:t>
      </w:r>
    </w:p>
    <w:p w14:paraId="27D177D6" w14:textId="77777777" w:rsidR="00C57513" w:rsidRPr="00DE386F" w:rsidRDefault="00C57513" w:rsidP="00C57513">
      <w:pPr>
        <w:pStyle w:val="NormalHanging"/>
      </w:pPr>
      <w:r w:rsidRPr="00DE386F">
        <w:t>J.</w:t>
      </w:r>
      <w:r w:rsidRPr="00DE386F">
        <w:tab/>
        <w:t>der henviser til, at det næste topmøde mellem EU og GCC, som vil blive afholdt i Riyadh i 2026, vil være afgørende for yderligere at udvide omfanget af forbindelserne mellem EU og Saudi-Arabien og styrke samarbejdet om vigtige anliggender af fælles interesse;</w:t>
      </w:r>
    </w:p>
    <w:p w14:paraId="29EF2516" w14:textId="77777777" w:rsidR="00C57513" w:rsidRPr="00DE386F" w:rsidRDefault="00C57513" w:rsidP="00C57513">
      <w:pPr>
        <w:pStyle w:val="Normal12a"/>
      </w:pPr>
      <w:r w:rsidRPr="00DE386F">
        <w:rPr>
          <w:b/>
          <w:i/>
        </w:rPr>
        <w:t>Bilaterale forbindelser mellem EU og Saudi-Arabien</w:t>
      </w:r>
    </w:p>
    <w:p w14:paraId="566E7663" w14:textId="77777777" w:rsidR="00C57513" w:rsidRPr="00DE386F" w:rsidRDefault="00C57513" w:rsidP="00C57513">
      <w:pPr>
        <w:pStyle w:val="NormalHanging12a"/>
      </w:pPr>
      <w:r w:rsidRPr="00DE386F">
        <w:t>1.</w:t>
      </w:r>
      <w:r w:rsidRPr="00DE386F">
        <w:tab/>
        <w:t xml:space="preserve">fremhæver det positive samspil mellem EU og GCC – som er to af de førende aktører i den bredere Middelhavsregion – på det første topmøde mellem EU og GCC i 2024; bekræfter, at EU sigter mod at styrke de bilaterale forbindelser med hvert GCC-land gennem strategiske partnerskabsaftaler, der vil afhjælpe den nuværende mangel på en juridisk bindende ramme for de bilaterale forbindelser mellem EU og Saudi-Arabien og derved frigøre potentialet for dybere og bredere samarbejdsområder, som f.eks. udenrigs- og sikkerhedspolitik, retspleje og retshåndhævelse, handel og investering, energi og klima, digital omstilling, miljø, forskning og innovation, kunstig intelligens, </w:t>
      </w:r>
      <w:proofErr w:type="spellStart"/>
      <w:r w:rsidRPr="00DE386F">
        <w:t>konnektivitet</w:t>
      </w:r>
      <w:proofErr w:type="spellEnd"/>
      <w:r w:rsidRPr="00DE386F">
        <w:t>, digital forvaltning, uddannelse, kultur, forskning, unge og mellemfolkelige kontakter, og sikre reformer inden for menneskerettigheder og arbejdstagerrettigheder i GCC-landene;</w:t>
      </w:r>
    </w:p>
    <w:p w14:paraId="66C0930C" w14:textId="77777777" w:rsidR="00C57513" w:rsidRPr="00DE386F" w:rsidRDefault="00C57513" w:rsidP="00C57513">
      <w:pPr>
        <w:pStyle w:val="NormalHanging12a"/>
      </w:pPr>
      <w:r w:rsidRPr="00DE386F">
        <w:t>2.</w:t>
      </w:r>
      <w:r w:rsidRPr="00DE386F">
        <w:tab/>
        <w:t>ser med tilfredshed på tilnærmelsen og samarbejdet mellem Saudi-Arabien og EU på det udenrigs- og sikkerhedspolitiske område;</w:t>
      </w:r>
    </w:p>
    <w:p w14:paraId="04D62075" w14:textId="77777777" w:rsidR="00C57513" w:rsidRPr="00DE386F" w:rsidRDefault="00C57513" w:rsidP="00C57513">
      <w:pPr>
        <w:pStyle w:val="NormalHanging12a"/>
      </w:pPr>
      <w:r w:rsidRPr="00DE386F">
        <w:t>3.</w:t>
      </w:r>
      <w:r w:rsidRPr="00DE386F">
        <w:tab/>
        <w:t>understreger potentialet for yderligere økonomisk samarbejde mellem EU og Saudi-Arabien inden for bæredygtig energi, kritiske råstoffer, informationsteknologi og iværksætteri og bemærker, at økonomisk samarbejde mellem EU og Saudi-Arabien er hjørnestenen i de bilaterale forbindelser; opfordrer til øget samarbejde mellem EU og Saudi-Arabien på disse områder; støtter Saudi-Arabiens overholdelse af EU-lovgivningen om due diligence, når landet indgår økonomiske aftaler eller forretningsaftaler, der involverer virksomheder, som ejes af eller er tilknyttet Saudi-Arabiens offentlige investeringsfond;</w:t>
      </w:r>
    </w:p>
    <w:p w14:paraId="25A7EDF7" w14:textId="77777777" w:rsidR="00C57513" w:rsidRPr="00DE386F" w:rsidRDefault="00C57513" w:rsidP="00C57513">
      <w:pPr>
        <w:pStyle w:val="NormalHanging12a"/>
      </w:pPr>
      <w:r w:rsidRPr="00DE386F">
        <w:lastRenderedPageBreak/>
        <w:t>4.</w:t>
      </w:r>
      <w:r w:rsidRPr="00DE386F">
        <w:tab/>
        <w:t>understreger, at en uddybning af samarbejdet mellem EU og Saudi-Arabien inden for energi og handel bør styrke EU's strategiske autonomi ved på kort sigt at diversificere pålidelige energiforsyningskilder; understreger, at Saudi-Arabien – uagtet sin fortsatte nøglerolle på verdens markeder for fossil energi – desuden har banet vejen for diversificering og bæredygtighed med investeringer i vedvarende energi, navnlig omfattende sol- og brintenergiprojekter; bemærker, at Saudi-Arabien nu er blandt verdens ti største energilagringsmarkeder, hvilket styrker landets førerposition inden for vedvarende energi yderligere; fremhæver, at udnyttelse af Saudi-Arabiens enorme solenergipotentiale sammen med EU's avancerede vedvarende teknologier kan muliggøre fælles initiativer inden for grøn brint, bæredygtige brændstoffer og næste generation af energiinfrastruktur;</w:t>
      </w:r>
    </w:p>
    <w:p w14:paraId="3660DED1" w14:textId="77777777" w:rsidR="00C57513" w:rsidRPr="00DE386F" w:rsidRDefault="00C57513" w:rsidP="00C57513">
      <w:pPr>
        <w:pStyle w:val="NormalHanging12a"/>
      </w:pPr>
      <w:r w:rsidRPr="00DE386F">
        <w:t>5.</w:t>
      </w:r>
      <w:r w:rsidRPr="00DE386F">
        <w:tab/>
        <w:t>bekræfter på ny, at EU er fast besluttet på at støtte Saudi-Arabiens bestræbelser på at opnå socioøkonomisk diversificering og reformer, herunder fremme af bæredygtig udvikling;</w:t>
      </w:r>
    </w:p>
    <w:p w14:paraId="3D50D9B5" w14:textId="77777777" w:rsidR="00C57513" w:rsidRPr="00DE386F" w:rsidRDefault="00C57513" w:rsidP="00C57513">
      <w:pPr>
        <w:pStyle w:val="NormalHanging12a"/>
      </w:pPr>
      <w:r w:rsidRPr="00DE386F">
        <w:t>6.</w:t>
      </w:r>
      <w:r w:rsidRPr="00DE386F">
        <w:tab/>
        <w:t>bekræfter på ny, at EU fortsat er fast besluttet på at fremme en sikker og gensidigt fordelagtig ordning for visumfri indrejse med de fem øvrige GCC-lande for at sikre ligebehandling af dem, hvilket kan vurderes inden for rammerne af EU's nye visumstrategi; bemærker den betydelige økonomiske betydning, som saudiarabiske turister har for EU-medlemsstaterne, navnlig med hensyn til at støtte nøglesektorer såsom hotel- og restaurationsbranchen, detailhandelen og kulturlivet; understreger, at saudiarabiske statsborgere ikke udgør en kilde til presset fra irregulær migration</w:t>
      </w:r>
      <w:r w:rsidRPr="00DE386F">
        <w:rPr>
          <w:rStyle w:val="FootnoteReference"/>
        </w:rPr>
        <w:footnoteReference w:customMarkFollows="1" w:id="4"/>
        <w:t>4</w:t>
      </w:r>
      <w:r w:rsidRPr="00DE386F">
        <w:t xml:space="preserve">, og opfordrer derfor Kommissionen og medlemsstaterne til at overveje at indføre en </w:t>
      </w:r>
      <w:proofErr w:type="spellStart"/>
      <w:r w:rsidRPr="00DE386F">
        <w:t>Schengenvisumfritagelse</w:t>
      </w:r>
      <w:proofErr w:type="spellEnd"/>
      <w:r w:rsidRPr="00DE386F">
        <w:t>, når kaskademekanismen er indført, for at lette turismen, øge den mellemfolkelige udveksling og styrke de økonomiske og kulturelle bånd mellem EU og Saudi-Arabien yderligere;</w:t>
      </w:r>
    </w:p>
    <w:p w14:paraId="61BCD02A" w14:textId="77777777" w:rsidR="00C57513" w:rsidRPr="00DE386F" w:rsidRDefault="00C57513" w:rsidP="00C57513">
      <w:pPr>
        <w:pStyle w:val="NormalHanging12a"/>
      </w:pPr>
      <w:r w:rsidRPr="00DE386F">
        <w:t>7.</w:t>
      </w:r>
      <w:r w:rsidRPr="00DE386F">
        <w:tab/>
        <w:t xml:space="preserve">opfordrer EU til at lette reguleringssamarbejdet yderligere, hvilket vil støtte Saudi-Arabien i dets bestræbelser på at indføre regler og procedurer for med vellykket resultat at gennemføre energimæssig diversificering og socioøkonomiske reformer; opfordrer til et stærkere partnerskab mellem EU og Saudi-Arabien inden for uddannelse og forskning, herunder via programmer som Erasmus </w:t>
      </w:r>
      <w:proofErr w:type="spellStart"/>
      <w:r w:rsidRPr="00DE386F">
        <w:t>Mundus</w:t>
      </w:r>
      <w:proofErr w:type="spellEnd"/>
      <w:r w:rsidRPr="00DE386F">
        <w:t xml:space="preserve"> og Horisont Europa; understreger, hvor vigtigt det er at skabe de fornødne betingelser for øget studentermobilitet; fremhæver, at en styrkelse af udvekslingsmulighederne blandt unge vil bidrage væsentligt til at konsolidere forbindelserne mellem EU, Saudi-Arabien og hele Golfregionen;</w:t>
      </w:r>
    </w:p>
    <w:p w14:paraId="238ACC2D" w14:textId="77777777" w:rsidR="00C57513" w:rsidRPr="00DE386F" w:rsidRDefault="00C57513" w:rsidP="00C57513">
      <w:pPr>
        <w:pStyle w:val="Normal12a"/>
      </w:pPr>
      <w:r w:rsidRPr="00DE386F">
        <w:rPr>
          <w:b/>
          <w:i/>
        </w:rPr>
        <w:t>Saudi-Arabiens udenrigspolitiske prioriteter og EU's muligheder</w:t>
      </w:r>
    </w:p>
    <w:p w14:paraId="1EC7A9ED" w14:textId="77777777" w:rsidR="00C57513" w:rsidRPr="00DE386F" w:rsidRDefault="00C57513" w:rsidP="00C57513">
      <w:pPr>
        <w:pStyle w:val="NormalHanging12a"/>
      </w:pPr>
      <w:r w:rsidRPr="00DE386F">
        <w:t>8.</w:t>
      </w:r>
      <w:r w:rsidRPr="00DE386F">
        <w:tab/>
        <w:t>glæder sig over Saudi-Arabiens voksende betydning som diplomatisk aktør og dets betydelige bidrag til den regionale og globale stabilitet, navnlig i forbindelse med Israels militære operationer i Gaza og den seneste udvikling i Syrien, Libanon, Yemen, Det Røde Hav og Sudan;</w:t>
      </w:r>
    </w:p>
    <w:p w14:paraId="6CCE98D3" w14:textId="77777777" w:rsidR="00C57513" w:rsidRPr="00DE386F" w:rsidRDefault="00C57513" w:rsidP="00C57513">
      <w:pPr>
        <w:pStyle w:val="NormalHanging12a"/>
      </w:pPr>
      <w:r w:rsidRPr="00DE386F">
        <w:lastRenderedPageBreak/>
        <w:t>9.</w:t>
      </w:r>
      <w:r w:rsidRPr="00DE386F">
        <w:tab/>
        <w:t>opfordrer til et stærkere udenrigs- og sikkerhedssamarbejde i lyset af de regionale eskaleringer; fremhæver, at der både i den fælles meddelelse om et strategisk partnerskab med Golfstaterne og den fremtidige strategiske partnerskabsaftale bliver opfordret til et stærkere samarbejde på politiske og sikkerhedsmæssige områder; understreger, at dette samarbejde skal være baseret på en fælles forpligtelse til at overholde folkeretten, herunder menneskerettighederne, den humanitære folkeret og FN-pagten; udtrykker sin støtte til Rådets afgørelse fra juli 2025 om bemyndigelse af Kommissionen og Unionens højtstående repræsentant for udenrigsanliggender og sikkerhedspolitik til at indlede forhandlinger om indgåelse af et strategisk partnerskab med Kongeriget Saudi-Arabien; anerkender, at dette udspil skaber en afgørende mulighed for at fremme EU's strategiske interesser, forbedre regionens stabilitet og styrke samarbejdet på energi- og sikkerhedsområdet; opfordrer til et resolut og aktivt engagement fra begge parters side under hele forhandlingsforløbet for at sikre en hurtig og rettidig afslutning af forhandlingerne; understreger, at EU's styrkede samarbejde med Saudi-Arabien også bør styrke begge parters fælles tilsagn om at tilstræbe fred og stabilitet og beskytte den multilaterale regelbaserede;</w:t>
      </w:r>
    </w:p>
    <w:p w14:paraId="4CC9CB8A" w14:textId="77777777" w:rsidR="00C57513" w:rsidRPr="00DE386F" w:rsidRDefault="00C57513" w:rsidP="00C57513">
      <w:pPr>
        <w:pStyle w:val="NormalHanging12a"/>
      </w:pPr>
      <w:r w:rsidRPr="00DE386F">
        <w:t>10.</w:t>
      </w:r>
      <w:r w:rsidRPr="00DE386F">
        <w:tab/>
        <w:t>fremhæver Saudi-Arabiens vigtige diplomatiske rolle, navnlig med hensyn til at støtte deeskalering i Yemen, forbedre sikkerheden for skibsfarten i Det Røde Hav, være vært for forhandlinger om Ukraine og facilitere dialogen om Sudan, hvilket alt sammen bidrager konstruktivt til den regionale og internationale stabilitet;</w:t>
      </w:r>
    </w:p>
    <w:p w14:paraId="749254C1" w14:textId="77777777" w:rsidR="00C57513" w:rsidRPr="00DE386F" w:rsidRDefault="00C57513" w:rsidP="00C57513">
      <w:pPr>
        <w:pStyle w:val="NormalHanging12a"/>
      </w:pPr>
      <w:r w:rsidRPr="00DE386F">
        <w:t>11.</w:t>
      </w:r>
      <w:r w:rsidRPr="00DE386F">
        <w:tab/>
        <w:t>opfordrer Saudi-Arabien til at fortsætte samarbejdet mellem EU og Saudi-Arabien om terrorbekæmpelse og forebyggelse af radikalisering, hvilket skal ske i overensstemmelse med internationale menneskerettighedsstandarder; understreger, hvor vigtigt det er at opnå en omfattende tilnærmelse mellem EU og Saudi-Arabien på disse områder;</w:t>
      </w:r>
    </w:p>
    <w:p w14:paraId="2CCA7856" w14:textId="2ACDCCDA" w:rsidR="00C57513" w:rsidRPr="00DE386F" w:rsidRDefault="00C57513" w:rsidP="00C57513">
      <w:pPr>
        <w:pStyle w:val="NormalHanging12a"/>
      </w:pPr>
      <w:r w:rsidRPr="00DE386F">
        <w:t>12.</w:t>
      </w:r>
      <w:r w:rsidRPr="00DE386F">
        <w:tab/>
        <w:t>anerkender Saudi-Arabiens bestræbelser på at tilskynde til deeskalering i forbindelse med Israels militære operationer i Gaza; minder om sin holdning, som det gav udtryk for i sin beslutning af 11. september 2025 om "Gaza på bristepunktet: EU-indsats for at bekæmpe hungersnøden, det akutte behov for at løslade gidslerne og bevæge sig hen imod en tostatsløsning"</w:t>
      </w:r>
      <w:r w:rsidRPr="00DE386F">
        <w:rPr>
          <w:rStyle w:val="FootnoteReference"/>
        </w:rPr>
        <w:footnoteReference w:customMarkFollows="1" w:id="5"/>
        <w:t>5</w:t>
      </w:r>
      <w:r w:rsidRPr="00DE386F">
        <w:t xml:space="preserve"> og glæder sig over New York-erklæringen af </w:t>
      </w:r>
      <w:r w:rsidR="00930BDD">
        <w:t>29. juli</w:t>
      </w:r>
      <w:r w:rsidRPr="00DE386F">
        <w:t xml:space="preserve"> 2025 om en fredelig løsning på spørgsmålet om Palæstina og gennemførelsen af </w:t>
      </w:r>
      <w:proofErr w:type="spellStart"/>
      <w:r w:rsidRPr="00DE386F">
        <w:t>tostatsløsningen</w:t>
      </w:r>
      <w:proofErr w:type="spellEnd"/>
      <w:r w:rsidRPr="00DE386F">
        <w:t xml:space="preserve"> og FN's Generalforsamlings godkendelse heraf den 12. september 2025;</w:t>
      </w:r>
    </w:p>
    <w:p w14:paraId="6E773768" w14:textId="77777777" w:rsidR="00C57513" w:rsidRPr="00DE386F" w:rsidRDefault="00C57513" w:rsidP="00C57513">
      <w:pPr>
        <w:pStyle w:val="NormalHanging12a"/>
      </w:pPr>
      <w:r w:rsidRPr="00DE386F">
        <w:t>13.</w:t>
      </w:r>
      <w:r w:rsidRPr="00DE386F">
        <w:tab/>
        <w:t xml:space="preserve">anerkender Saudi-Arabiens og visse andre arabiske staters bestræbelser på at normalisere de diplomatiske forbindelser med Israel i henhold til Abraham-aftalerne fra 2020; opfordrer EU til at støtte initiativer, der har til formål at skabe bred regional og international opbakning til en bedre fremtid for forbindelserne mellem Israel og den arabiske verden inden for EU's rammer for den accepterede </w:t>
      </w:r>
      <w:proofErr w:type="spellStart"/>
      <w:r w:rsidRPr="00DE386F">
        <w:t>tostatsløsning</w:t>
      </w:r>
      <w:proofErr w:type="spellEnd"/>
      <w:r w:rsidRPr="00DE386F">
        <w:t xml:space="preserve"> med henblik på at fremme regional stabilitet;</w:t>
      </w:r>
    </w:p>
    <w:p w14:paraId="6E958B83" w14:textId="77777777" w:rsidR="00C57513" w:rsidRPr="00DE386F" w:rsidRDefault="00C57513" w:rsidP="00C57513">
      <w:pPr>
        <w:pStyle w:val="NormalHanging12a"/>
      </w:pPr>
      <w:r w:rsidRPr="00DE386F">
        <w:t>14.</w:t>
      </w:r>
      <w:r w:rsidRPr="00DE386F">
        <w:tab/>
        <w:t xml:space="preserve">påskønner Saudi-Arabiens betydelige diplomatiske og finansielle hjælpeaktiviteter i Syrien, herunder gennem regionale drøftelser samt stabiliserings- og genopbygningsarbejde mere bredt; opfordrer Saudi-Arabien og dets partnere i regionen til at bistå den syriske overgangsregering med at etablere en varig og inkluderende politisk og sikkerhedsmæssig struktur; understreger, hvor vigtigt det er at bevare Syriens suverænitet og territoriale integritet samt deltagelsen og beskyttelsen af Syriens </w:t>
      </w:r>
      <w:r w:rsidRPr="00DE386F">
        <w:lastRenderedPageBreak/>
        <w:t>mindretal; opfordrer til øget samarbejde mellem EU og Saudi-Arabien for at arbejde hen imod en fredelig og inkluderende overgang i Syrien og for at beskytte Syriens kristne befolkning og alle samfund i Syrien og garantere deres sikkerhed og religionsfrihed og beskytte deres kulturarv;</w:t>
      </w:r>
    </w:p>
    <w:p w14:paraId="7A160ECE" w14:textId="77777777" w:rsidR="00C57513" w:rsidRPr="00DE386F" w:rsidRDefault="00C57513" w:rsidP="00C57513">
      <w:pPr>
        <w:pStyle w:val="NormalHanging12a"/>
      </w:pPr>
      <w:r w:rsidRPr="00DE386F">
        <w:t>15.</w:t>
      </w:r>
      <w:r w:rsidRPr="00DE386F">
        <w:tab/>
        <w:t>bekræfter på ny EU's støtte til Libanons politiske og socioøkonomiske genopbygning og fremhæver vigtigheden af samarbejdet mellem EU og Saudi-Arabien om gennemførelse af FN's Sikkerhedsråds resolution 1701 (2006) og støtte til Libanons væbnede styrker; hilser den libanesiske regerings indsats velkommen og opfordrer til afvæbning af Hizbollah; gentager, at det er vigtigt, at alle lande i regionen respekterer Libanons suverænitet og territoriale integritet, og opfordrer samtidig alle parter til at beskytte FN's midlertidige styrke i Libanon (UNIFIL);</w:t>
      </w:r>
    </w:p>
    <w:p w14:paraId="3B42FC88" w14:textId="77777777" w:rsidR="00C57513" w:rsidRPr="00DE386F" w:rsidRDefault="00C57513" w:rsidP="00C57513">
      <w:pPr>
        <w:pStyle w:val="NormalHanging12a"/>
      </w:pPr>
      <w:r w:rsidRPr="00DE386F">
        <w:t>16.</w:t>
      </w:r>
      <w:r w:rsidRPr="00DE386F">
        <w:tab/>
        <w:t>anerkender Saudi-Arabiens konstruktive rolle i forbindelse med de aktuelle regionale spændinger, det udvidede samarbejde mellem Saudi-Arabien og De Forenede Arabiske Emirater og den gradvise diplomatiske normalisering med Iran; fremhæver tilnærmelsen mellem EU og Saudi-Arabien med hensyn til at inddæmme Irans stedfortræderaktører og standse videreudviklingen af Irans atomprogram;</w:t>
      </w:r>
    </w:p>
    <w:p w14:paraId="13DEC573" w14:textId="77777777" w:rsidR="00C57513" w:rsidRPr="00DE386F" w:rsidRDefault="00C57513" w:rsidP="00C57513">
      <w:pPr>
        <w:pStyle w:val="NormalHanging12a"/>
      </w:pPr>
      <w:r w:rsidRPr="00DE386F">
        <w:t>17.</w:t>
      </w:r>
      <w:r w:rsidRPr="00DE386F">
        <w:tab/>
        <w:t>fremhæver den fælles prioritet mellem EU og Saudi-Arabien om at skabe varig fred i Yemen og roser Saudi-Arabiens fortsatte engagement i at opnå en inkluderende politisk løsning i Yemen; opfordrer Saudi-Arabien til at støtte en uafhængig international mekanisme, som skal efterforske krænkelser af den humanitære folkeret i Yemen mellem 2015 og 2022; opfordrer til en forøgelse af EU's og Saudi-Arabiens nødhjælp til Yemen og til en fælles indsats fra begge parters side for at modvirke, at nødhjælpsarbejdere bliver målskive i konflikten;</w:t>
      </w:r>
    </w:p>
    <w:p w14:paraId="644990A9" w14:textId="77777777" w:rsidR="00C57513" w:rsidRPr="00DE386F" w:rsidRDefault="00C57513" w:rsidP="00C57513">
      <w:pPr>
        <w:pStyle w:val="NormalHanging12a"/>
      </w:pPr>
      <w:r w:rsidRPr="00DE386F">
        <w:t>18.</w:t>
      </w:r>
      <w:r w:rsidRPr="00DE386F">
        <w:tab/>
        <w:t xml:space="preserve">ser med tilfredshed på de FN-formidlede forhandlinger, som fandt sted i Riyadh i januar 2025, med henblik på udarbejdelse af en køreplan for inklusiv fred i Yemen, og som førte til fremskridt med hensyn til </w:t>
      </w:r>
      <w:proofErr w:type="spellStart"/>
      <w:r w:rsidRPr="00DE386F">
        <w:t>houthiernes</w:t>
      </w:r>
      <w:proofErr w:type="spellEnd"/>
      <w:r w:rsidRPr="00DE386F">
        <w:t xml:space="preserve"> nedrustningsfrister; bemærker, at disse fortsat er betinget af saudiarabisk økonomisk bistand;</w:t>
      </w:r>
    </w:p>
    <w:p w14:paraId="753F92F6" w14:textId="77777777" w:rsidR="00C57513" w:rsidRPr="00DE386F" w:rsidRDefault="00C57513" w:rsidP="00C57513">
      <w:pPr>
        <w:pStyle w:val="NormalHanging12a"/>
      </w:pPr>
      <w:r w:rsidRPr="00DE386F">
        <w:t>19.</w:t>
      </w:r>
      <w:r w:rsidRPr="00DE386F">
        <w:tab/>
        <w:t xml:space="preserve">understreger EU's urokkelige tilsagn om at sikre beskyttelsen af </w:t>
      </w:r>
      <w:proofErr w:type="spellStart"/>
      <w:r w:rsidRPr="00DE386F">
        <w:t>søruter</w:t>
      </w:r>
      <w:proofErr w:type="spellEnd"/>
      <w:r w:rsidRPr="00DE386F">
        <w:t xml:space="preserve"> og internationale navigationsrettigheder i Det Røde Hav; fremhæver Saudi-Arabiens engagement i søfartssikkerhed og opfordrer til et tættere politisk og efterretningsmæssigt samarbejde med EU's flådemission ASPIDES og med EU-medlemsstaterne i bredere forstand;</w:t>
      </w:r>
    </w:p>
    <w:p w14:paraId="22F5D2F7" w14:textId="77777777" w:rsidR="00C57513" w:rsidRPr="00DE386F" w:rsidRDefault="00C57513" w:rsidP="00C57513">
      <w:pPr>
        <w:pStyle w:val="NormalHanging12a"/>
      </w:pPr>
      <w:r w:rsidRPr="00DE386F">
        <w:t>20.</w:t>
      </w:r>
      <w:r w:rsidRPr="00DE386F">
        <w:tab/>
        <w:t>glæder sig over Saudi-Arabiens engagement i at være vært for forhandlingerne om en våbenhvile i Ukraine; opfordrer indtrængende Saudi-Arabien til at samarbejde tættere med sine partnere om at støtte sanktioner mod Den Russiske Føderation og træffe foranstaltninger til at bringe den russiske skyggeflådes aktiviteter til ophør;</w:t>
      </w:r>
    </w:p>
    <w:p w14:paraId="4BAB2146" w14:textId="77777777" w:rsidR="00C57513" w:rsidRPr="00DE386F" w:rsidRDefault="00C57513" w:rsidP="00C57513">
      <w:pPr>
        <w:pStyle w:val="NormalHanging12a"/>
      </w:pPr>
      <w:r w:rsidRPr="00DE386F">
        <w:t>21.</w:t>
      </w:r>
      <w:r w:rsidRPr="00DE386F">
        <w:tab/>
        <w:t>noterer sig Saudi-Arabiens tilsagn om at investere 600 mia. USD i USA, herunder en forsvarsaftale og strategisk samarbejde om nye teknologier;</w:t>
      </w:r>
    </w:p>
    <w:p w14:paraId="7F286892" w14:textId="77777777" w:rsidR="00C57513" w:rsidRPr="00DE386F" w:rsidRDefault="00C57513" w:rsidP="00C57513">
      <w:pPr>
        <w:pStyle w:val="NormalHanging12a"/>
      </w:pPr>
      <w:r w:rsidRPr="00DE386F">
        <w:t>22.</w:t>
      </w:r>
      <w:r w:rsidRPr="00DE386F">
        <w:tab/>
        <w:t xml:space="preserve">anerkender Saudi-Arabiens rolle med hensyn til at fremme multilateralt samarbejde, herunder gennem landets voksende engagement i Afrika, navnlig i Sahel, og i Asien; opfordrer til tættere koordinering mellem EU og Saudi-Arabien om energisamarbejde, tværregional infrastrukturudvikling, kapacitetsopbygning, udvikling af humankapital, finansieringsinstrumenter og investeringsmekanismer på hele det afrikanske kontinent; </w:t>
      </w:r>
      <w:r w:rsidRPr="00DE386F">
        <w:lastRenderedPageBreak/>
        <w:t>understreger, hvor vigtigt det er at integrere projekter under ledelse af Saudi-Arabien i EU's rammer, herunder Global Gateway-initiativet;</w:t>
      </w:r>
    </w:p>
    <w:p w14:paraId="4C40A9B1" w14:textId="77777777" w:rsidR="00C57513" w:rsidRPr="00DE386F" w:rsidRDefault="00C57513" w:rsidP="00C57513">
      <w:pPr>
        <w:pStyle w:val="NormalHanging12a"/>
      </w:pPr>
      <w:r w:rsidRPr="00DE386F">
        <w:t>23.</w:t>
      </w:r>
      <w:r w:rsidRPr="00DE386F">
        <w:tab/>
        <w:t>bemærker, at Saudi-Arabien formelt er blevet opfordret til at blive medlem af gruppen af BRICS-lande; bemærker, at Saudi-Arabiens tilnærmelse til BRICS-landene er udtryk for en bredere tendens i retning af diversificerede alliancer; opfordrer EU til at samarbejde konstruktivt med Saudi-Arabien i multilaterale fora for at beskytte gensidige handels- og investeringsinteresser;</w:t>
      </w:r>
    </w:p>
    <w:p w14:paraId="67BAC07E" w14:textId="77777777" w:rsidR="00C57513" w:rsidRPr="00DE386F" w:rsidRDefault="00C57513" w:rsidP="00C57513">
      <w:pPr>
        <w:pStyle w:val="NormalHanging12a"/>
      </w:pPr>
      <w:r w:rsidRPr="00DE386F">
        <w:t>24.</w:t>
      </w:r>
      <w:r w:rsidRPr="00DE386F">
        <w:tab/>
        <w:t>noterer sig styrkelsen af de bilaterale forbindelser mellem Saudi-Arabien og Tyrkiet, navnlig på sikkerheds- og forsvarsområdet; opfordrer Saudi-Arabien til at bruge disse forbindelser til at overtale Tyrkiet til at bidrage konstruktivt til fredsprocessen i Mellemøsten ved at anerkende Hamas som en terrorbevægelse og indstille sin politiske, økonomiske og logistiske støtte til bevægelsen;</w:t>
      </w:r>
    </w:p>
    <w:p w14:paraId="02778FC6" w14:textId="77777777" w:rsidR="00C57513" w:rsidRPr="00DE386F" w:rsidRDefault="00C57513" w:rsidP="00C57513">
      <w:pPr>
        <w:pStyle w:val="NormalHanging12a"/>
      </w:pPr>
      <w:r w:rsidRPr="00DE386F">
        <w:t>25.</w:t>
      </w:r>
      <w:r w:rsidRPr="00DE386F">
        <w:tab/>
        <w:t>bifalder Saudi-Arabiens resolutte holdning med hensyn til sin klassificering af Det Muslimske Broderskab som en terrorbevægelse og opfordrer EU og dets medlemsstater til at følge trop og anerkende Det Muslimske Broderskab som en terrorbevægelse;</w:t>
      </w:r>
    </w:p>
    <w:p w14:paraId="3FD344EB" w14:textId="77777777" w:rsidR="00C57513" w:rsidRPr="00DE386F" w:rsidRDefault="00C57513" w:rsidP="00C57513">
      <w:pPr>
        <w:pStyle w:val="Normal12a"/>
      </w:pPr>
      <w:r w:rsidRPr="00DE386F">
        <w:rPr>
          <w:b/>
          <w:i/>
        </w:rPr>
        <w:t>Saudi-Arabiens socioøkonomiske omstilling og EU's muligheder</w:t>
      </w:r>
    </w:p>
    <w:p w14:paraId="2707C8BC" w14:textId="77777777" w:rsidR="00C57513" w:rsidRPr="00DE386F" w:rsidRDefault="00C57513" w:rsidP="00C57513">
      <w:pPr>
        <w:pStyle w:val="NormalHanging12a"/>
      </w:pPr>
      <w:r w:rsidRPr="00DE386F">
        <w:t>26.</w:t>
      </w:r>
      <w:r w:rsidRPr="00DE386F">
        <w:tab/>
        <w:t>glæder sig over Saudi-Arabiens ambitiøse Vision 2030-planer, der skitserer meningsfulde socioøkonomiske reformer med henblik på at modernisere landet og dets institutioner og diversificere økonomien;</w:t>
      </w:r>
    </w:p>
    <w:p w14:paraId="70ACAB36" w14:textId="77777777" w:rsidR="00C57513" w:rsidRPr="00DE386F" w:rsidRDefault="00C57513" w:rsidP="00C57513">
      <w:pPr>
        <w:pStyle w:val="NormalHanging12a"/>
      </w:pPr>
      <w:r w:rsidRPr="00DE386F">
        <w:t>27.</w:t>
      </w:r>
      <w:r w:rsidRPr="00DE386F">
        <w:tab/>
        <w:t xml:space="preserve">opfordrer Saudi-Arabien til at omforme sit energilandskab og bevæge sig i retning af vedvarende energi og grøn brint som led i sine Vision 2030-planer; opfordrer Saudi-Arabien til at overholde sine forpligtelser i henhold til </w:t>
      </w:r>
      <w:proofErr w:type="spellStart"/>
      <w:r w:rsidRPr="00DE386F">
        <w:t>Parisaftalen</w:t>
      </w:r>
      <w:proofErr w:type="spellEnd"/>
      <w:r w:rsidRPr="00DE386F">
        <w:t xml:space="preserve"> og i overensstemmelse med FN's ekspertudtalelse; bemærker, at EU er rede til at samarbejde med sine saudiarabiske modparter om projekter, der fremmer begge regioners miljømål; fremhæver Kongeriget Saudi-Arabiens engagement i energiomstillingen og minder om landets tilsagn om senest i 2060 at opnå </w:t>
      </w:r>
      <w:proofErr w:type="spellStart"/>
      <w:r w:rsidRPr="00DE386F">
        <w:t>nettonulemission</w:t>
      </w:r>
      <w:proofErr w:type="spellEnd"/>
      <w:r w:rsidRPr="00DE386F">
        <w:t xml:space="preserve"> og senest i 2030 at producere 50 % af sin elektricitet fra vedvarende energikilder; glæder sig i den forbindelse over Saudi-Arabiens flagskibsprojekt om senest i 2030 at producere 4 mio. ton ren brint årligt;</w:t>
      </w:r>
    </w:p>
    <w:p w14:paraId="2B312B6F" w14:textId="77777777" w:rsidR="00C57513" w:rsidRPr="00DE386F" w:rsidRDefault="00C57513" w:rsidP="00C57513">
      <w:pPr>
        <w:pStyle w:val="NormalHanging12a"/>
      </w:pPr>
      <w:r w:rsidRPr="00DE386F">
        <w:t>28.</w:t>
      </w:r>
      <w:r w:rsidRPr="00DE386F">
        <w:tab/>
        <w:t>fremhæver Saudi-Arabiens voksende rolle som aktør i mineralforsyningskæderne og dets bestræbelser på at tilpasse sig international bedste praksis; understreger, at en udvidelse af samarbejdet mellem EU og Saudi-Arabien på dette område vil være afgørende for yderligere at konsolidere EU's strategi for risikobegrænsning og dets bestræbelser på at diversificere sin råstofforsyning;</w:t>
      </w:r>
    </w:p>
    <w:p w14:paraId="185BFBB2" w14:textId="77777777" w:rsidR="00C57513" w:rsidRPr="00DE386F" w:rsidRDefault="00C57513" w:rsidP="00C57513">
      <w:pPr>
        <w:pStyle w:val="NormalHanging12a"/>
      </w:pPr>
      <w:r w:rsidRPr="00DE386F">
        <w:t>29.</w:t>
      </w:r>
      <w:r w:rsidRPr="00DE386F">
        <w:tab/>
        <w:t>anerkender, at Saudi-Arabien har gjort fremskridt med hensyn til at tackle sin høje ungdomsarbejdsløshed, som landet har nedbragt fra 35,01 % i 2006 til 16 % i 2023; anbefaler, at Saudi-Arabien fortsat prioriterer dette spørgsmål;</w:t>
      </w:r>
    </w:p>
    <w:p w14:paraId="1BD3A240" w14:textId="77777777" w:rsidR="00C57513" w:rsidRPr="00DE386F" w:rsidRDefault="00C57513" w:rsidP="00C57513">
      <w:pPr>
        <w:pStyle w:val="NormalHanging12a"/>
      </w:pPr>
      <w:r w:rsidRPr="00DE386F">
        <w:t>30.</w:t>
      </w:r>
      <w:r w:rsidRPr="00DE386F">
        <w:tab/>
        <w:t xml:space="preserve">glæder sig over de saudiarabiske myndigheders tilgang med at indføre mere tolerance og bevæge sig væk fra restriktive religiøse politikker; bemærker den direkte forbindelse mellem tolerance og bæredygtig økonomisk vækst og understreger, at åbenhed og inklusion skaber grobund for innovation, investeringer og sociale fremskridt; påskønner Saudi-Arabiens positive reformer af sine læseplaner, herunder navnlig </w:t>
      </w:r>
      <w:r w:rsidRPr="00DE386F">
        <w:lastRenderedPageBreak/>
        <w:t>fjernelsen af diskriminerende religiøst indhold, og tilskynder til yderligere fremskridt i denne sammenhæng; opfordrer Saudi-Arabien til at fortsætte disse reformer;</w:t>
      </w:r>
    </w:p>
    <w:p w14:paraId="210428C6" w14:textId="77777777" w:rsidR="00C57513" w:rsidRPr="00DE386F" w:rsidRDefault="00C57513" w:rsidP="00C57513">
      <w:pPr>
        <w:pStyle w:val="NormalHanging12a"/>
      </w:pPr>
      <w:r w:rsidRPr="00DE386F">
        <w:t>31.</w:t>
      </w:r>
      <w:r w:rsidRPr="00DE386F">
        <w:tab/>
        <w:t>fremhæver de betydelige fremskridt, som Saudi-Arabien har gjort med hensyn til kvinders deltagelse i arbejdsstyrken, som er steget til 36 %, og kvinders ret til at føre motorkøretøjer og rejse uden en mandlig værge; fremhæver, at kvinders arbejdsmarkedsdeltagelse i Saudi-Arabien er mere end fordoblet siden 2017; bemærker, at saudiarabiske kvinder nu ejer 45 % af landets små og mellemstore virksomheder og 17 % af samtlige virksomheder i landet; mener, at denne udvikling afspejler virkningen af de lovreformer, der er blevet gennemført siden 2018, herunder ophævelsen af kvinders køreforbud</w:t>
      </w:r>
      <w:r w:rsidRPr="00DE386F">
        <w:rPr>
          <w:rStyle w:val="FootnoteReference"/>
        </w:rPr>
        <w:footnoteReference w:customMarkFollows="1" w:id="6"/>
        <w:t>6</w:t>
      </w:r>
      <w:r w:rsidRPr="00DE386F">
        <w:t xml:space="preserve">, vedtagelsen af en lov til bekæmpelse af chikane og nye personalstatutbestemmelser, som indebar, at minimumsalderen for ægteskabsindgåelse blev hævet til 18 år, og en styrkelse af kvinders selvbestemmelsesret; fremhæver disse resultater og tilskynder til videreførelse af reformer, der har til formål yderligere at fremme kvinders rettigheder og deltagelse i det offentlige liv, hvor kvinder i øjeblikket tegner sig for 41 % af alle statsansatte – heriblandt højtstående diplomatiske poster – 20 % af medlemmerne af </w:t>
      </w:r>
      <w:proofErr w:type="spellStart"/>
      <w:r w:rsidRPr="00DE386F">
        <w:t>Shura</w:t>
      </w:r>
      <w:proofErr w:type="spellEnd"/>
      <w:r w:rsidRPr="00DE386F">
        <w:t>-Rådet, og den første arabiske muslimske kvinde, der har været i rummet; bemærker, at der på trods af fremskridtene stadig er udfordringer, herunder med hensyn til loven om personlig status og ulighed mellem mænd og kvinder i ægteskaber, skilsmisser samt spørgsmål om forældremyndighed, arv og ejendomsrettigheder;</w:t>
      </w:r>
    </w:p>
    <w:p w14:paraId="379CFE42" w14:textId="77777777" w:rsidR="00C57513" w:rsidRPr="00DE386F" w:rsidRDefault="00C57513" w:rsidP="00C57513">
      <w:pPr>
        <w:pStyle w:val="NormalHanging12a"/>
      </w:pPr>
      <w:r w:rsidRPr="00DE386F">
        <w:t>32.</w:t>
      </w:r>
      <w:r w:rsidRPr="00DE386F">
        <w:tab/>
        <w:t xml:space="preserve">bemærker, at Saudi-Arabien har iværksat en række ambitiøse infrastrukturprojekter forud for sit værtskab for EXPO 2030 og verdensmesterskabet i fodbold i 2034; forlader sig på den saudiarabiske regerings evne til at sikre arbejdstagerne retten til foreningsfrihed og understreger, at der fortsat er bekymringer med hensyn til arbejdstageres vilkår og rettigheder og med hensyn til den høje dødelighed blandt migranter ved arbejdsulykker i Saudi-Arabien; anerkender de reformer, der blev indført under Saudi-Arabiens arbejdsmarkedsreforminitiativ, men tilskynder samtidig Saudi-Arabien til at sikre, at afviklingen af </w:t>
      </w:r>
      <w:proofErr w:type="spellStart"/>
      <w:r w:rsidRPr="00DE386F">
        <w:t>kafala</w:t>
      </w:r>
      <w:proofErr w:type="spellEnd"/>
      <w:r w:rsidRPr="00DE386F">
        <w:t>-sponsorsystemet gennemføres fuldt ud i 2025, og til at sikre arbejdstagernes ret til at strejke og deltage i kollektive overenskomstforhandlinger; forventer, at Saudi-Arabien griber den mulighed, som verdensmesterskabet i fodbold i 2034 giver, og at landet indtil da fortsætter gennemførelsen af reformer; opfordrer indtrængende Saudi-Arabien til at overholde EU-lovgivningen om due diligence og tilsyn med rekrutteringsfirmaer for at sikre, at de afholder alle omkostninger og gebyrer i forbindelse med rekruttering af arbejdstagere, og til at træffe foranstaltninger for tilbagebetaling af ulovlige rekrutteringsgebyrer, som arbejdstagere har betalt;</w:t>
      </w:r>
    </w:p>
    <w:p w14:paraId="1CD30B03" w14:textId="77777777" w:rsidR="00C57513" w:rsidRPr="00DE386F" w:rsidRDefault="00C57513" w:rsidP="00C57513">
      <w:pPr>
        <w:pStyle w:val="NormalHanging12a"/>
      </w:pPr>
      <w:r w:rsidRPr="00DE386F">
        <w:t>33.</w:t>
      </w:r>
      <w:r w:rsidRPr="00DE386F">
        <w:tab/>
        <w:t xml:space="preserve">anerkender de muligheder, som samarbejdet mellem EU og Saudi-Arabien giver, og deres overlappende interesser inden for det strategiske partnerskab mellem EU og GCC og gennem EU's Global Gateway-initiativ om den økonomiske korridor mellem Indien, Mellemøsten og Europa (IMEC), som forventes at føre til investeringer i elkabler, undersøiske telekommunikations- og datakabler samt rørledninger til grøn brint; undersøger dets potentiale til at binde EU bedre sammen gennem multimodale transportforbindelser; noterer sig USA's deltagelse; opfordrer indtrængende til afhjælpning af </w:t>
      </w:r>
      <w:proofErr w:type="spellStart"/>
      <w:r w:rsidRPr="00DE386F">
        <w:t>IMEC's</w:t>
      </w:r>
      <w:proofErr w:type="spellEnd"/>
      <w:r w:rsidRPr="00DE386F">
        <w:t xml:space="preserve"> finansieringsunderskud gennem investeringer fra EU, USA og Golfstaterne og til fremme af udviklingen af bæredygtig infrastruktur; fremhæver </w:t>
      </w:r>
      <w:proofErr w:type="spellStart"/>
      <w:r w:rsidRPr="00DE386F">
        <w:lastRenderedPageBreak/>
        <w:t>IMEC's</w:t>
      </w:r>
      <w:proofErr w:type="spellEnd"/>
      <w:r w:rsidRPr="00DE386F">
        <w:t xml:space="preserve"> strategiske betydning som en forandringsskabende drivkraft for regional </w:t>
      </w:r>
      <w:proofErr w:type="spellStart"/>
      <w:r w:rsidRPr="00DE386F">
        <w:t>konnektivitet</w:t>
      </w:r>
      <w:proofErr w:type="spellEnd"/>
      <w:r w:rsidRPr="00DE386F">
        <w:t xml:space="preserve">, økonomisk integration og geopolitisk samarbejde; bemærker potentialet for at udvide samarbejdet om strategisk digital infrastruktur, herunder diversificerede og sikre dataruter, der forbinder Golfstaterne med Europa med det fælles mål om at styrke Europas digitale modstandsdygtighed, datasikkerhed og </w:t>
      </w:r>
      <w:proofErr w:type="spellStart"/>
      <w:r w:rsidRPr="00DE386F">
        <w:t>konnektivitet</w:t>
      </w:r>
      <w:proofErr w:type="spellEnd"/>
      <w:r w:rsidRPr="00DE386F">
        <w:t xml:space="preserve"> med Asien og Afrika; anerkender de igangværende bestræbelser fra Det Europæiske Handelskammer i Kongeriget Saudi-Arabien (ECCKSA) på at fremme samarbejdet mellem europæiske virksomheder og Saudi-Arabien om transport- og logistikinfrastruktur i overensstemmelse med EU's due diligence-lovgivning;</w:t>
      </w:r>
    </w:p>
    <w:p w14:paraId="675A2E2E" w14:textId="77777777" w:rsidR="00C57513" w:rsidRPr="00DE386F" w:rsidRDefault="00C57513" w:rsidP="00C57513">
      <w:pPr>
        <w:pStyle w:val="Normal12a"/>
      </w:pPr>
      <w:r w:rsidRPr="00DE386F">
        <w:rPr>
          <w:b/>
          <w:i/>
        </w:rPr>
        <w:t xml:space="preserve">Menneskerettigheder </w:t>
      </w:r>
    </w:p>
    <w:p w14:paraId="09AA8E7B" w14:textId="77777777" w:rsidR="00C57513" w:rsidRPr="00DE386F" w:rsidRDefault="00C57513" w:rsidP="00C57513">
      <w:pPr>
        <w:pStyle w:val="NormalHanging12a"/>
      </w:pPr>
      <w:r w:rsidRPr="00DE386F">
        <w:t>34.</w:t>
      </w:r>
      <w:r w:rsidRPr="00DE386F">
        <w:tab/>
        <w:t xml:space="preserve">opfordrer til et tættere samarbejde mellem EU og Saudi-Arabien om menneskerettigheder; glæder sig over menneskerettighedsdialogerne mellem EU og Kongeriget Saudi-Arabien under ledelse af Saudi-Arabiens menneskerettighedskommission og EU's særlige repræsentant for menneskerettigheder, hvoraf den fjerde menneskerettighedsdialog blev afholdt i Riyadh i december 2024; bemærker, at drøftelserne omhandlede en lang række menneskerettighedsproblemer, herunder kvinders og sårbare gruppers rettigheder, retsstatsprincippet, retten til en retfærdig rettergang, dødsstraf, ytrings-, forsamlings- og foreningsfrihed, menneskehandel, økonomiske, sociale og kulturelle rettigheder, samt det bilaterale samarbejde og aktiviteter mellem EU og Kongeriget Saudi-Arabien i multilaterale menneskerettighedsfora; understreger, at menneskerettighedsdialoger udgør en særdeles vigtig platform for udveksling af synspunkter om internationale menneskerettigheder og styrkelse af det multilaterale samarbejde og fremhæver, at denne dialog, i lighed med alle andre menneskerettighedsdialoger, som EU fører, bør sigte mod at opnå konkrete, målbare og tidsbestemte fremskridt på menneskerettighedsområdet, herunder menneskerettighedsreformer, ophør af politikker, som krænker menneskerettighederne, sikring af ansvarsdragelse for begåede overgreb og løsladelse af uretmæssigt fængslede personer; opfordrer til oprettelsen af en struktureret EU-overvågningsmekanisme med klare </w:t>
      </w:r>
      <w:proofErr w:type="spellStart"/>
      <w:r w:rsidRPr="00DE386F">
        <w:t>benchmarks</w:t>
      </w:r>
      <w:proofErr w:type="spellEnd"/>
      <w:r w:rsidRPr="00DE386F">
        <w:t xml:space="preserve"> og tidsfrister, herunder opfølgende foranstaltninger for at tilskynde til yderligere fremskridt med menneskerettighedsreformer; opfordrer indtrængende EU og dets medlemsstater til at nå til enighed om menneskerettighedsbetingelser sammen med Saudi-Arabien under forhandlingerne om en bilateral partnerskabsaftale med Saudi-Arabien, herunder, men ikke begrænset til Saudi-Arabiens ratificering af centrale konventioner om menneskerettigheder og arbejdstagerrettigheder samt løsladelse af uretmæssigt fængslede personer;</w:t>
      </w:r>
    </w:p>
    <w:p w14:paraId="6F28AA25" w14:textId="77777777" w:rsidR="00C57513" w:rsidRPr="00DE386F" w:rsidRDefault="00C57513" w:rsidP="00C57513">
      <w:pPr>
        <w:pStyle w:val="NormalHanging12a"/>
      </w:pPr>
      <w:r w:rsidRPr="00DE386F">
        <w:t>35.</w:t>
      </w:r>
      <w:r w:rsidRPr="00DE386F">
        <w:tab/>
        <w:t xml:space="preserve">anerkender de sociale reformer, som Saudi-Arabien har gennemført, som f.eks. den nye lov om civile transaktioner, fremskridtene med hensyn til styrkelse af kvinders indflydelse og status, arbejdet med at udarbejde en straffelov, reformen af </w:t>
      </w:r>
      <w:proofErr w:type="spellStart"/>
      <w:r w:rsidRPr="00DE386F">
        <w:t>Kafala</w:t>
      </w:r>
      <w:proofErr w:type="spellEnd"/>
      <w:r w:rsidRPr="00DE386F">
        <w:t>-sponsorsystemet for migrantarbejdere og indførelsen af ny arbejdsmarkedslovgivning; bemærker dog, at Saudi-Arabiens retsvæsen står over for udfordringer som følge af manglen på en kodificeret strafferet og dets afhængighed af en bredt defineret lovgivning med hensyn til at sikre, at visse rettigheder ikke kriminaliseres;</w:t>
      </w:r>
    </w:p>
    <w:p w14:paraId="061446C1" w14:textId="77777777" w:rsidR="00C57513" w:rsidRPr="00DE386F" w:rsidRDefault="00C57513" w:rsidP="00C57513">
      <w:pPr>
        <w:pStyle w:val="NormalHanging12a"/>
      </w:pPr>
      <w:r w:rsidRPr="00DE386F">
        <w:t>36.</w:t>
      </w:r>
      <w:r w:rsidRPr="00DE386F">
        <w:tab/>
        <w:t xml:space="preserve">anerkender civilsamfundets stigende deltagelse i Saudi-Arabien med over 5 400 registrerede foreninger og organisationer og opfordrer til yderligere foranstaltninger til at støtte og fastholde denne positive tendens; udtrykker sin bekymring over stigningen i anholdelser af aktivister, forkæmpere for civilsamfundet, intellektuelle og menneskerettighedsforkæmpere, der udøver deres ret til ytringsfrihed, både online og </w:t>
      </w:r>
      <w:r w:rsidRPr="00DE386F">
        <w:lastRenderedPageBreak/>
        <w:t xml:space="preserve">offline, i overensstemmelse med den internationale menneskerettighedslovgivning; opfordrer Saudi-Arabien til at revidere sin definition af terrorisme i overensstemmelse med internationale standarder; opfordrer til øjeblikkelig løsladelse af personer, der tilbageholdes for at have udøvet deres rettigheder fredeligt, navnlig fremtrædende aktivister, menneskerettighedsforkæmpere, fredelige kritikere, akademikere og gejstlige, og opfordrer til, at rejseforbuddet ophæves for dem, der er blevet løsladt; minder om, at Parlamentet i 2015 tildelte sin </w:t>
      </w:r>
      <w:proofErr w:type="spellStart"/>
      <w:r w:rsidRPr="00DE386F">
        <w:t>Sakharovpris</w:t>
      </w:r>
      <w:proofErr w:type="spellEnd"/>
      <w:r w:rsidRPr="00DE386F">
        <w:t xml:space="preserve"> til den saudiarabiske blogger Raif </w:t>
      </w:r>
      <w:proofErr w:type="spellStart"/>
      <w:r w:rsidRPr="00DE386F">
        <w:t>Badawi</w:t>
      </w:r>
      <w:proofErr w:type="spellEnd"/>
      <w:r w:rsidRPr="00DE386F">
        <w:t>; opfordrer indtrængende Saudi-Arabien til at øge adgangen og besøgene til landet for en bredere vifte af menneskerettighedsorganisationer;</w:t>
      </w:r>
    </w:p>
    <w:p w14:paraId="52EB1096" w14:textId="77777777" w:rsidR="00C57513" w:rsidRPr="00DE386F" w:rsidRDefault="00C57513" w:rsidP="00C57513">
      <w:pPr>
        <w:pStyle w:val="NormalHanging12a"/>
      </w:pPr>
      <w:r w:rsidRPr="00DE386F">
        <w:t>37.</w:t>
      </w:r>
      <w:r w:rsidRPr="00DE386F">
        <w:tab/>
        <w:t>anerkender Saudi-Arabiens menneskerettighedsstrategi for verdensmesterskabet i fodbold i 2034; bekræfter på ny, at EU er rede til at støtte Saudi-Arabiens igangværende menneskerettighedsreformer, arbejdsmarkedsreformer og juridiske reformer; opfordrer til et styrket samarbejde med FN og Den Internationale Arbejdsorganisation om migrantarbejdernes rettigheder med henblik på at gennemføre yderligere omfattende og inkluderende arbejdsmarkedsreformer i overensstemmelse med internationale standarder, navnlig forud for EXPO 2030 og verdensmesterskabet i fodbold i 2034, for at sikre, at alle dødsfald og ulykkestilfælde blandt migrantarbejderne – uanset formodet årsag, tidspunkt og sted – underkastes behørig politiudredning, og at de efterladte modtager en retfærdig og rettidig kompensation herfor,</w:t>
      </w:r>
    </w:p>
    <w:p w14:paraId="1EE8265B" w14:textId="77777777" w:rsidR="00C57513" w:rsidRPr="00DE386F" w:rsidRDefault="00C57513" w:rsidP="00C57513">
      <w:pPr>
        <w:pStyle w:val="NormalHanging12a"/>
      </w:pPr>
      <w:r w:rsidRPr="00DE386F">
        <w:t>38.</w:t>
      </w:r>
      <w:r w:rsidRPr="00DE386F">
        <w:tab/>
        <w:t xml:space="preserve">bekræfter på ny EU's tilsagn om at arbejde for afskaffelse af dødsstraf og bekræfter på ny EU's principielle tilsagn om at samarbejde med Saudi-Arabien med henblik herpå; udtrykker sin bekymring over den eskalerende brug af henrettelser i Saudi-Arabien, som i 2024 nåede op på over 345, hvilket er et hidtil uset antal; opfordrer Saudi-Arabien til at indføre et moratorium for henrettelser; fordømmer den vedvarende brug af dødsstraf for </w:t>
      </w:r>
      <w:proofErr w:type="spellStart"/>
      <w:r w:rsidRPr="00DE386F">
        <w:t>ikkedødbringende</w:t>
      </w:r>
      <w:proofErr w:type="spellEnd"/>
      <w:r w:rsidRPr="00DE386F">
        <w:t xml:space="preserve"> lovovertrædelser, navnlig narkotikarelaterede forbrydelser – hvilket udgør en krænkelse af den internationale menneskerettighedslovgivning, som begrænser anvendelsen af dødsstraf til kun at omfatte de "mest alvorlige forbrydelser" – og det forhold, at over halvdelen af alle henrettelser i 2025 har været af udenlandske statsborgere, ofte efter retssager, der ikke opfyldte de internationale standarder for en retfærdig rettergang; opfordrer til afkriminalisering af seksuelt samkvem mellem personer af samme køn;</w:t>
      </w:r>
    </w:p>
    <w:p w14:paraId="4B143F0F" w14:textId="77777777" w:rsidR="00C57513" w:rsidRPr="00DE386F" w:rsidRDefault="00C57513" w:rsidP="00C57513">
      <w:pPr>
        <w:pStyle w:val="NormalHanging12a"/>
      </w:pPr>
      <w:r w:rsidRPr="00DE386F">
        <w:t>39.</w:t>
      </w:r>
      <w:r w:rsidRPr="00DE386F">
        <w:tab/>
        <w:t>beklager den fortsatte frihedsberøvelse af personer, der er dømt til døden for forbrydelser, de begik som barn, og opfordrer de saudiarabiske myndigheder til at omstøde disse dødsdomme i overensstemmelse med Saudi-Arabiens forpligtelser i henhold til folkeretten og dets kongelige dekret fra april; opfordrer Saudi-Arabien til øjeblikkeligt og betingelsesløst at løslade alle personer, der tilbageholdes for fredeligt at udøve deres menneskerettigheder;</w:t>
      </w:r>
    </w:p>
    <w:p w14:paraId="62C3FFA9" w14:textId="77777777" w:rsidR="00C57513" w:rsidRPr="00DE386F" w:rsidRDefault="00C57513" w:rsidP="00C57513">
      <w:pPr>
        <w:pStyle w:val="NormalHanging12a"/>
      </w:pPr>
      <w:r w:rsidRPr="00DE386F">
        <w:t>40.</w:t>
      </w:r>
      <w:r w:rsidRPr="00DE386F">
        <w:tab/>
        <w:t>opfordrer Saudi-Arabien til at ratificere alle centrale internationale konventioner om menneskerettigheder og arbejdstagerrettigheder; opfordrer Saudi-Arabien til at sikre, at al gældende og ny lovgivning, herunder straffeloven, overholder internationale menneskerettighedsstandarder, og understreger, hvor vigtigt det i denne sammenhæng er at samarbejde tæt med FN og uafhængige civilsamfundsorganisationer;</w:t>
      </w:r>
    </w:p>
    <w:p w14:paraId="1433CEBD" w14:textId="77777777" w:rsidR="00C57513" w:rsidRPr="00DE386F" w:rsidRDefault="00C57513" w:rsidP="00C57513">
      <w:pPr>
        <w:pStyle w:val="NormalCenter12a"/>
      </w:pPr>
      <w:r w:rsidRPr="00DE386F">
        <w:t>°</w:t>
      </w:r>
    </w:p>
    <w:p w14:paraId="228EE20F" w14:textId="77777777" w:rsidR="00C57513" w:rsidRPr="00DE386F" w:rsidRDefault="00C57513" w:rsidP="00C57513">
      <w:pPr>
        <w:pStyle w:val="NormalCenter12a"/>
      </w:pPr>
      <w:r w:rsidRPr="00DE386F">
        <w:t>°</w:t>
      </w:r>
      <w:r w:rsidRPr="00DE386F">
        <w:tab/>
        <w:t>°</w:t>
      </w:r>
    </w:p>
    <w:p w14:paraId="339A0215" w14:textId="01FB5269" w:rsidR="00E365E1" w:rsidRPr="00DE386F" w:rsidRDefault="00C57513" w:rsidP="00351F87">
      <w:pPr>
        <w:pStyle w:val="NormalHanging12a"/>
      </w:pPr>
      <w:r w:rsidRPr="00DE386F">
        <w:lastRenderedPageBreak/>
        <w:t>41.</w:t>
      </w:r>
      <w:r w:rsidRPr="00DE386F">
        <w:tab/>
        <w:t xml:space="preserve">pålægger sin formand at sende denne beslutning til Rådet, Kommissionen, næstformanden for Kommissionen/Unionens højtstående repræsentant for udenrigsanliggender og sikkerhedspolitik, H.M. kong Salman bin Abdulaziz al-Saud, kronprins Mohammad bin Salman al-Saud, Kongeriget Saudi-Arabiens regering og </w:t>
      </w:r>
      <w:proofErr w:type="spellStart"/>
      <w:r w:rsidRPr="00DE386F">
        <w:t>Shura</w:t>
      </w:r>
      <w:proofErr w:type="spellEnd"/>
      <w:r w:rsidRPr="00DE386F">
        <w:t>-Rådet; opfordrer til, at denne beslutning oversættes til arabisk.</w:t>
      </w:r>
    </w:p>
    <w:sectPr w:rsidR="00E365E1" w:rsidRPr="00DE386F" w:rsidSect="00DE386F">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ABD18" w14:textId="77777777" w:rsidR="00B76316" w:rsidRPr="00DE386F" w:rsidRDefault="00B76316">
      <w:r w:rsidRPr="00DE386F">
        <w:separator/>
      </w:r>
    </w:p>
  </w:endnote>
  <w:endnote w:type="continuationSeparator" w:id="0">
    <w:p w14:paraId="60D1361F" w14:textId="77777777" w:rsidR="00B76316" w:rsidRPr="00DE386F" w:rsidRDefault="00B76316">
      <w:r w:rsidRPr="00DE38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3A8AE" w14:textId="77777777" w:rsidR="00064002" w:rsidRPr="00DE386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D59A0" w14:textId="77777777" w:rsidR="00064002" w:rsidRPr="00DE386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2687" w14:textId="77777777" w:rsidR="00064002" w:rsidRPr="00DE38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6044D" w14:textId="77777777" w:rsidR="00B76316" w:rsidRPr="00DE386F" w:rsidRDefault="00B76316">
      <w:r w:rsidRPr="00DE386F">
        <w:separator/>
      </w:r>
    </w:p>
  </w:footnote>
  <w:footnote w:type="continuationSeparator" w:id="0">
    <w:p w14:paraId="499A0ECF" w14:textId="77777777" w:rsidR="00B76316" w:rsidRPr="00DE386F" w:rsidRDefault="00B76316">
      <w:r w:rsidRPr="00DE386F">
        <w:continuationSeparator/>
      </w:r>
    </w:p>
  </w:footnote>
  <w:footnote w:id="1">
    <w:p w14:paraId="3858A04E" w14:textId="4D98FAC0" w:rsidR="00C57513" w:rsidRPr="00DE386F" w:rsidRDefault="00C57513" w:rsidP="00DE386F">
      <w:pPr>
        <w:pStyle w:val="FootnoteText"/>
        <w:ind w:left="567" w:hanging="567"/>
        <w:rPr>
          <w:sz w:val="24"/>
          <w:lang w:val="da-DK"/>
        </w:rPr>
      </w:pPr>
      <w:r w:rsidRPr="00DE386F">
        <w:rPr>
          <w:sz w:val="24"/>
          <w:vertAlign w:val="superscript"/>
          <w:lang w:val="da-DK"/>
        </w:rPr>
        <w:t>1</w:t>
      </w:r>
      <w:r w:rsidR="00DE386F" w:rsidRPr="00DE386F">
        <w:rPr>
          <w:sz w:val="24"/>
          <w:vertAlign w:val="superscript"/>
          <w:lang w:val="da-DK"/>
        </w:rPr>
        <w:t xml:space="preserve"> </w:t>
      </w:r>
      <w:r w:rsidR="00DE386F" w:rsidRPr="00DE386F">
        <w:rPr>
          <w:sz w:val="24"/>
          <w:vertAlign w:val="superscript"/>
          <w:lang w:val="da-DK"/>
        </w:rPr>
        <w:tab/>
      </w:r>
      <w:r w:rsidRPr="00DE386F">
        <w:rPr>
          <w:sz w:val="24"/>
          <w:lang w:val="da-DK"/>
        </w:rPr>
        <w:t>EUT C 345 af 16.10.2020, s. 67.</w:t>
      </w:r>
    </w:p>
  </w:footnote>
  <w:footnote w:id="2">
    <w:p w14:paraId="3B0A926C" w14:textId="0B119974" w:rsidR="00C57513" w:rsidRPr="00DE386F" w:rsidRDefault="00C57513" w:rsidP="00DE386F">
      <w:pPr>
        <w:pStyle w:val="FootnoteText"/>
        <w:ind w:left="567" w:hanging="567"/>
        <w:rPr>
          <w:sz w:val="24"/>
          <w:lang w:val="da-DK"/>
        </w:rPr>
      </w:pPr>
      <w:r w:rsidRPr="00DE386F">
        <w:rPr>
          <w:sz w:val="24"/>
          <w:vertAlign w:val="superscript"/>
          <w:lang w:val="da-DK"/>
        </w:rPr>
        <w:t>2</w:t>
      </w:r>
      <w:r w:rsidR="00DE386F" w:rsidRPr="00DE386F">
        <w:rPr>
          <w:sz w:val="24"/>
          <w:vertAlign w:val="superscript"/>
          <w:lang w:val="da-DK"/>
        </w:rPr>
        <w:t xml:space="preserve"> </w:t>
      </w:r>
      <w:r w:rsidR="00DE386F" w:rsidRPr="00DE386F">
        <w:rPr>
          <w:sz w:val="24"/>
          <w:vertAlign w:val="superscript"/>
          <w:lang w:val="da-DK"/>
        </w:rPr>
        <w:tab/>
      </w:r>
      <w:r w:rsidRPr="00DE386F">
        <w:rPr>
          <w:sz w:val="24"/>
          <w:lang w:val="da-DK"/>
        </w:rPr>
        <w:t>EUT C 465 af 17.11.2021, s. 126.</w:t>
      </w:r>
    </w:p>
  </w:footnote>
  <w:footnote w:id="3">
    <w:p w14:paraId="1FA01B05" w14:textId="419D3095" w:rsidR="00C57513" w:rsidRPr="00DE386F" w:rsidRDefault="00C57513" w:rsidP="00DE386F">
      <w:pPr>
        <w:pStyle w:val="FootnoteText"/>
        <w:ind w:left="567" w:hanging="567"/>
        <w:rPr>
          <w:sz w:val="24"/>
          <w:lang w:val="da-DK"/>
        </w:rPr>
      </w:pPr>
      <w:r w:rsidRPr="00DE386F">
        <w:rPr>
          <w:sz w:val="24"/>
          <w:vertAlign w:val="superscript"/>
          <w:lang w:val="da-DK"/>
        </w:rPr>
        <w:t>3</w:t>
      </w:r>
      <w:r w:rsidR="00DE386F" w:rsidRPr="00DE386F">
        <w:rPr>
          <w:sz w:val="24"/>
          <w:vertAlign w:val="superscript"/>
          <w:lang w:val="da-DK"/>
        </w:rPr>
        <w:t xml:space="preserve"> </w:t>
      </w:r>
      <w:r w:rsidR="00DE386F" w:rsidRPr="00DE386F">
        <w:rPr>
          <w:sz w:val="24"/>
          <w:vertAlign w:val="superscript"/>
          <w:lang w:val="da-DK"/>
        </w:rPr>
        <w:tab/>
      </w:r>
      <w:r w:rsidRPr="00DE386F">
        <w:rPr>
          <w:sz w:val="24"/>
          <w:lang w:val="da-DK"/>
        </w:rPr>
        <w:t>EUT C 99 af 1.3.2022, s. 185.</w:t>
      </w:r>
    </w:p>
  </w:footnote>
  <w:footnote w:id="4">
    <w:p w14:paraId="5C3943DD" w14:textId="796FFFFE" w:rsidR="00C57513" w:rsidRPr="00DE386F" w:rsidRDefault="00C57513" w:rsidP="00DE386F">
      <w:pPr>
        <w:pStyle w:val="FootnoteText"/>
        <w:ind w:left="567" w:hanging="567"/>
        <w:rPr>
          <w:sz w:val="24"/>
          <w:lang w:val="da-DK"/>
        </w:rPr>
      </w:pPr>
      <w:r w:rsidRPr="00DE386F">
        <w:rPr>
          <w:sz w:val="24"/>
          <w:vertAlign w:val="superscript"/>
          <w:lang w:val="da-DK"/>
        </w:rPr>
        <w:t>4</w:t>
      </w:r>
      <w:r w:rsidR="00DE386F" w:rsidRPr="00DE386F">
        <w:rPr>
          <w:sz w:val="24"/>
          <w:vertAlign w:val="superscript"/>
          <w:lang w:val="da-DK"/>
        </w:rPr>
        <w:t xml:space="preserve"> </w:t>
      </w:r>
      <w:r w:rsidR="00DE386F" w:rsidRPr="00DE386F">
        <w:rPr>
          <w:sz w:val="24"/>
          <w:vertAlign w:val="superscript"/>
          <w:lang w:val="da-DK"/>
        </w:rPr>
        <w:tab/>
      </w:r>
      <w:r w:rsidRPr="00DE386F">
        <w:rPr>
          <w:sz w:val="24"/>
          <w:lang w:val="da-DK"/>
        </w:rPr>
        <w:t xml:space="preserve">Kommissionens gennemførelsesafgørelse af 22. april 2024 om fastsættelse af tilpassede regler for udstedelse af visa til flere indrejser til saudiarabiske statsborgere, der er bosiddende i Saudi-Arabien, og om ansøgning i Saudi-Arabien om visum til kortvarigt ophold og om ophævelse af Kommissionens gennemførelsesafgørelse </w:t>
      </w:r>
      <w:proofErr w:type="gramStart"/>
      <w:r w:rsidRPr="00DE386F">
        <w:rPr>
          <w:sz w:val="24"/>
          <w:lang w:val="da-DK"/>
        </w:rPr>
        <w:t>C(</w:t>
      </w:r>
      <w:proofErr w:type="gramEnd"/>
      <w:r w:rsidRPr="00DE386F">
        <w:rPr>
          <w:sz w:val="24"/>
          <w:lang w:val="da-DK"/>
        </w:rPr>
        <w:t>2022)8007 (C(2024)2689).</w:t>
      </w:r>
    </w:p>
  </w:footnote>
  <w:footnote w:id="5">
    <w:p w14:paraId="1BED6634" w14:textId="3437226C" w:rsidR="00C57513" w:rsidRPr="00DE386F" w:rsidRDefault="00C57513" w:rsidP="00DE386F">
      <w:pPr>
        <w:pStyle w:val="FootnoteText"/>
        <w:ind w:left="567" w:hanging="567"/>
        <w:rPr>
          <w:sz w:val="24"/>
          <w:lang w:val="da-DK"/>
        </w:rPr>
      </w:pPr>
      <w:r w:rsidRPr="00DE386F">
        <w:rPr>
          <w:sz w:val="24"/>
          <w:vertAlign w:val="superscript"/>
          <w:lang w:val="da-DK"/>
        </w:rPr>
        <w:t>5</w:t>
      </w:r>
      <w:r w:rsidR="00DE386F" w:rsidRPr="00DE386F">
        <w:rPr>
          <w:sz w:val="24"/>
          <w:vertAlign w:val="superscript"/>
          <w:lang w:val="da-DK"/>
        </w:rPr>
        <w:t xml:space="preserve"> </w:t>
      </w:r>
      <w:r w:rsidR="00DE386F" w:rsidRPr="00DE386F">
        <w:rPr>
          <w:sz w:val="24"/>
          <w:vertAlign w:val="superscript"/>
          <w:lang w:val="da-DK"/>
        </w:rPr>
        <w:tab/>
      </w:r>
      <w:r w:rsidRPr="00DE386F">
        <w:rPr>
          <w:sz w:val="24"/>
          <w:lang w:val="da-DK"/>
        </w:rPr>
        <w:t>Vedtagne tekster, P10_</w:t>
      </w:r>
      <w:proofErr w:type="gramStart"/>
      <w:r w:rsidRPr="00DE386F">
        <w:rPr>
          <w:sz w:val="24"/>
          <w:lang w:val="da-DK"/>
        </w:rPr>
        <w:t>TA(</w:t>
      </w:r>
      <w:proofErr w:type="gramEnd"/>
      <w:r w:rsidRPr="00DE386F">
        <w:rPr>
          <w:sz w:val="24"/>
          <w:lang w:val="da-DK"/>
        </w:rPr>
        <w:t>2025)0199.</w:t>
      </w:r>
    </w:p>
  </w:footnote>
  <w:footnote w:id="6">
    <w:p w14:paraId="7D76A876" w14:textId="537E36C8" w:rsidR="00C57513" w:rsidRPr="00DE386F" w:rsidRDefault="00C57513" w:rsidP="00DE386F">
      <w:pPr>
        <w:pStyle w:val="FootnoteText"/>
        <w:ind w:left="567" w:hanging="567"/>
        <w:rPr>
          <w:sz w:val="24"/>
          <w:lang w:val="da-DK"/>
        </w:rPr>
      </w:pPr>
      <w:r w:rsidRPr="00DE386F">
        <w:rPr>
          <w:sz w:val="24"/>
          <w:vertAlign w:val="superscript"/>
          <w:lang w:val="da-DK"/>
        </w:rPr>
        <w:t>6</w:t>
      </w:r>
      <w:r w:rsidR="00DE386F" w:rsidRPr="00DE386F">
        <w:rPr>
          <w:sz w:val="24"/>
          <w:vertAlign w:val="superscript"/>
          <w:lang w:val="da-DK"/>
        </w:rPr>
        <w:t xml:space="preserve"> </w:t>
      </w:r>
      <w:r w:rsidR="00DE386F" w:rsidRPr="00DE386F">
        <w:rPr>
          <w:sz w:val="24"/>
          <w:vertAlign w:val="superscript"/>
          <w:lang w:val="da-DK"/>
        </w:rPr>
        <w:tab/>
      </w:r>
      <w:r w:rsidRPr="00DE386F">
        <w:rPr>
          <w:sz w:val="24"/>
          <w:lang w:val="da-DK"/>
        </w:rPr>
        <w:t xml:space="preserve">Det Verdensøkonomiske Forum: "Saudi </w:t>
      </w:r>
      <w:proofErr w:type="spellStart"/>
      <w:r w:rsidRPr="00DE386F">
        <w:rPr>
          <w:sz w:val="24"/>
          <w:lang w:val="da-DK"/>
        </w:rPr>
        <w:t>women</w:t>
      </w:r>
      <w:proofErr w:type="spellEnd"/>
      <w:r w:rsidRPr="00DE386F">
        <w:rPr>
          <w:sz w:val="24"/>
          <w:lang w:val="da-DK"/>
        </w:rPr>
        <w:t xml:space="preserve"> </w:t>
      </w:r>
      <w:proofErr w:type="spellStart"/>
      <w:r w:rsidRPr="00DE386F">
        <w:rPr>
          <w:sz w:val="24"/>
          <w:lang w:val="da-DK"/>
        </w:rPr>
        <w:t>are</w:t>
      </w:r>
      <w:proofErr w:type="spellEnd"/>
      <w:r w:rsidRPr="00DE386F">
        <w:rPr>
          <w:sz w:val="24"/>
          <w:lang w:val="da-DK"/>
        </w:rPr>
        <w:t xml:space="preserve"> </w:t>
      </w:r>
      <w:proofErr w:type="spellStart"/>
      <w:r w:rsidRPr="00DE386F">
        <w:rPr>
          <w:sz w:val="24"/>
          <w:lang w:val="da-DK"/>
        </w:rPr>
        <w:t>now</w:t>
      </w:r>
      <w:proofErr w:type="spellEnd"/>
      <w:r w:rsidRPr="00DE386F">
        <w:rPr>
          <w:sz w:val="24"/>
          <w:lang w:val="da-DK"/>
        </w:rPr>
        <w:t xml:space="preserve"> </w:t>
      </w:r>
      <w:proofErr w:type="spellStart"/>
      <w:r w:rsidRPr="00DE386F">
        <w:rPr>
          <w:sz w:val="24"/>
          <w:lang w:val="da-DK"/>
        </w:rPr>
        <w:t>legally</w:t>
      </w:r>
      <w:proofErr w:type="spellEnd"/>
      <w:r w:rsidRPr="00DE386F">
        <w:rPr>
          <w:sz w:val="24"/>
          <w:lang w:val="da-DK"/>
        </w:rPr>
        <w:t xml:space="preserve"> </w:t>
      </w:r>
      <w:proofErr w:type="spellStart"/>
      <w:r w:rsidRPr="00DE386F">
        <w:rPr>
          <w:sz w:val="24"/>
          <w:lang w:val="da-DK"/>
        </w:rPr>
        <w:t>allowed</w:t>
      </w:r>
      <w:proofErr w:type="spellEnd"/>
      <w:r w:rsidRPr="00DE386F">
        <w:rPr>
          <w:sz w:val="24"/>
          <w:lang w:val="da-DK"/>
        </w:rPr>
        <w:t xml:space="preserve"> to drive" (saudiarabiske kvinder har nu lov til at køre bil), 25. juni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56DCF" w14:textId="77777777" w:rsidR="00064002" w:rsidRPr="00DE38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FBFB" w14:textId="77777777" w:rsidR="00064002" w:rsidRPr="00DE38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DAF4F" w14:textId="77777777" w:rsidR="00064002" w:rsidRPr="00DE38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8161620">
    <w:abstractNumId w:val="9"/>
  </w:num>
  <w:num w:numId="2" w16cid:durableId="1058433387">
    <w:abstractNumId w:val="9"/>
  </w:num>
  <w:num w:numId="3" w16cid:durableId="1268467667">
    <w:abstractNumId w:val="7"/>
  </w:num>
  <w:num w:numId="4" w16cid:durableId="650603441">
    <w:abstractNumId w:val="7"/>
  </w:num>
  <w:num w:numId="5" w16cid:durableId="1728063289">
    <w:abstractNumId w:val="6"/>
  </w:num>
  <w:num w:numId="6" w16cid:durableId="220167816">
    <w:abstractNumId w:val="6"/>
  </w:num>
  <w:num w:numId="7" w16cid:durableId="1236865636">
    <w:abstractNumId w:val="5"/>
  </w:num>
  <w:num w:numId="8" w16cid:durableId="1905943610">
    <w:abstractNumId w:val="5"/>
  </w:num>
  <w:num w:numId="9" w16cid:durableId="727723775">
    <w:abstractNumId w:val="4"/>
  </w:num>
  <w:num w:numId="10" w16cid:durableId="1475560143">
    <w:abstractNumId w:val="4"/>
  </w:num>
  <w:num w:numId="11" w16cid:durableId="154534483">
    <w:abstractNumId w:val="8"/>
  </w:num>
  <w:num w:numId="12" w16cid:durableId="1125661674">
    <w:abstractNumId w:val="8"/>
  </w:num>
  <w:num w:numId="13" w16cid:durableId="739255650">
    <w:abstractNumId w:val="3"/>
  </w:num>
  <w:num w:numId="14" w16cid:durableId="1176119235">
    <w:abstractNumId w:val="3"/>
  </w:num>
  <w:num w:numId="15" w16cid:durableId="1757557189">
    <w:abstractNumId w:val="2"/>
  </w:num>
  <w:num w:numId="16" w16cid:durableId="1789471744">
    <w:abstractNumId w:val="2"/>
  </w:num>
  <w:num w:numId="17" w16cid:durableId="1054474436">
    <w:abstractNumId w:val="1"/>
  </w:num>
  <w:num w:numId="18" w16cid:durableId="843783161">
    <w:abstractNumId w:val="1"/>
  </w:num>
  <w:num w:numId="19" w16cid:durableId="1131173310">
    <w:abstractNumId w:val="0"/>
  </w:num>
  <w:num w:numId="20" w16cid:durableId="466555056">
    <w:abstractNumId w:val="0"/>
  </w:num>
  <w:num w:numId="21" w16cid:durableId="106587687">
    <w:abstractNumId w:val="9"/>
  </w:num>
  <w:num w:numId="22" w16cid:durableId="1061444209">
    <w:abstractNumId w:val="7"/>
  </w:num>
  <w:num w:numId="23" w16cid:durableId="713698326">
    <w:abstractNumId w:val="6"/>
  </w:num>
  <w:num w:numId="24" w16cid:durableId="725185911">
    <w:abstractNumId w:val="5"/>
  </w:num>
  <w:num w:numId="25" w16cid:durableId="2095129799">
    <w:abstractNumId w:val="4"/>
  </w:num>
  <w:num w:numId="26" w16cid:durableId="1683361723">
    <w:abstractNumId w:val="8"/>
  </w:num>
  <w:num w:numId="27" w16cid:durableId="284313706">
    <w:abstractNumId w:val="3"/>
  </w:num>
  <w:num w:numId="28" w16cid:durableId="1106072192">
    <w:abstractNumId w:val="2"/>
  </w:num>
  <w:num w:numId="29" w16cid:durableId="138115438">
    <w:abstractNumId w:val="1"/>
  </w:num>
  <w:num w:numId="30" w16cid:durableId="2029716612">
    <w:abstractNumId w:val="0"/>
  </w:num>
  <w:num w:numId="31" w16cid:durableId="777065345">
    <w:abstractNumId w:val="9"/>
  </w:num>
  <w:num w:numId="32" w16cid:durableId="1746759605">
    <w:abstractNumId w:val="7"/>
  </w:num>
  <w:num w:numId="33" w16cid:durableId="560990650">
    <w:abstractNumId w:val="6"/>
  </w:num>
  <w:num w:numId="34" w16cid:durableId="267347762">
    <w:abstractNumId w:val="5"/>
  </w:num>
  <w:num w:numId="35" w16cid:durableId="1167749032">
    <w:abstractNumId w:val="4"/>
  </w:num>
  <w:num w:numId="36" w16cid:durableId="2087874178">
    <w:abstractNumId w:val="8"/>
  </w:num>
  <w:num w:numId="37" w16cid:durableId="2062702401">
    <w:abstractNumId w:val="3"/>
  </w:num>
  <w:num w:numId="38" w16cid:durableId="669455668">
    <w:abstractNumId w:val="2"/>
  </w:num>
  <w:num w:numId="39" w16cid:durableId="1970084036">
    <w:abstractNumId w:val="1"/>
  </w:num>
  <w:num w:numId="40" w16cid:durableId="1585726054">
    <w:abstractNumId w:val="0"/>
  </w:num>
  <w:num w:numId="41" w16cid:durableId="1853104869">
    <w:abstractNumId w:val="10"/>
  </w:num>
  <w:num w:numId="42" w16cid:durableId="1102915277">
    <w:abstractNumId w:val="10"/>
  </w:num>
  <w:num w:numId="43" w16cid:durableId="860706131">
    <w:abstractNumId w:val="10"/>
  </w:num>
  <w:num w:numId="44" w16cid:durableId="10525329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DA"/>
    <w:docVar w:name="dvnumam" w:val="0"/>
    <w:docVar w:name="dvpe" w:val="775.425"/>
    <w:docVar w:name="dvrapporteur" w:val="Ordfører: "/>
    <w:docVar w:name="dvtitre" w:val="Europa-Parlamentets beslutning af xx.xx 2025 om forbindelserne mellem EU og Saudi-Arabien(2025/2082(INI))"/>
  </w:docVars>
  <w:rsids>
    <w:rsidRoot w:val="00B7631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1F87"/>
    <w:rsid w:val="00361C00"/>
    <w:rsid w:val="00367165"/>
    <w:rsid w:val="00395FA1"/>
    <w:rsid w:val="003A05F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054"/>
    <w:rsid w:val="008C2AC6"/>
    <w:rsid w:val="00930BDD"/>
    <w:rsid w:val="00930C23"/>
    <w:rsid w:val="0093193B"/>
    <w:rsid w:val="009509D8"/>
    <w:rsid w:val="00950B64"/>
    <w:rsid w:val="00981893"/>
    <w:rsid w:val="00A1687D"/>
    <w:rsid w:val="00A43E52"/>
    <w:rsid w:val="00A4678D"/>
    <w:rsid w:val="00A778C7"/>
    <w:rsid w:val="00AA2812"/>
    <w:rsid w:val="00AB441E"/>
    <w:rsid w:val="00AB6293"/>
    <w:rsid w:val="00AE0928"/>
    <w:rsid w:val="00AF3B82"/>
    <w:rsid w:val="00B12E95"/>
    <w:rsid w:val="00B22876"/>
    <w:rsid w:val="00B558F0"/>
    <w:rsid w:val="00B76316"/>
    <w:rsid w:val="00BD48FE"/>
    <w:rsid w:val="00BD7BD8"/>
    <w:rsid w:val="00BE6ADC"/>
    <w:rsid w:val="00C05BFE"/>
    <w:rsid w:val="00C23CD4"/>
    <w:rsid w:val="00C57513"/>
    <w:rsid w:val="00C61C0C"/>
    <w:rsid w:val="00C941CB"/>
    <w:rsid w:val="00CC2357"/>
    <w:rsid w:val="00CF071A"/>
    <w:rsid w:val="00D058B8"/>
    <w:rsid w:val="00D56C11"/>
    <w:rsid w:val="00D834A0"/>
    <w:rsid w:val="00D872DF"/>
    <w:rsid w:val="00D91A51"/>
    <w:rsid w:val="00D91E21"/>
    <w:rsid w:val="00DA7FCD"/>
    <w:rsid w:val="00DE386F"/>
    <w:rsid w:val="00E365E1"/>
    <w:rsid w:val="00E820A4"/>
    <w:rsid w:val="00E93ED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B8779"/>
  <w15:chartTrackingRefBased/>
  <w15:docId w15:val="{FBF1886F-53ED-4B65-9DF8-184FABE8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57513"/>
    <w:pPr>
      <w:widowControl/>
      <w:spacing w:after="240"/>
    </w:pPr>
    <w:rPr>
      <w:szCs w:val="24"/>
      <w:lang w:eastAsia="en-US"/>
    </w:rPr>
  </w:style>
  <w:style w:type="paragraph" w:customStyle="1" w:styleId="NormalHanging12a">
    <w:name w:val="NormalHanging12a"/>
    <w:basedOn w:val="Normal"/>
    <w:rsid w:val="00C57513"/>
    <w:pPr>
      <w:widowControl/>
      <w:spacing w:after="240"/>
      <w:ind w:left="566" w:hanging="566"/>
    </w:pPr>
    <w:rPr>
      <w:szCs w:val="24"/>
      <w:lang w:eastAsia="en-US"/>
    </w:rPr>
  </w:style>
  <w:style w:type="paragraph" w:customStyle="1" w:styleId="Normal12">
    <w:name w:val="Normal12"/>
    <w:basedOn w:val="Normal"/>
    <w:rsid w:val="00C57513"/>
    <w:pPr>
      <w:widowControl/>
      <w:spacing w:after="240"/>
    </w:pPr>
    <w:rPr>
      <w:szCs w:val="24"/>
      <w:lang w:eastAsia="en-US"/>
    </w:rPr>
  </w:style>
  <w:style w:type="paragraph" w:customStyle="1" w:styleId="NormalHanging">
    <w:name w:val="NormalHanging"/>
    <w:basedOn w:val="Normal"/>
    <w:rsid w:val="00C57513"/>
    <w:pPr>
      <w:widowControl/>
      <w:spacing w:after="240"/>
      <w:ind w:left="566" w:hanging="566"/>
    </w:pPr>
    <w:rPr>
      <w:szCs w:val="24"/>
      <w:lang w:eastAsia="en-US"/>
    </w:rPr>
  </w:style>
  <w:style w:type="paragraph" w:customStyle="1" w:styleId="NormalBold12a">
    <w:name w:val="NormalBold12a"/>
    <w:basedOn w:val="Normal"/>
    <w:rsid w:val="00C57513"/>
    <w:pPr>
      <w:widowControl/>
      <w:spacing w:after="240"/>
    </w:pPr>
    <w:rPr>
      <w:b/>
      <w:szCs w:val="24"/>
      <w:lang w:eastAsia="en-US"/>
    </w:rPr>
  </w:style>
  <w:style w:type="paragraph" w:customStyle="1" w:styleId="NormalCenter12a">
    <w:name w:val="NormalCenter12a"/>
    <w:basedOn w:val="Normal"/>
    <w:rsid w:val="00C57513"/>
    <w:pPr>
      <w:widowControl/>
      <w:spacing w:after="240"/>
      <w:jc w:val="center"/>
    </w:pPr>
    <w:rPr>
      <w:szCs w:val="24"/>
      <w:lang w:eastAsia="en-US"/>
    </w:rPr>
  </w:style>
  <w:style w:type="character" w:styleId="Hyperlink">
    <w:name w:val="Hyperlink"/>
    <w:basedOn w:val="DefaultParagraphFont"/>
    <w:rsid w:val="00C57513"/>
    <w:rPr>
      <w:color w:val="0000FF"/>
      <w:u w:val="single"/>
    </w:rPr>
  </w:style>
  <w:style w:type="paragraph" w:styleId="Revision">
    <w:name w:val="Revision"/>
    <w:hidden/>
    <w:uiPriority w:val="99"/>
    <w:semiHidden/>
    <w:rsid w:val="00351F87"/>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5PC0194"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4186</Words>
  <Characters>27632</Characters>
  <Application>Microsoft Office Word</Application>
  <DocSecurity>0</DocSecurity>
  <Lines>230</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2025-12-16T12:29:00Z</dcterms:created>
  <dcterms:modified xsi:type="dcterms:W3CDTF">2025-12-16T12:29:00Z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A10-0230/2025</vt:lpwstr>
  </property>
  <property fmtid="{D5CDD505-2E9C-101B-9397-08002B2CF9AE}" pid="4" name="&lt;Type&gt;">
    <vt:lpwstr>RR</vt:lpwstr>
  </property>
</Properties>
</file>