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4BFA" w14:paraId="0F98BF7B" w14:textId="77777777" w:rsidTr="0010095E">
        <w:trPr>
          <w:trHeight w:hRule="exact" w:val="1418"/>
        </w:trPr>
        <w:tc>
          <w:tcPr>
            <w:tcW w:w="6804" w:type="dxa"/>
            <w:shd w:val="clear" w:color="auto" w:fill="auto"/>
            <w:vAlign w:val="center"/>
          </w:tcPr>
          <w:p w14:paraId="3B9E87C9" w14:textId="77777777" w:rsidR="00751A4A" w:rsidRPr="00094BFA" w:rsidRDefault="00671D91" w:rsidP="0010095E">
            <w:pPr>
              <w:pStyle w:val="EPName"/>
            </w:pPr>
            <w:r w:rsidRPr="00094BFA">
              <w:t>Ευρωπαϊκό Κοινοβούλιο</w:t>
            </w:r>
          </w:p>
          <w:p w14:paraId="4BCBF9AB" w14:textId="77777777" w:rsidR="00751A4A" w:rsidRPr="00094BFA" w:rsidRDefault="005F1B17" w:rsidP="005F1B17">
            <w:pPr>
              <w:pStyle w:val="EPTerm"/>
              <w:rPr>
                <w:rStyle w:val="HideTWBExt"/>
                <w:noProof w:val="0"/>
                <w:vanish w:val="0"/>
                <w:color w:val="auto"/>
              </w:rPr>
            </w:pPr>
            <w:r w:rsidRPr="00094BFA">
              <w:t>2024</w:t>
            </w:r>
            <w:r w:rsidR="00817416" w:rsidRPr="00094BFA">
              <w:t>-202</w:t>
            </w:r>
            <w:r w:rsidRPr="00094BFA">
              <w:t>9</w:t>
            </w:r>
          </w:p>
        </w:tc>
        <w:tc>
          <w:tcPr>
            <w:tcW w:w="2268" w:type="dxa"/>
            <w:shd w:val="clear" w:color="auto" w:fill="auto"/>
          </w:tcPr>
          <w:p w14:paraId="6B35F22E" w14:textId="77777777" w:rsidR="00751A4A" w:rsidRPr="00094BFA" w:rsidRDefault="00187494" w:rsidP="0010095E">
            <w:pPr>
              <w:pStyle w:val="EPLogo"/>
            </w:pPr>
            <w:r w:rsidRPr="00094BFA">
              <w:rPr>
                <w:noProof/>
                <w:lang w:eastAsia="ja-JP"/>
              </w:rPr>
              <w:drawing>
                <wp:inline distT="0" distB="0" distL="0" distR="0" wp14:anchorId="04C85521" wp14:editId="14768C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F69365" w14:textId="77777777" w:rsidR="00D058B8" w:rsidRPr="00094BFA" w:rsidRDefault="00D058B8" w:rsidP="004C5D52">
      <w:pPr>
        <w:pStyle w:val="LineTop"/>
      </w:pPr>
    </w:p>
    <w:p w14:paraId="1B816EFF" w14:textId="77777777" w:rsidR="00680577" w:rsidRPr="00094BFA" w:rsidRDefault="00671D91" w:rsidP="00680577">
      <w:pPr>
        <w:pStyle w:val="EPBodyTA1"/>
      </w:pPr>
      <w:r w:rsidRPr="00094BFA">
        <w:t>ΚΕΙΜΕΝΑ ΠΟΥ ΕΓΚΡΙΘΗΚΑΝ</w:t>
      </w:r>
    </w:p>
    <w:p w14:paraId="4F8BF64A" w14:textId="77777777" w:rsidR="00D058B8" w:rsidRPr="00094BFA" w:rsidRDefault="00D058B8" w:rsidP="00D058B8">
      <w:pPr>
        <w:pStyle w:val="LineBottom"/>
      </w:pPr>
    </w:p>
    <w:p w14:paraId="477463ED" w14:textId="75A18089" w:rsidR="00671D91" w:rsidRPr="00094BFA" w:rsidRDefault="00671D91" w:rsidP="00671D91">
      <w:pPr>
        <w:pStyle w:val="ATHeading1"/>
      </w:pPr>
      <w:bookmarkStart w:id="0" w:name="TANumber"/>
      <w:r w:rsidRPr="00094BFA">
        <w:t>P10_TA(2025)0</w:t>
      </w:r>
      <w:r w:rsidR="002D6D52">
        <w:t>326</w:t>
      </w:r>
      <w:bookmarkEnd w:id="0"/>
    </w:p>
    <w:p w14:paraId="572A5C47" w14:textId="6E99B083" w:rsidR="00671D91" w:rsidRPr="00094BFA" w:rsidRDefault="0012009C" w:rsidP="00671D91">
      <w:pPr>
        <w:pStyle w:val="ATHeading2"/>
      </w:pPr>
      <w:r w:rsidRPr="00094BFA">
        <w:rPr>
          <w:bCs/>
        </w:rPr>
        <w:t>Σχέσεις μεταξύ ΕΕ και Σαουδικής Αραβίας</w:t>
      </w:r>
    </w:p>
    <w:p w14:paraId="0F230030" w14:textId="77777777" w:rsidR="00671D91" w:rsidRPr="00094BFA" w:rsidRDefault="00671D91" w:rsidP="00671D91">
      <w:pPr>
        <w:rPr>
          <w:i/>
          <w:vanish/>
        </w:rPr>
      </w:pPr>
      <w:r w:rsidRPr="00094BFA">
        <w:rPr>
          <w:i/>
        </w:rPr>
        <w:fldChar w:fldCharType="begin"/>
      </w:r>
      <w:r w:rsidRPr="00094BFA">
        <w:rPr>
          <w:i/>
        </w:rPr>
        <w:instrText xml:space="preserve"> TC"(</w:instrText>
      </w:r>
      <w:bookmarkStart w:id="1" w:name="DocNumber"/>
      <w:r w:rsidRPr="00094BFA">
        <w:rPr>
          <w:i/>
        </w:rPr>
        <w:instrText>A10-0230/2025</w:instrText>
      </w:r>
      <w:bookmarkEnd w:id="1"/>
      <w:r w:rsidRPr="00094BFA">
        <w:rPr>
          <w:i/>
        </w:rPr>
        <w:instrText xml:space="preserve"> - Εισηγήτρια: Hana Jalloul Muro)"\l3 \n&gt; \* MERGEFORMAT </w:instrText>
      </w:r>
      <w:r w:rsidRPr="00094BFA">
        <w:rPr>
          <w:i/>
        </w:rPr>
        <w:fldChar w:fldCharType="end"/>
      </w:r>
    </w:p>
    <w:p w14:paraId="4CCAF699" w14:textId="77777777" w:rsidR="00671D91" w:rsidRPr="00094BFA" w:rsidRDefault="00671D91" w:rsidP="00671D91">
      <w:pPr>
        <w:rPr>
          <w:vanish/>
        </w:rPr>
      </w:pPr>
      <w:bookmarkStart w:id="2" w:name="Commission"/>
      <w:r w:rsidRPr="00094BFA">
        <w:rPr>
          <w:vanish/>
        </w:rPr>
        <w:t>Επιτροπή Εξωτερικών Υποθέσεων</w:t>
      </w:r>
      <w:bookmarkEnd w:id="2"/>
    </w:p>
    <w:p w14:paraId="21631829" w14:textId="77777777" w:rsidR="00671D91" w:rsidRPr="00094BFA" w:rsidRDefault="00671D91" w:rsidP="00671D91">
      <w:pPr>
        <w:rPr>
          <w:vanish/>
        </w:rPr>
      </w:pPr>
      <w:bookmarkStart w:id="3" w:name="PE"/>
      <w:r w:rsidRPr="00094BFA">
        <w:rPr>
          <w:vanish/>
        </w:rPr>
        <w:t>PE775.425</w:t>
      </w:r>
      <w:bookmarkEnd w:id="3"/>
    </w:p>
    <w:p w14:paraId="71A2A8CB" w14:textId="3C8B4E87" w:rsidR="00671D91" w:rsidRPr="00094BFA" w:rsidRDefault="00671D91" w:rsidP="00671D91">
      <w:pPr>
        <w:pStyle w:val="ATHeading3"/>
      </w:pPr>
      <w:bookmarkStart w:id="4" w:name="Sujet"/>
      <w:r w:rsidRPr="00094BFA">
        <w:t xml:space="preserve">Ψήφισμα του Ευρωπαϊκού Κοινοβουλίου </w:t>
      </w:r>
      <w:r w:rsidR="005653E5" w:rsidRPr="00094BFA">
        <w:t xml:space="preserve">της </w:t>
      </w:r>
      <w:r w:rsidR="0012009C" w:rsidRPr="00094BFA">
        <w:t>16</w:t>
      </w:r>
      <w:r w:rsidR="005653E5" w:rsidRPr="00094BFA">
        <w:t xml:space="preserve">ης Δεκεμβρίου 2025 </w:t>
      </w:r>
      <w:r w:rsidRPr="00094BFA">
        <w:t>για τις σχέσεις μεταξύ ΕΕ και Σαουδικής Αραβίας</w:t>
      </w:r>
      <w:bookmarkEnd w:id="4"/>
      <w:r w:rsidRPr="00094BFA">
        <w:t xml:space="preserve"> </w:t>
      </w:r>
      <w:bookmarkStart w:id="5" w:name="References"/>
      <w:r w:rsidRPr="00094BFA">
        <w:t>(2025/2082(INI))</w:t>
      </w:r>
      <w:bookmarkEnd w:id="5"/>
    </w:p>
    <w:p w14:paraId="30F668A9" w14:textId="77777777" w:rsidR="00A831ED" w:rsidRPr="00094BFA" w:rsidRDefault="00A831ED" w:rsidP="005653E5">
      <w:pPr>
        <w:pStyle w:val="NormalBold12a"/>
        <w:ind w:left="567" w:hanging="567"/>
      </w:pPr>
    </w:p>
    <w:p w14:paraId="7819FA07" w14:textId="77777777" w:rsidR="00A831ED" w:rsidRPr="00094BFA" w:rsidRDefault="00A831ED" w:rsidP="005653E5">
      <w:pPr>
        <w:pStyle w:val="Normal12"/>
        <w:ind w:left="567" w:hanging="567"/>
      </w:pPr>
      <w:r w:rsidRPr="00094BFA">
        <w:rPr>
          <w:i/>
        </w:rPr>
        <w:t>Το Ευρωπαϊκό Κοινοβούλιο</w:t>
      </w:r>
      <w:r w:rsidRPr="00094BFA">
        <w:t>,</w:t>
      </w:r>
    </w:p>
    <w:p w14:paraId="1799C832" w14:textId="18BB4AF2" w:rsidR="00A831ED" w:rsidRPr="00094BFA" w:rsidRDefault="00A831ED" w:rsidP="00DB3EF9">
      <w:pPr>
        <w:pStyle w:val="NormalHanging"/>
        <w:ind w:left="567" w:hanging="567"/>
      </w:pPr>
      <w:r w:rsidRPr="00094BFA">
        <w:t>–</w:t>
      </w:r>
      <w:r w:rsidRPr="00094BFA">
        <w:tab/>
        <w:t>έχοντας υπόψη τα άρθρα 205</w:t>
      </w:r>
      <w:r w:rsidR="00DB3EF9" w:rsidRPr="00094BFA">
        <w:t xml:space="preserve"> έως </w:t>
      </w:r>
      <w:r w:rsidRPr="00094BFA">
        <w:t>222 της Συνθήκης για τη λειτουργία της Ευρωπαϊκής Ένωσης (ΣΛΕΕ),</w:t>
      </w:r>
    </w:p>
    <w:p w14:paraId="01A1DE24" w14:textId="77777777" w:rsidR="00A831ED" w:rsidRPr="00094BFA" w:rsidRDefault="00A831ED" w:rsidP="00DB3EF9">
      <w:pPr>
        <w:pStyle w:val="NormalHanging"/>
        <w:ind w:left="567" w:hanging="567"/>
      </w:pPr>
      <w:r w:rsidRPr="00094BFA">
        <w:t>–</w:t>
      </w:r>
      <w:r w:rsidRPr="00094BFA">
        <w:tab/>
        <w:t xml:space="preserve">έχοντας υπόψη τα προηγούμενα ψηφίσματά του σχετικά με τη Σαουδική Αραβία, ιδίως τα ψηφίσματα της 25ης Οκτωβρίου 2018 σχετικά με τη δολοφονία του δημοσιογράφου </w:t>
      </w:r>
      <w:proofErr w:type="spellStart"/>
      <w:r w:rsidRPr="00094BFA">
        <w:t>Jamal</w:t>
      </w:r>
      <w:proofErr w:type="spellEnd"/>
      <w:r w:rsidRPr="00094BFA">
        <w:t xml:space="preserve"> </w:t>
      </w:r>
      <w:proofErr w:type="spellStart"/>
      <w:r w:rsidRPr="00094BFA">
        <w:t>Khashoggi</w:t>
      </w:r>
      <w:proofErr w:type="spellEnd"/>
      <w:r w:rsidRPr="00094BFA">
        <w:t xml:space="preserve"> στο προξενείο της Σαουδικής Αραβίας στην Κωνσταντινούπολη</w:t>
      </w:r>
      <w:r w:rsidRPr="00094BFA">
        <w:rPr>
          <w:rStyle w:val="FootnoteReference"/>
        </w:rPr>
        <w:footnoteReference w:customMarkFollows="1" w:id="1"/>
        <w:t>1</w:t>
      </w:r>
      <w:r w:rsidRPr="00094BFA">
        <w:t>, της 11ης Φεβρουαρίου 2021 σχετικά με την ανθρωπιστική και πολιτική κατάσταση στην Υεμένη</w:t>
      </w:r>
      <w:r w:rsidRPr="00094BFA">
        <w:rPr>
          <w:rStyle w:val="FootnoteReference"/>
        </w:rPr>
        <w:footnoteReference w:customMarkFollows="1" w:id="2"/>
        <w:t>2</w:t>
      </w:r>
      <w:r w:rsidRPr="00094BFA">
        <w:t xml:space="preserve"> και της 8ης Ιουλίου 2021 σχετικά με τη θανατική ποινή στη Σαουδική Αραβία, ιδίως με τις περιπτώσεις των </w:t>
      </w:r>
      <w:proofErr w:type="spellStart"/>
      <w:r w:rsidRPr="00094BFA">
        <w:t>Mustafa</w:t>
      </w:r>
      <w:proofErr w:type="spellEnd"/>
      <w:r w:rsidRPr="00094BFA">
        <w:t xml:space="preserve"> </w:t>
      </w:r>
      <w:proofErr w:type="spellStart"/>
      <w:r w:rsidRPr="00094BFA">
        <w:t>Hashem</w:t>
      </w:r>
      <w:proofErr w:type="spellEnd"/>
      <w:r w:rsidRPr="00094BFA">
        <w:t xml:space="preserve"> </w:t>
      </w:r>
      <w:proofErr w:type="spellStart"/>
      <w:r w:rsidRPr="00094BFA">
        <w:t>al-Darwish</w:t>
      </w:r>
      <w:proofErr w:type="spellEnd"/>
      <w:r w:rsidRPr="00094BFA">
        <w:t xml:space="preserve"> και </w:t>
      </w:r>
      <w:proofErr w:type="spellStart"/>
      <w:r w:rsidRPr="00094BFA">
        <w:t>Abdullah</w:t>
      </w:r>
      <w:proofErr w:type="spellEnd"/>
      <w:r w:rsidRPr="00094BFA">
        <w:t xml:space="preserve"> al-Howaiti</w:t>
      </w:r>
      <w:r w:rsidRPr="00094BFA">
        <w:rPr>
          <w:rStyle w:val="FootnoteReference"/>
        </w:rPr>
        <w:footnoteReference w:customMarkFollows="1" w:id="3"/>
        <w:t>3</w:t>
      </w:r>
      <w:r w:rsidRPr="00094BFA">
        <w:t>,</w:t>
      </w:r>
    </w:p>
    <w:p w14:paraId="39D3B27E" w14:textId="77777777" w:rsidR="00A831ED" w:rsidRPr="00094BFA" w:rsidRDefault="00A831ED" w:rsidP="00DB3EF9">
      <w:pPr>
        <w:pStyle w:val="NormalHanging"/>
        <w:ind w:left="567" w:hanging="567"/>
      </w:pPr>
      <w:r w:rsidRPr="00094BFA">
        <w:t>–</w:t>
      </w:r>
      <w:r w:rsidRPr="00094BFA">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18ης Μαΐου 2022, σχετικά με μια στρατηγική εταιρική σχέση με τα κράτη του Κόλπου (JOIN(2022)0013), και τα σχετικά συμπεράσματα του Συμβουλίου της 20ής Ιουνίου 2022,</w:t>
      </w:r>
    </w:p>
    <w:p w14:paraId="09735416" w14:textId="77777777" w:rsidR="00A831ED" w:rsidRPr="00094BFA" w:rsidRDefault="00A831ED" w:rsidP="00DB3EF9">
      <w:pPr>
        <w:pStyle w:val="NormalHanging"/>
        <w:ind w:left="567" w:hanging="567"/>
      </w:pPr>
      <w:r w:rsidRPr="00094BFA">
        <w:t>–</w:t>
      </w:r>
      <w:r w:rsidRPr="00094BFA">
        <w:tab/>
        <w:t>έχοντας υπόψη την εντολή του Συμβουλίου για την έναρξη διαπραγματεύσεων για μεμονωμένες συμφωνίες στρατηγικής εταιρικής σχέσης (ΣΣΕΣ) με τις χώρες του Συμβουλίου Συνεργασίας των Αραβικών Χωρών του Περσικού Κόλπου (Συμβούλιο Συνεργασίας του Περσικού Κόλπου (ΣΣΠΚ)) και, αντίστοιχα, το Βασίλειο του Μπαχρέιν, το Κράτος του Κουβέιτ, το Σουλτανάτο του Ομάν, το Κράτος του Κατάρ, το Βασίλειο της Σαουδικής Αραβίας και τα Ηνωμένα Αραβικά Εμιράτα,</w:t>
      </w:r>
    </w:p>
    <w:p w14:paraId="286D736F" w14:textId="1CD34570" w:rsidR="00A831ED" w:rsidRPr="00094BFA" w:rsidRDefault="00A831ED" w:rsidP="00DB3EF9">
      <w:pPr>
        <w:pStyle w:val="NormalHanging"/>
        <w:ind w:left="567" w:hanging="567"/>
      </w:pPr>
      <w:r w:rsidRPr="00094BFA">
        <w:t>–</w:t>
      </w:r>
      <w:r w:rsidRPr="00094BFA">
        <w:tab/>
        <w:t>έχοντας υπόψη την κοινή δήλωση της πρώτης διάσκεψης κορυφής ΕΕ-ΣΣΠΚ, της 16ης</w:t>
      </w:r>
      <w:r w:rsidR="00DB3EF9" w:rsidRPr="00094BFA">
        <w:t> </w:t>
      </w:r>
      <w:r w:rsidRPr="00094BFA">
        <w:t>Οκτωβρίου 2024,</w:t>
      </w:r>
    </w:p>
    <w:p w14:paraId="09F23FF2" w14:textId="77777777" w:rsidR="00A831ED" w:rsidRPr="00094BFA" w:rsidRDefault="00A831ED" w:rsidP="00DB3EF9">
      <w:pPr>
        <w:pStyle w:val="NormalHanging"/>
        <w:ind w:left="567" w:hanging="567"/>
      </w:pPr>
      <w:r w:rsidRPr="00094BFA">
        <w:lastRenderedPageBreak/>
        <w:t>–</w:t>
      </w:r>
      <w:r w:rsidRPr="00094BFA">
        <w:tab/>
        <w:t>έχοντας υπόψη την κοινή δήλωση του 29ου Κοινού Συμβουλίου και της υπουργικής συνόδου μεταξύ ΣΣΠΚ και ΕΕ, της 6ης Οκτωβρίου 2025,</w:t>
      </w:r>
    </w:p>
    <w:p w14:paraId="2D8BD97E" w14:textId="701B8B5D" w:rsidR="00A831ED" w:rsidRPr="00094BFA" w:rsidRDefault="00A831ED" w:rsidP="00DB3EF9">
      <w:pPr>
        <w:pStyle w:val="NormalHanging"/>
        <w:ind w:left="567" w:hanging="567"/>
      </w:pPr>
      <w:r w:rsidRPr="00094BFA">
        <w:t>–</w:t>
      </w:r>
      <w:r w:rsidRPr="00094BFA">
        <w:tab/>
        <w:t>έχοντας υπόψη τη σύσταση για απόφαση του Συμβουλίου σχετικά με νέες οδηγίες διαπραγμάτευσης για μια περιφερειακή συμφωνία ελεύθερων συναλλαγών και διμερείς συμφωνίες ελεύθερων συναλλαγών με τις χώρες του Συμβουλίου Συνεργασίας των Αραβικών Χωρών του Περσικού Κόλπου και, αντίστοιχα, το Βασίλειο του Μπαχρέιν, το Κράτος του Κουβέιτ, το Σουλτανάτο του Ομάν, το Κράτος του Κατάρ, το Βασίλειο της Σαουδικής Αραβίας και το Κράτος των Ηνωμένων Αραβικών Εμιράτων (</w:t>
      </w:r>
      <w:r w:rsidR="00DB3EF9" w:rsidRPr="00094BFA">
        <w:t>COM(2025)0194</w:t>
      </w:r>
      <w:r w:rsidRPr="00094BFA">
        <w:t>),</w:t>
      </w:r>
    </w:p>
    <w:p w14:paraId="6923818D" w14:textId="77777777" w:rsidR="00A831ED" w:rsidRPr="00094BFA" w:rsidRDefault="00A831ED" w:rsidP="00DB3EF9">
      <w:pPr>
        <w:pStyle w:val="NormalHanging"/>
        <w:ind w:left="567" w:hanging="567"/>
      </w:pPr>
      <w:r w:rsidRPr="00094BFA">
        <w:t>–</w:t>
      </w:r>
      <w:r w:rsidRPr="00094BFA">
        <w:tab/>
        <w:t>έχοντας υπόψη τη συμφωνία συνεργασίας της Ευρωπαϊκής Υπηρεσίας Εξωτερικής Δράσης και του Υπουργείου Εξωτερικών του Βασιλείου της Σαουδικής Αραβίας, η οποία υπεγράφη στις 3 Οκτωβρίου 2021,</w:t>
      </w:r>
    </w:p>
    <w:p w14:paraId="122DE2B4" w14:textId="77777777" w:rsidR="00A831ED" w:rsidRPr="00094BFA" w:rsidRDefault="00A831ED" w:rsidP="00DB3EF9">
      <w:pPr>
        <w:pStyle w:val="NormalHanging"/>
        <w:ind w:left="567" w:hanging="567"/>
      </w:pPr>
      <w:r w:rsidRPr="00094BFA">
        <w:t>–</w:t>
      </w:r>
      <w:r w:rsidRPr="00094BFA">
        <w:tab/>
        <w:t xml:space="preserve">έχοντας υπόψη τον τέταρτο διάλογο ΕΕ-Βασιλείου της Σαουδικής Αραβίας σχετικά με τα ανθρώπινα δικαιώματα, ο οποίος πραγματοποιήθηκε στο </w:t>
      </w:r>
      <w:proofErr w:type="spellStart"/>
      <w:r w:rsidRPr="00094BFA">
        <w:t>Ριάντ</w:t>
      </w:r>
      <w:proofErr w:type="spellEnd"/>
      <w:r w:rsidRPr="00094BFA">
        <w:t xml:space="preserve"> στις 20 Δεκεμβρίου 2024,</w:t>
      </w:r>
    </w:p>
    <w:p w14:paraId="055EDD20" w14:textId="77777777" w:rsidR="00A831ED" w:rsidRPr="00094BFA" w:rsidRDefault="00A831ED" w:rsidP="00DB3EF9">
      <w:pPr>
        <w:pStyle w:val="NormalHanging"/>
        <w:ind w:left="567" w:hanging="567"/>
      </w:pPr>
      <w:r w:rsidRPr="00094BFA">
        <w:t>–</w:t>
      </w:r>
      <w:r w:rsidRPr="00094BFA">
        <w:tab/>
        <w:t>έχοντας υπόψη το παγκόσμιο καθεστώς κυρώσεων της ΕΕ για τα ανθρώπινα δικαιώματα, το οποίο θεσπίστηκε τον Δεκέμβριο του 2020,</w:t>
      </w:r>
    </w:p>
    <w:p w14:paraId="2355BDEA" w14:textId="77777777" w:rsidR="00A831ED" w:rsidRPr="00094BFA" w:rsidRDefault="00A831ED" w:rsidP="00DB3EF9">
      <w:pPr>
        <w:pStyle w:val="NormalHanging"/>
        <w:ind w:left="567" w:hanging="567"/>
      </w:pPr>
      <w:r w:rsidRPr="00094BFA">
        <w:t>–</w:t>
      </w:r>
      <w:r w:rsidRPr="00094BFA">
        <w:tab/>
        <w:t>έχοντας υπόψη τις κατευθυντήριες γραμμές της ΕΕ για τους υπερασπιστές των ανθρωπίνων δικαιωμάτων, που εγκρίθηκαν το 2004 και αναθεωρήθηκαν το 2008,</w:t>
      </w:r>
    </w:p>
    <w:p w14:paraId="2B6370B5" w14:textId="77777777" w:rsidR="00A831ED" w:rsidRPr="00094BFA" w:rsidRDefault="00A831ED" w:rsidP="00DB3EF9">
      <w:pPr>
        <w:pStyle w:val="NormalHanging"/>
        <w:ind w:left="567" w:hanging="567"/>
      </w:pPr>
      <w:r w:rsidRPr="00094BFA">
        <w:t>–</w:t>
      </w:r>
      <w:r w:rsidRPr="00094BFA">
        <w:tab/>
        <w:t>έχοντας υπόψη την έκθεση της ομάδας εμπειρογνωμόνων των Ηνωμένων Εθνών για τις γεωγραφικές ονομασίες, της 8ης Απριλίου 2025, σχετικά με το Βασίλειο της Σαουδικής Αραβίας (2025/169/CRP.169),</w:t>
      </w:r>
    </w:p>
    <w:p w14:paraId="20E79A29" w14:textId="77777777" w:rsidR="00A831ED" w:rsidRPr="00094BFA" w:rsidRDefault="00A831ED" w:rsidP="00DB3EF9">
      <w:pPr>
        <w:pStyle w:val="NormalHanging"/>
        <w:ind w:left="567" w:hanging="567"/>
      </w:pPr>
      <w:r w:rsidRPr="00094BFA">
        <w:t>–</w:t>
      </w:r>
      <w:r w:rsidRPr="00094BFA">
        <w:tab/>
        <w:t>έχοντας υπόψη τη Σύμβαση των Ηνωμένων Εθνών, της 18ης Δεκεμβρίου 1979, για την εξάλειψη όλων των μορφών διακρίσεων κατά των γυναικών,</w:t>
      </w:r>
    </w:p>
    <w:p w14:paraId="7011D887" w14:textId="77777777" w:rsidR="00A831ED" w:rsidRPr="00094BFA" w:rsidRDefault="00A831ED" w:rsidP="00DB3EF9">
      <w:pPr>
        <w:pStyle w:val="NormalHanging"/>
        <w:ind w:left="567" w:hanging="567"/>
      </w:pPr>
      <w:r w:rsidRPr="00094BFA">
        <w:t>–</w:t>
      </w:r>
      <w:r w:rsidRPr="00094BFA">
        <w:tab/>
        <w:t>έχοντας υπόψη το άρθρο 55 του Κανονισμού του,</w:t>
      </w:r>
    </w:p>
    <w:p w14:paraId="77ACB7BD" w14:textId="77777777" w:rsidR="00A831ED" w:rsidRPr="00094BFA" w:rsidRDefault="00A831ED" w:rsidP="00DB3EF9">
      <w:pPr>
        <w:pStyle w:val="NormalHanging"/>
        <w:ind w:left="567" w:hanging="567"/>
      </w:pPr>
      <w:r w:rsidRPr="00094BFA">
        <w:t>–</w:t>
      </w:r>
      <w:r w:rsidRPr="00094BFA">
        <w:tab/>
        <w:t>έχοντας υπόψη την έκθεση της Επιτροπής Εξωτερικών Υποθέσεων (A10-0230/2025),</w:t>
      </w:r>
    </w:p>
    <w:p w14:paraId="3811C1E0" w14:textId="77777777" w:rsidR="00A831ED" w:rsidRPr="00094BFA" w:rsidRDefault="00A831ED" w:rsidP="00DB3EF9">
      <w:pPr>
        <w:pStyle w:val="NormalHanging"/>
        <w:ind w:left="567" w:hanging="567"/>
      </w:pPr>
      <w:r w:rsidRPr="00094BFA">
        <w:t>Α.</w:t>
      </w:r>
      <w:r w:rsidRPr="00094BFA">
        <w:tab/>
        <w:t xml:space="preserve">λαμβάνοντας υπόψη ότι η Σαουδική Αραβία αποτελεί βασικό διμερή και περιφερειακό εταίρο της ΕΕ· λαμβάνοντας υπόψη ότι είναι σημαντικό να </w:t>
      </w:r>
      <w:proofErr w:type="spellStart"/>
      <w:r w:rsidRPr="00094BFA">
        <w:t>εμβαθυνθεί</w:t>
      </w:r>
      <w:proofErr w:type="spellEnd"/>
      <w:r w:rsidRPr="00094BFA">
        <w:t xml:space="preserve"> αυτή η συνεργασία με σκοπό τη σύναψη στρατηγικής εταιρικής σχέσης που θα αποσκοπεί στην ενίσχυση των διμερών σχέσεων και στην προώθηση της συνεργασίας σε διάφορους τομείς, συμπεριλαμβανομένων της άμυνας, του πολιτισμού και της καινοτομίας, αλλά κυρίως της ενέργειας·</w:t>
      </w:r>
    </w:p>
    <w:p w14:paraId="1C477DBA" w14:textId="77777777" w:rsidR="00A831ED" w:rsidRPr="00094BFA" w:rsidRDefault="00A831ED" w:rsidP="00DB3EF9">
      <w:pPr>
        <w:pStyle w:val="NormalHanging"/>
        <w:ind w:left="567" w:hanging="567"/>
      </w:pPr>
      <w:r w:rsidRPr="00094BFA">
        <w:t>Β.</w:t>
      </w:r>
      <w:r w:rsidRPr="00094BFA">
        <w:tab/>
        <w:t>λαμβάνοντας υπόψη ότι η Σαουδική Αραβία είναι ο 17ος μεγαλύτερος εμπορικός εταίρος της ΕΕ παγκοσμίως και ότι η ΕΕ είναι ο μεγαλύτερος ξένος επενδυτής της Σαουδικής Αραβίας·</w:t>
      </w:r>
    </w:p>
    <w:p w14:paraId="7DAF09C1" w14:textId="77777777" w:rsidR="00A831ED" w:rsidRPr="00094BFA" w:rsidRDefault="00A831ED" w:rsidP="00DB3EF9">
      <w:pPr>
        <w:pStyle w:val="NormalHanging"/>
        <w:ind w:left="567" w:hanging="567"/>
      </w:pPr>
      <w:r w:rsidRPr="00094BFA">
        <w:t>Γ.</w:t>
      </w:r>
      <w:r w:rsidRPr="00094BFA">
        <w:tab/>
        <w:t>λαμβάνοντας υπόψη ότι, κατά την τελευταία δεκαετία, η Σαουδική Αραβία και η Κίνα έχουν εμβαθύνει τους δεσμούς τους στο πλαίσιο του έργου «</w:t>
      </w:r>
      <w:proofErr w:type="spellStart"/>
      <w:r w:rsidRPr="00094BFA">
        <w:t>Vision</w:t>
      </w:r>
      <w:proofErr w:type="spellEnd"/>
      <w:r w:rsidRPr="00094BFA">
        <w:t xml:space="preserve"> 2030» της Σαουδικής Αραβίας, και ότι η Σαουδική Αραβία έχει καταστεί ο μεγαλύτερος αποδέκτης επενδύσεων της κινεζικής πρωτοβουλίας «Μία Ζώνη, Ένας Δρόμος», συμπεριλαμβανομένων επενδύσεων σε στρατηγικές υποδομές, όπως λιμένες και </w:t>
      </w:r>
      <w:r w:rsidRPr="00094BFA">
        <w:lastRenderedPageBreak/>
        <w:t>ψηφιακά δίκτυα· λαμβάνοντας υπόψη ότι η Κίνα είναι ο μεγαλύτερος αγοραστής αργού πετρελαίου από τη Σαουδική Αραβία από το 2019· λαμβάνοντας υπόψη ότι η Σαουδική Αραβία και η Κίνα ενίσχυσαν τη συνεργασία στους τομείς της εξωτερικής πολιτικής, της ασφάλειας, της ενέργειας, του εμπορίου και της τεχνολογίας μέσω της σύστασης μικτής επιτροπής υψηλού επιπέδου, καθώς και υποεπιτροπών, το 2016·</w:t>
      </w:r>
    </w:p>
    <w:p w14:paraId="3F16325D" w14:textId="77777777" w:rsidR="00A831ED" w:rsidRPr="00094BFA" w:rsidRDefault="00A831ED" w:rsidP="00DB3EF9">
      <w:pPr>
        <w:pStyle w:val="NormalHanging"/>
        <w:ind w:left="567" w:hanging="567"/>
      </w:pPr>
      <w:r w:rsidRPr="00094BFA">
        <w:t>Δ.</w:t>
      </w:r>
      <w:r w:rsidRPr="00094BFA">
        <w:tab/>
        <w:t>λαμβάνοντας υπόψη ότι η Σαουδική Αραβία ενισχύει τις σχέσεις της με την Ινδία, ιδίως μέσω του έργου του Οικονομικού Διαδρόμου Ινδίας-Μέσης Ανατολής-Ευρώπης (IMEC) που αποσκοπεί στη βελτίωση της συνδεσιμότητας μεταξύ Ασίας και Ευρώπης μέσω της Αραβικής Χερσονήσου·</w:t>
      </w:r>
    </w:p>
    <w:p w14:paraId="5197005C" w14:textId="77777777" w:rsidR="00A831ED" w:rsidRPr="00094BFA" w:rsidRDefault="00A831ED" w:rsidP="00DB3EF9">
      <w:pPr>
        <w:pStyle w:val="NormalHanging"/>
        <w:ind w:left="567" w:hanging="567"/>
      </w:pPr>
      <w:r w:rsidRPr="00094BFA">
        <w:t>Ε.</w:t>
      </w:r>
      <w:r w:rsidRPr="00094BFA">
        <w:tab/>
        <w:t>λαμβάνοντας υπόψη ότι η Σαουδική Αραβία εδραιώνει περαιτέρω τον ρόλο της ως περιφερειακού διαμεσολαβητή και διεθνούς παράγοντα, και ότι είναι σημαντικό να το πράξει με πλήρη σεβασμό και προαγωγή των ανθρωπίνων δικαιωμάτων και του διεθνούς δικαίου·</w:t>
      </w:r>
    </w:p>
    <w:p w14:paraId="28F5BCD0" w14:textId="77777777" w:rsidR="00A831ED" w:rsidRPr="00094BFA" w:rsidRDefault="00A831ED" w:rsidP="00DB3EF9">
      <w:pPr>
        <w:pStyle w:val="NormalHanging"/>
        <w:ind w:left="567" w:hanging="567"/>
      </w:pPr>
      <w:r w:rsidRPr="00094BFA">
        <w:t>ΣΤ.</w:t>
      </w:r>
      <w:r w:rsidRPr="00094BFA">
        <w:tab/>
        <w:t>λαμβάνοντας υπόψη ότι εκκρεμεί υπόθεση ενώπιον του Διεθνούς Δικαστηρίου (ΔΔ) σχετικά με την εφαρμογή της Σύμβασης για την πρόληψη και καταστολή του εγκλήματος της γενοκτονίας στη Λωρίδα της Γάζας (</w:t>
      </w:r>
      <w:r w:rsidRPr="00094BFA">
        <w:rPr>
          <w:iCs/>
        </w:rPr>
        <w:t>Νότια Αφρική κατά Ισραήλ</w:t>
      </w:r>
      <w:r w:rsidRPr="00094BFA">
        <w:t>), η οποία υπεβλήθη από τη Νότια Αφρική στις 29 Δεκεμβρίου 2023·</w:t>
      </w:r>
    </w:p>
    <w:p w14:paraId="765946E9" w14:textId="77777777" w:rsidR="00A831ED" w:rsidRPr="00094BFA" w:rsidRDefault="00A831ED" w:rsidP="00DB3EF9">
      <w:pPr>
        <w:pStyle w:val="NormalHanging"/>
        <w:ind w:left="567" w:hanging="567"/>
      </w:pPr>
      <w:r w:rsidRPr="00094BFA">
        <w:t>Ζ.</w:t>
      </w:r>
      <w:r w:rsidRPr="00094BFA">
        <w:tab/>
        <w:t>λαμβάνοντας υπόψη ότι η Σαουδική Αραβία ενισχύει τον διάλογο και τη συνεργασία με την ΕΕ για τα ανθρώπινα δικαιώματα·</w:t>
      </w:r>
    </w:p>
    <w:p w14:paraId="5A024032" w14:textId="77777777" w:rsidR="00A831ED" w:rsidRPr="00094BFA" w:rsidRDefault="00A831ED" w:rsidP="00DB3EF9">
      <w:pPr>
        <w:pStyle w:val="NormalHanging"/>
        <w:ind w:left="567" w:hanging="567"/>
      </w:pPr>
      <w:r w:rsidRPr="00094BFA">
        <w:t>Η.</w:t>
      </w:r>
      <w:r w:rsidRPr="00094BFA">
        <w:tab/>
        <w:t>λαμβάνοντας υπόψη ότι η προώθηση του σεβασμού των ανθρωπίνων δικαιωμάτων και του διεθνούς δικαίου στην εξωτερική πολιτική, συμπεριλαμβανομένου του εμπορίου, αποτελεί υποχρέωση της ΕΕ δυνάμει της Συνθήκης, η οποία κατοχυρώνεται στα άρθρα 3 και 21 της Συνθήκης για την Ευρωπαϊκή Ένωση·</w:t>
      </w:r>
    </w:p>
    <w:p w14:paraId="23659934" w14:textId="5C640635" w:rsidR="00A831ED" w:rsidRPr="00094BFA" w:rsidRDefault="00A831ED" w:rsidP="00DB3EF9">
      <w:pPr>
        <w:pStyle w:val="NormalHanging"/>
        <w:ind w:left="567" w:hanging="567"/>
      </w:pPr>
      <w:r w:rsidRPr="00094BFA">
        <w:t>Θ.</w:t>
      </w:r>
      <w:r w:rsidRPr="00094BFA">
        <w:tab/>
        <w:t xml:space="preserve">λαμβάνοντας υπόψη ότι η Επιτροπή των Ηνωμένων Εθνών για την εξάλειψη των διακρίσεων κατά των γυναικών, στα συμπεράσματά της του Οκτωβρίου </w:t>
      </w:r>
      <w:r w:rsidR="00DB3EF9" w:rsidRPr="00094BFA">
        <w:t xml:space="preserve">του </w:t>
      </w:r>
      <w:r w:rsidRPr="00094BFA">
        <w:t>2024 σχετικά με τη Σαουδική Αραβία, εξέφρασε ανησυχίες για τις παγιωμένες πρακτικές διακρίσεων, την παρενόχληση ακτιβιστριών και τον ευρύτερο αντίκτυπο των κατασταλτικών μέτρων, συμπεριλαμβανομένης της χρήσης της θανατικής ποινής·</w:t>
      </w:r>
    </w:p>
    <w:p w14:paraId="0BB32DF8" w14:textId="77777777" w:rsidR="00A831ED" w:rsidRPr="00094BFA" w:rsidRDefault="00A831ED" w:rsidP="00DB3EF9">
      <w:pPr>
        <w:pStyle w:val="NormalHanging"/>
        <w:ind w:left="567" w:hanging="567"/>
      </w:pPr>
      <w:r w:rsidRPr="00094BFA">
        <w:t>Ι.</w:t>
      </w:r>
      <w:r w:rsidRPr="00094BFA">
        <w:tab/>
        <w:t xml:space="preserve">λαμβάνοντας υπόψη ότι η επόμενη διάσκεψη κορυφής ΕΕ-ΣΣΠΚ, που θα πραγματοποιηθεί στο </w:t>
      </w:r>
      <w:proofErr w:type="spellStart"/>
      <w:r w:rsidRPr="00094BFA">
        <w:t>Ριάντ</w:t>
      </w:r>
      <w:proofErr w:type="spellEnd"/>
      <w:r w:rsidRPr="00094BFA">
        <w:t xml:space="preserve"> το 2026, θα είναι καίριας σημασίας για την περαιτέρω διεύρυνση του πεδίου των σχέσεων ΕΕ-Σαουδικής Αραβίας και την ενίσχυση της συνεργασίας σε κρίσιμα ζητήματα αμοιβαίου ενδιαφέροντος·</w:t>
      </w:r>
    </w:p>
    <w:p w14:paraId="73F740E8" w14:textId="77777777" w:rsidR="00A831ED" w:rsidRPr="00094BFA" w:rsidRDefault="00A831ED" w:rsidP="00DB3EF9">
      <w:pPr>
        <w:pStyle w:val="Normal12a"/>
        <w:ind w:left="567" w:hanging="567"/>
        <w:rPr>
          <w:b/>
          <w:bCs/>
        </w:rPr>
      </w:pPr>
      <w:r w:rsidRPr="00094BFA">
        <w:rPr>
          <w:b/>
          <w:bCs/>
          <w:i/>
        </w:rPr>
        <w:t>Διμερείς σχέσεις ΕΕ-Σαουδικής Αραβίας</w:t>
      </w:r>
    </w:p>
    <w:p w14:paraId="6F81FEDD" w14:textId="46688254" w:rsidR="00A831ED" w:rsidRPr="00094BFA" w:rsidRDefault="00094BFA" w:rsidP="00094BFA">
      <w:pPr>
        <w:pStyle w:val="NormalHanging12a"/>
        <w:ind w:left="570" w:hanging="570"/>
      </w:pPr>
      <w:r w:rsidRPr="00094BFA">
        <w:t>1.</w:t>
      </w:r>
      <w:r w:rsidRPr="00094BFA">
        <w:tab/>
      </w:r>
      <w:r w:rsidR="00A831ED" w:rsidRPr="00094BFA">
        <w:t xml:space="preserve">επισημαίνει τη θετική συνεργασία μεταξύ της ΕΕ και του ΣΣΠΚ, ως δύο εκ των κορυφαίων παραγόντων στη διευρυμένη Μεσόγειο, κατά την πρώτη διάσκεψη κορυφής ΕΕ-ΣΣΠΚ το 2024· επιβεβαιώνει ότι η ΕΕ αποσκοπεί στην ενίσχυση των διμερών δεσμών με κάθε χώρα του ΣΣΠΚ μέσω ΣΣΕΣ που θα αντιμετωπίσουν την τρέχουσα έλλειψη νομικά δεσμευτικού πλαισίου για τις διμερείς σχέσεις μεταξύ της ΕΕ και της Σαουδικής Αραβίας, αξιοποιώντας το δυναμικό τομέων βαθύτερης και ευρύτερης συνεργασίας, όπως η εξωτερική πολιτική και η πολιτική ασφάλειας, η δικαιοσύνη και η επιβολή του νόμου, το εμπόριο και οι επενδύσεις, η ενέργεια και το κλίμα, ο ψηφιακός μετασχηματισμός, το περιβάλλον, η έρευνα και η καινοτομία, η τεχνητή νοημοσύνη, η </w:t>
      </w:r>
      <w:r w:rsidR="00A831ED" w:rsidRPr="00094BFA">
        <w:lastRenderedPageBreak/>
        <w:t>συνδεσιμότητα, η ψηφιακή διακυβέρνηση, η εκπαίδευση, ο πολιτισμός, η έρευνα, η νεολαία και οι διαπροσωπικές επαφές, καθώς και στη διασφάλιση των ανθρωπίνων δικαιωμάτων και των μεταρρυθμίσεων στα εργασιακά δικαιώματα στις χώρες του ΣΣΠΚ·</w:t>
      </w:r>
    </w:p>
    <w:p w14:paraId="691B446A" w14:textId="1FBD90CB" w:rsidR="00A831ED" w:rsidRPr="00094BFA" w:rsidRDefault="00094BFA" w:rsidP="00094BFA">
      <w:pPr>
        <w:pStyle w:val="NormalHanging12a"/>
        <w:ind w:left="570" w:hanging="570"/>
      </w:pPr>
      <w:r w:rsidRPr="00094BFA">
        <w:t>2.</w:t>
      </w:r>
      <w:r w:rsidRPr="00094BFA">
        <w:tab/>
      </w:r>
      <w:r w:rsidR="00A831ED" w:rsidRPr="00094BFA">
        <w:t>επικροτεί την ευθυγράμμιση και συνεργασία μεταξύ της Σαουδικής Αραβίας και της ΕΕ στον τομέα της εξωτερικής πολιτικής και της πολιτικής ασφάλειας·</w:t>
      </w:r>
    </w:p>
    <w:p w14:paraId="561C9882" w14:textId="1F44715C" w:rsidR="00A831ED" w:rsidRPr="00094BFA" w:rsidRDefault="00094BFA" w:rsidP="00094BFA">
      <w:pPr>
        <w:pStyle w:val="NormalHanging12a"/>
        <w:ind w:left="570" w:hanging="570"/>
      </w:pPr>
      <w:r w:rsidRPr="00094BFA">
        <w:t>3.</w:t>
      </w:r>
      <w:r w:rsidRPr="00094BFA">
        <w:tab/>
      </w:r>
      <w:r w:rsidR="00A831ED" w:rsidRPr="00094BFA">
        <w:t>υπογραμμίζει τις δυνατότητες περαιτέρω οικονομικής συνεργασίας ΕΕ-Σαουδικής Αραβίας στους τομείς της βιώσιμης ενέργειας, των κρίσιμων πρώτων υλών, της τεχνολογίας των πληροφοριών και της επιχειρηματικότητας, επισημαίνοντας ότι η οικονομική συνεργασία μεταξύ της ΕΕ και της Σαουδικής Αραβίας αποτελεί τον ακρογωνιαίο λίθο της διμερούς σχέσης· ζητεί την ενίσχυση της συνεργασίας ΕΕ-Σαουδικής Αραβίας σε αυτούς τους τομείς· υποστηρίζει τη συμμόρφωση της Σαουδικής Αραβίας με τη νομοθεσία της ΕΕ σχετικά με τη δέουσα επιμέλεια κατά τη σύναψη οικονομικών ή επιχειρηματικών συμφωνιών στις οποίες συμμετέχουν εταιρείες που ανήκουν στο Ταμείο Δημοσίων Επενδύσεων της Σαουδικής Αραβίας ή συνδέονται με αυτό·</w:t>
      </w:r>
    </w:p>
    <w:p w14:paraId="221392B0" w14:textId="76C93007" w:rsidR="00A831ED" w:rsidRPr="00094BFA" w:rsidRDefault="00094BFA" w:rsidP="00094BFA">
      <w:pPr>
        <w:pStyle w:val="NormalHanging12a"/>
        <w:ind w:left="570" w:hanging="570"/>
      </w:pPr>
      <w:r w:rsidRPr="00094BFA">
        <w:t>4.</w:t>
      </w:r>
      <w:r w:rsidRPr="00094BFA">
        <w:tab/>
      </w:r>
      <w:r w:rsidR="00A831ED" w:rsidRPr="00094BFA">
        <w:t>τονίζει ότι η εμβάθυνση της συνεργασίας ΕΕ-Σαουδικής Αραβίας στον τομέα της ενέργειας και του εμπορίου αναμένεται να ενισχύσει τη στρατηγική αυτονομία της ΕΕ, διαφοροποιώντας, βραχυπρόθεσμα, αξιόπιστες πηγές ενεργειακού εφοδιασμού· υπογραμμίζει ότι, ενώ η Σαουδική Αραβία παραμένει βασικός παγκόσμιος παράγοντας στις αγορές ορυκτής ενέργειας, έχει επίσης ξεκινήσει μια πορεία διαφοροποίησης και βιωσιμότητας, με επενδύσεις σε ανανεώσιμες πηγές ενέργειας, ιδίως σε μεγάλης κλίμακας έργα ηλιακής ενέργειας και υδρογόνου· σημειώνει ότι η Σαουδική Αραβία συγκαταλέγεται πλέον στις 10 κορυφαίες αγορές αποθήκευσης ενέργειας παγκοσμίως, προωθώντας περαιτέρω την ηγετική της θέση στον τομέα των ανανεώσιμων πηγών ενέργειας· επισημαίνει ότι η αξιοποίηση του τεράστιου ηλιακού δυναμικού της Σαουδικής Αραβίας, σε συνδυασμό με τις προηγμένες τεχνολογίες ανανεώσιμων πηγών ενέργειας της ΕΕ, μπορούν να καταστήσουν δυνατές κοινές πρωτοβουλίες στον τομέα του πράσινου υδρογόνου, των βιώσιμων καυσίμων και των ενεργειακών υποδομών επόμενης γενιάς·</w:t>
      </w:r>
    </w:p>
    <w:p w14:paraId="63EF2D25" w14:textId="7A8260D1" w:rsidR="00A831ED" w:rsidRPr="00094BFA" w:rsidRDefault="00094BFA" w:rsidP="00094BFA">
      <w:pPr>
        <w:pStyle w:val="NormalHanging12a"/>
        <w:ind w:left="570" w:hanging="570"/>
      </w:pPr>
      <w:r w:rsidRPr="00094BFA">
        <w:t>5.</w:t>
      </w:r>
      <w:r w:rsidRPr="00094BFA">
        <w:tab/>
      </w:r>
      <w:r w:rsidR="00A831ED" w:rsidRPr="00094BFA">
        <w:t>επαναβεβαιώνει ότι η ΕΕ έχει δεσμευτεί να στηρίξει την επιδίωξη κοινωνικοοικονομικής διαφοροποίησης και μεταρρύθμισης από τη Σαουδική Αραβία, συμπεριλαμβανομένης της προώθησης της βιώσιμης ανάπτυξης·</w:t>
      </w:r>
    </w:p>
    <w:p w14:paraId="69A3E205" w14:textId="74E118D4" w:rsidR="00A831ED" w:rsidRPr="00094BFA" w:rsidRDefault="00094BFA" w:rsidP="00094BFA">
      <w:pPr>
        <w:pStyle w:val="NormalHanging12a"/>
        <w:ind w:left="570" w:hanging="570"/>
      </w:pPr>
      <w:r w:rsidRPr="00094BFA">
        <w:t>6.</w:t>
      </w:r>
      <w:r w:rsidRPr="00094BFA">
        <w:tab/>
      </w:r>
      <w:r w:rsidR="00A831ED" w:rsidRPr="00094BFA">
        <w:t xml:space="preserve">επαναβεβαιώνει ότι η ΕΕ παραμένει προσηλωμένη στην προώθηση ενός ασφαλούς, αμοιβαία επωφελούς ταξιδιωτικού διακανονισμού χωρίς υποχρέωση θεώρησης με τις υπόλοιπες πέντε χώρες του ΣΣΠΚ, προκειμένου να διασφαλιστεί η ίση μεταχείρισή τους, γεγονός που θα μπορούσε να αξιολογηθεί στο πλαίσιο της νέας στρατηγικής της ΕΕ για τις θεωρήσεις· επισημαίνει τη σημαντική οικονομική σημασία των τουριστών από τη Σαουδική Αραβία για τα κράτη μέλη της ΕΕ, ιδίως στη στήριξη καίριων τομέων όπως η φιλοξενία, το λιανικό εμπόριο και ο πολιτισμός· υπογραμμίζει ότι οι πολίτες της </w:t>
      </w:r>
      <w:r w:rsidR="00A831ED" w:rsidRPr="00094BFA">
        <w:lastRenderedPageBreak/>
        <w:t>Σαουδικής Αραβίας δεν αποτελούν πηγή παράτυπης μεταναστευτικής πίεσης</w:t>
      </w:r>
      <w:r w:rsidR="00A831ED" w:rsidRPr="00094BFA">
        <w:rPr>
          <w:rStyle w:val="FootnoteReference"/>
        </w:rPr>
        <w:footnoteReference w:customMarkFollows="1" w:id="4"/>
        <w:t>4</w:t>
      </w:r>
      <w:r w:rsidR="00A831ED" w:rsidRPr="00094BFA">
        <w:t>, και, ως εκ τούτου, καλεί την Επιτροπή και τα κράτη μέλη να εξετάσουν τη θέσπιση απαλλαγής από την υποχρέωση θεώρησης Σένγκεν, μόλις εγκριθεί ο κλιμακωτός μηχανισμός, για τη διευκόλυνση του τουρισμού, τη βελτίωση των διαπροσωπικών ανταλλαγών και την περαιτέρω ενίσχυση των οικονομικών και πολιτιστικών δεσμών μεταξύ της ΕΕ και του Βασιλείου της Σαουδικής Αραβίας·</w:t>
      </w:r>
    </w:p>
    <w:p w14:paraId="4F22C424" w14:textId="5383730A" w:rsidR="00A831ED" w:rsidRPr="00094BFA" w:rsidRDefault="00094BFA" w:rsidP="00094BFA">
      <w:pPr>
        <w:pStyle w:val="NormalHanging12a"/>
        <w:ind w:left="570" w:hanging="570"/>
      </w:pPr>
      <w:r w:rsidRPr="00094BFA">
        <w:t>7.</w:t>
      </w:r>
      <w:r w:rsidRPr="00094BFA">
        <w:tab/>
      </w:r>
      <w:r w:rsidR="00A831ED" w:rsidRPr="00094BFA">
        <w:t xml:space="preserve">καλεί την ΕΕ να διευκολύνει περαιτέρω τη ρυθμιστική συνεργασία, η οποία θα συμβάλει στις προσπάθειες της Σαουδικής Αραβίας να θεσπίσει κανόνες και διαδικασίες για την επιτυχή ενεργειακή διαφοροποίηση και κοινωνικοοικονομική μεταρρύθμιση· ενθαρρύνει την ανάπτυξη ισχυρότερων εταιρικών σχέσεων μεταξύ εκπαιδευτικών και ερευνητικών φορέων της ΕΕ και της Σαουδικής Αραβίας, μεταξύ άλλων μέσω προγραμμάτων όπως το </w:t>
      </w:r>
      <w:proofErr w:type="spellStart"/>
      <w:r w:rsidR="00A831ED" w:rsidRPr="00094BFA">
        <w:t>Erasmus</w:t>
      </w:r>
      <w:proofErr w:type="spellEnd"/>
      <w:r w:rsidR="00A831ED" w:rsidRPr="00094BFA">
        <w:t xml:space="preserve"> </w:t>
      </w:r>
      <w:proofErr w:type="spellStart"/>
      <w:r w:rsidR="00A831ED" w:rsidRPr="00094BFA">
        <w:t>Mundus</w:t>
      </w:r>
      <w:proofErr w:type="spellEnd"/>
      <w:r w:rsidR="00A831ED" w:rsidRPr="00094BFA">
        <w:t xml:space="preserve"> και το «Ορίζων Ευρώπη»· τονίζει ότι είναι σημαντικό να δημιουργηθούν οι αναγκαίες συνθήκες για την αύξηση της κινητικότητας των φοιτητών· επισημαίνει ότι η ενίσχυση των ευκαιριών ανταλλαγής για τους νέους θα συμβάλει σημαντικά στην εδραίωση της σχέσης μεταξύ της ΕΕ, της Σαουδικής Αραβίας και της περιοχής του Περσικού Κόλπου στο σύνολό της·</w:t>
      </w:r>
    </w:p>
    <w:p w14:paraId="03CB6941" w14:textId="77777777" w:rsidR="00A831ED" w:rsidRPr="00094BFA" w:rsidRDefault="00A831ED" w:rsidP="00DB3EF9">
      <w:pPr>
        <w:pStyle w:val="Normal12a"/>
        <w:ind w:left="567" w:hanging="567"/>
        <w:rPr>
          <w:b/>
          <w:bCs/>
        </w:rPr>
      </w:pPr>
      <w:r w:rsidRPr="00094BFA">
        <w:rPr>
          <w:b/>
          <w:bCs/>
          <w:i/>
        </w:rPr>
        <w:t>Προτεραιότητες και ευκαιρίες εξωτερικής πολιτικής της Σαουδικής Αραβίας για την ΕΕ</w:t>
      </w:r>
    </w:p>
    <w:p w14:paraId="2D91A3BA" w14:textId="6D904A68" w:rsidR="00A831ED" w:rsidRPr="00094BFA" w:rsidRDefault="00094BFA" w:rsidP="00094BFA">
      <w:pPr>
        <w:pStyle w:val="NormalHanging12a"/>
        <w:ind w:left="570" w:hanging="570"/>
      </w:pPr>
      <w:r w:rsidRPr="00094BFA">
        <w:t>8.</w:t>
      </w:r>
      <w:r w:rsidRPr="00094BFA">
        <w:tab/>
      </w:r>
      <w:r w:rsidR="00A831ED" w:rsidRPr="00094BFA">
        <w:t>τονίζει την αυξανόμενη σημασία της Σαουδικής Αραβίας ως διπλωματικού παράγοντα και τη σημαντική συμβολή της στην περιφερειακή και παγκόσμια σταθερότητα, ιδίως στο πλαίσιο των στρατιωτικών επιχειρήσεων που διεξάγει το Ισραήλ στη Γάζα, καθώς και όσον αφορά τις πρόσφατες εξελίξεις στη Συρία, τον Λίβανο, την Υεμένη, την Ερυθρά Θάλασσα και το Σουδάν·</w:t>
      </w:r>
    </w:p>
    <w:p w14:paraId="4742EA7D" w14:textId="1E563DDF" w:rsidR="00A831ED" w:rsidRPr="00094BFA" w:rsidRDefault="00094BFA" w:rsidP="00094BFA">
      <w:pPr>
        <w:pStyle w:val="NormalHanging12a"/>
        <w:ind w:left="570" w:hanging="570"/>
      </w:pPr>
      <w:r w:rsidRPr="00094BFA">
        <w:t>9.</w:t>
      </w:r>
      <w:r w:rsidRPr="00094BFA">
        <w:tab/>
      </w:r>
      <w:r w:rsidR="00A831ED" w:rsidRPr="00094BFA">
        <w:t xml:space="preserve">ζητεί ισχυρότερη συνεργασία στους τομείς της εξωτερικής πολιτικής και της ασφάλειας υπό το φως των περιφερειακών κλιμακώσεων· επισημαίνει ότι τόσο η κοινή ανακοίνωση για μια στρατηγική εταιρική σχέση με τον Περσικό Κόλπο όσο και η μελλοντική ΣΣΕΣ έχουν ζητήσει ισχυρότερη πολιτική συνεργασία και συνεργασία σε θέματα ασφάλειας· τονίζει ότι η συνεργασία αυτή πρέπει να βασίζεται σε μια κοινή δέσμευση για τον σεβασμό του διεθνούς δικαίου, συμπεριλαμβανομένων των ανθρωπίνων δικαιωμάτων, του διεθνούς ανθρωπιστικού δικαίου και του Χάρτη των Ηνωμένων Εθνών· εκφράζει την υποστήριξή του στην απόφαση του Συμβουλίου του Ιουλίου </w:t>
      </w:r>
      <w:r w:rsidR="00DB3EF9" w:rsidRPr="00094BFA">
        <w:t xml:space="preserve">του </w:t>
      </w:r>
      <w:r w:rsidR="00A831ED" w:rsidRPr="00094BFA">
        <w:t xml:space="preserve">2025 που εξουσιοδοτεί την Επιτροπή και την Ύπατη Εκπρόσωπο της Ένωσης για Θέματα Εξωτερικής Πολιτικής και Πολιτικής Ασφαλείας να ξεκινήσουν διαπραγματεύσεις για τη θέσπιση ΣΣΕΣ με το Βασίλειο της Σαουδικής Αραβίας· αναγνωρίζει ότι η πρωτοβουλία αυτή αποτελεί καθοριστική ευκαιρία για την προώθηση των στρατηγικών συμφερόντων της ΕΕ, την ενδυνάμωση της περιφερειακής σταθερότητας και την ενίσχυση της συνεργασίας στους τομείς της ενέργειας και της ασφάλειας· ζητεί την ισχυρή και ενεργό συμμετοχή και των δύο μερών καθ’ όλη τη διάρκεια της διαπραγματευτικής διαδικασίας, προκειμένου να διασφαλιστεί η ταχεία και έγκαιρη ολοκλήρωσή της· τονίζει ότι η ενισχυμένη συνεργασία της ΕΕ με τη </w:t>
      </w:r>
      <w:r w:rsidR="00A831ED" w:rsidRPr="00094BFA">
        <w:lastRenderedPageBreak/>
        <w:t>Σαουδική Αραβία θα πρέπει επίσης να συμβάλει στην ενίσχυση των κοινών δεσμεύσεων για ειρήνη και σταθερότητα και στην προστασία του βασισμένου σε κανόνες πολυμερούς συστήματος·</w:t>
      </w:r>
    </w:p>
    <w:p w14:paraId="6D2AA808" w14:textId="03FD0FDD" w:rsidR="00A831ED" w:rsidRPr="00094BFA" w:rsidRDefault="00094BFA" w:rsidP="00094BFA">
      <w:pPr>
        <w:pStyle w:val="NormalHanging12a"/>
        <w:ind w:left="570" w:hanging="570"/>
      </w:pPr>
      <w:r w:rsidRPr="00094BFA">
        <w:t>10.</w:t>
      </w:r>
      <w:r w:rsidRPr="00094BFA">
        <w:tab/>
      </w:r>
      <w:r w:rsidR="00A831ED" w:rsidRPr="00094BFA">
        <w:t>επισημαίνει τον σημαντικό διπλωματικό ρόλο της Σαουδικής Αραβίας, ιδίως όσον αφορά τη στήριξη της αποκλιμάκωσης στην Υεμένη, την ενίσχυση της θαλάσσιας ασφάλειας στην Ερυθρά Θάλασσα, τη φιλοξενία συνομιλιών για την Ουκρανία και τη διευκόλυνση του διαλόγου για το Σουδάν, συμβάλλοντας έτσι εποικοδομητικά στην περιφερειακή και διεθνή σταθερότητα·</w:t>
      </w:r>
    </w:p>
    <w:p w14:paraId="187D26F5" w14:textId="3BB403A8" w:rsidR="00A831ED" w:rsidRPr="00094BFA" w:rsidRDefault="00094BFA" w:rsidP="00094BFA">
      <w:pPr>
        <w:pStyle w:val="NormalHanging12a"/>
        <w:ind w:left="570" w:hanging="570"/>
      </w:pPr>
      <w:r w:rsidRPr="00094BFA">
        <w:t>11.</w:t>
      </w:r>
      <w:r w:rsidRPr="00094BFA">
        <w:tab/>
      </w:r>
      <w:r w:rsidR="00A831ED" w:rsidRPr="00094BFA">
        <w:t>καλεί τη Σαουδική Αραβία να συνεχίσει τη συνεργασία ΕΕ-Σαουδικής Αραβίας για την καταπολέμηση της τρομοκρατίας και την πρόληψη της ριζοσπαστικοποίησης, η οποία πρέπει να διεξάγεται σύμφωνα με τα διεθνή πρότυπα για τα ανθρώπινα δικαιώματα· τονίζει τη σημασία της εκτεταμένης ευθυγράμμισης ΕΕ-Σαουδικής Αραβίας σε αυτούς τους τομείς·</w:t>
      </w:r>
    </w:p>
    <w:p w14:paraId="144C35C9" w14:textId="5BFE0934" w:rsidR="00A831ED" w:rsidRPr="00094BFA" w:rsidRDefault="00094BFA" w:rsidP="00094BFA">
      <w:pPr>
        <w:pStyle w:val="NormalHanging12a"/>
        <w:ind w:left="570" w:hanging="570"/>
      </w:pPr>
      <w:r w:rsidRPr="00094BFA">
        <w:t>12.</w:t>
      </w:r>
      <w:r w:rsidRPr="00094BFA">
        <w:tab/>
      </w:r>
      <w:r w:rsidR="00A831ED" w:rsidRPr="00094BFA">
        <w:t>αναγνωρίζει τις προσπάθειες της Σαουδικής Αραβίας να ενθαρρύνει την αποκλιμάκωση σε σχέση με τις στρατιωτικές επιχειρήσεις του Ισραήλ στη Γάζα· υπενθυμίζει τη θέση που εξέφρασε στο ψήφισμά του της 11ης Σεπτεμβρίου 2025 με θέμα «Η Γάζα σε κρίσιμο σημείο: η ενωσιακή δράση για την καταπολέμηση του λιμού, η επείγουσα ανάγκη να απελευθερωθούν οι όμηροι και η πορεία προς μια λύση δύο κρατών</w:t>
      </w:r>
      <w:r w:rsidR="00A831ED" w:rsidRPr="00094BFA">
        <w:rPr>
          <w:rStyle w:val="FootnoteReference"/>
        </w:rPr>
        <w:footnoteReference w:customMarkFollows="1" w:id="5"/>
        <w:t>5</w:t>
      </w:r>
      <w:r w:rsidR="00A831ED" w:rsidRPr="00094BFA">
        <w:t>, και χαιρετίζει τη Διακήρυξη της Νέας Υόρκης για την ειρηνική διευθέτηση του ζητήματος της Παλαιστίνης και την εφαρμογή της λύσης των δύο κρατών της 29ης Ιουλίου 2025, καθώς και την έγκρισή της από τη Γενική Συνέλευση των Ηνωμένων Εθνών στις 12</w:t>
      </w:r>
      <w:r w:rsidR="00DB3EF9" w:rsidRPr="00094BFA">
        <w:t> </w:t>
      </w:r>
      <w:r w:rsidR="00A831ED" w:rsidRPr="00094BFA">
        <w:t>Σεπτεμβρίου 2025·</w:t>
      </w:r>
    </w:p>
    <w:p w14:paraId="4AB81D03" w14:textId="23FDD5C1" w:rsidR="00A831ED" w:rsidRPr="00094BFA" w:rsidRDefault="00094BFA" w:rsidP="00094BFA">
      <w:pPr>
        <w:pStyle w:val="NormalHanging12a"/>
        <w:ind w:left="570" w:hanging="570"/>
      </w:pPr>
      <w:r w:rsidRPr="00094BFA">
        <w:t>13.</w:t>
      </w:r>
      <w:r w:rsidRPr="00094BFA">
        <w:tab/>
      </w:r>
      <w:r w:rsidR="00A831ED" w:rsidRPr="00094BFA">
        <w:t>αναγνωρίζει τις προσπάθειες που καταβάλλουν η Σαουδική Αραβία και ορισμένα άλλα αραβικά κράτη για την εξομάλυνση των διπλωματικών σχέσεων με το Ισραήλ στο πλαίσιο των Συμφωνιών του Αβραάμ του 2020· καλεί την ΕΕ να στηρίξει πρωτοβουλίες που αποσκοπούν στην οικοδόμηση ευρείας περιφερειακής και διεθνούς στήριξης για ένα καλύτερο μέλλον στις αραβοϊσραηλινές σχέσεις στο ενωσιακό πλαίσιο της αποδεκτής λύσης των δύο κρατών, προκειμένου να προωθηθεί η περιφερειακή σταθερότητα·</w:t>
      </w:r>
    </w:p>
    <w:p w14:paraId="143DD063" w14:textId="4F950C18" w:rsidR="00A831ED" w:rsidRPr="00094BFA" w:rsidRDefault="00094BFA" w:rsidP="00094BFA">
      <w:pPr>
        <w:pStyle w:val="NormalHanging12a"/>
        <w:ind w:left="570" w:hanging="570"/>
      </w:pPr>
      <w:r w:rsidRPr="00094BFA">
        <w:t>14.</w:t>
      </w:r>
      <w:r w:rsidRPr="00094BFA">
        <w:tab/>
      </w:r>
      <w:r w:rsidR="00A831ED" w:rsidRPr="00094BFA">
        <w:t>επαινεί τη σημαντική διπλωματική και οικονομική στήριξη της Σαουδικής Αραβίας προς τη Συρία, μεταξύ άλλων μέσω περιφερειακών διαβουλεύσεων, καθώς και τις ευρύτερες προσπάθειες σταθεροποίησης και ανασυγκρότησης· καλεί τη Σαουδική Αραβία και τους εταίρους της στην περιοχή να βοηθήσουν τη μεταβατική συριακή κυβέρνηση να δημιουργήσει μια βιώσιμη και χωρίς αποκλεισμούς αρχιτεκτονική για την πολιτική και την ασφάλεια· τονίζει τη σημασία της διατήρησης της κυριαρχίας και της εδαφικής ακεραιότητας της Συρίας, καθώς και της συμμετοχής και της προστασίας των μειονοτήτων της Συρίας· ζητεί ενισχυμένη συνεργασία μεταξύ της ΕΕ και της Σαουδικής Αραβίας, προκειμένου να προωθηθεί μια ειρηνική και χωρίς αποκλεισμούς μετάβαση στη Συρία και να προστατευθούν οι Χριστιανοί και όλες οι κοινότητες στη Συρία, με κατοχύρωση της ασφάλειας και της θρησκευτικής ελευθερίας τους, καθώς και την προστασία της πολιτιστικής τους κληρονομιάς·</w:t>
      </w:r>
    </w:p>
    <w:p w14:paraId="227026B4" w14:textId="40712494" w:rsidR="00A831ED" w:rsidRPr="00094BFA" w:rsidRDefault="00094BFA" w:rsidP="00094BFA">
      <w:pPr>
        <w:pStyle w:val="NormalHanging12a"/>
        <w:ind w:left="570" w:hanging="570"/>
      </w:pPr>
      <w:r w:rsidRPr="00094BFA">
        <w:t>15.</w:t>
      </w:r>
      <w:r w:rsidRPr="00094BFA">
        <w:tab/>
      </w:r>
      <w:r w:rsidR="00A831ED" w:rsidRPr="00094BFA">
        <w:t xml:space="preserve">επαναβεβαιώνει τη στήριξη της ΕΕ στην πολιτική και κοινωνικοοικονομική ανασυγκρότηση του Λιβάνου και τονίζει τη σημασία της συνεργασίας ΕΕ-Σαουδικής </w:t>
      </w:r>
      <w:r w:rsidR="00A831ED" w:rsidRPr="00094BFA">
        <w:lastRenderedPageBreak/>
        <w:t xml:space="preserve">Αραβίας για την εφαρμογή του ψηφίσματος 1701 (2006) του Συμβουλίου Ασφαλείας των Ηνωμένων Εθνών, με στήριξη των λιβανικών ενόπλων δυνάμεων· χαιρετίζει τις προσπάθειες της λιβανικής κυβέρνησης και ζητεί τον αφοπλισμό της </w:t>
      </w:r>
      <w:proofErr w:type="spellStart"/>
      <w:r w:rsidR="00A831ED" w:rsidRPr="00094BFA">
        <w:t>Χεζμπολάχ</w:t>
      </w:r>
      <w:proofErr w:type="spellEnd"/>
      <w:r w:rsidR="00A831ED" w:rsidRPr="00094BFA">
        <w:t>· επαναλαμβάνει ότι είναι σημαντικό όλες οι χώρες της περιοχής να σεβαστούν την κυριαρχία και την εδαφική ακεραιότητα του Λιβάνου, καλώντας παράλληλα όλα τα μέρη να διαφυλάξουν τις ειρηνευτικές δυνάμεις της Προσωρινής Δύναμης των Ηνωμένων Εθνών στον Λίβανο (UNIFIL)·</w:t>
      </w:r>
    </w:p>
    <w:p w14:paraId="43899ED5" w14:textId="5E8F7465" w:rsidR="00A831ED" w:rsidRPr="00094BFA" w:rsidRDefault="00094BFA" w:rsidP="00094BFA">
      <w:pPr>
        <w:pStyle w:val="NormalHanging12a"/>
        <w:ind w:left="570" w:hanging="570"/>
      </w:pPr>
      <w:r w:rsidRPr="00094BFA">
        <w:t>16.</w:t>
      </w:r>
      <w:r w:rsidRPr="00094BFA">
        <w:tab/>
      </w:r>
      <w:r w:rsidR="00A831ED" w:rsidRPr="00094BFA">
        <w:t>αναγνωρίζει τον εποικοδομητικό ρόλο της Σαουδικής Αραβίας εν μέσω των σημερινών περιφερειακών εντάσεων, της αυξημένης συνεργασίας μεταξύ Σαουδικής Αραβίας και Ηνωμένων Αραβικών Εμιράτων και της σταδιακής διπλωματικής εξομάλυνσης με το Ιράν· επισημαίνει την ευθυγράμμιση ΕΕ-Σαουδικής Αραβίας όσον αφορά τον περιορισμό των δυνάμεων που ενεργούν για λογαριασμό του Ιράν και την ανάσχεση της περαιτέρω ανάπτυξης του πυρηνικού προγράμματος του Ιράν·</w:t>
      </w:r>
    </w:p>
    <w:p w14:paraId="119F2A3F" w14:textId="7CC2F720" w:rsidR="00A831ED" w:rsidRPr="00094BFA" w:rsidRDefault="00094BFA" w:rsidP="00094BFA">
      <w:pPr>
        <w:pStyle w:val="NormalHanging12a"/>
        <w:ind w:left="570" w:hanging="570"/>
      </w:pPr>
      <w:r w:rsidRPr="00094BFA">
        <w:t>17.</w:t>
      </w:r>
      <w:r w:rsidRPr="00094BFA">
        <w:tab/>
      </w:r>
      <w:r w:rsidR="00A831ED" w:rsidRPr="00094BFA">
        <w:t>επισημαίνει την κοινή προτεραιότητα ΕΕ-Σαουδικής Αραβίας για την εδραίωση μιας διαρκούς ειρήνης στην Υεμένη και επαινεί τη συνεχιζόμενη δέσμευση της Σαουδικής Αραβίας για την επίτευξη πολιτικής λύσης χωρίς αποκλεισμούς στην Υεμένη· καλεί τη Σαουδική Αραβία να στηρίξει έναν ανεξάρτητο διεθνή μηχανισμό έρευνας για τις παραβιάσεις του διεθνούς ανθρωπιστικού δικαίου στην Υεμένη μεταξύ 2015 και 2022· ενθαρρύνει την αύξηση της ανθρωπιστικής βοήθειας της ΕΕ και της Σαουδικής Αραβίας προς την Υεμένη και τις κοινές προσπάθειες των δύο μερών για την αντιμετώπιση των επιθέσεων εναντίον των εργαζομένων στον τομέα της ανθρωπιστικής βοήθειας·</w:t>
      </w:r>
    </w:p>
    <w:p w14:paraId="222476B3" w14:textId="2559B008" w:rsidR="00A831ED" w:rsidRPr="00094BFA" w:rsidRDefault="00094BFA" w:rsidP="00094BFA">
      <w:pPr>
        <w:pStyle w:val="NormalHanging12a"/>
        <w:ind w:left="570" w:hanging="570"/>
      </w:pPr>
      <w:r w:rsidRPr="00094BFA">
        <w:t>18.</w:t>
      </w:r>
      <w:r w:rsidRPr="00094BFA">
        <w:tab/>
      </w:r>
      <w:r w:rsidR="00A831ED" w:rsidRPr="00094BFA">
        <w:t xml:space="preserve">εκφράζει την ικανοποίησή του για τις συνομιλίες που πραγματοποιήθηκαν στο </w:t>
      </w:r>
      <w:proofErr w:type="spellStart"/>
      <w:r w:rsidR="00A831ED" w:rsidRPr="00094BFA">
        <w:t>Ριάντ</w:t>
      </w:r>
      <w:proofErr w:type="spellEnd"/>
      <w:r w:rsidR="00A831ED" w:rsidRPr="00094BFA">
        <w:t xml:space="preserve"> τον Ιανουάριο του 2025 με τη διαμεσολάβηση του ΟΗΕ για την κατάρτιση χάρτη πορείας για μια ειρήνη χωρίς αποκλεισμούς στην Υεμένη, οι οποίες οδήγησαν σε πρόοδο όσον αφορά τα χρονοδιαγράμματα αφοπλισμού των </w:t>
      </w:r>
      <w:proofErr w:type="spellStart"/>
      <w:r w:rsidR="00A831ED" w:rsidRPr="00094BFA">
        <w:t>Χούθι</w:t>
      </w:r>
      <w:proofErr w:type="spellEnd"/>
      <w:r w:rsidR="00A831ED" w:rsidRPr="00094BFA">
        <w:t>· σημειώνει ότι αυτά εξακολουθούν να εξαρτώνται από την οικονομική βοήθεια της Σαουδικής Αραβίας·</w:t>
      </w:r>
    </w:p>
    <w:p w14:paraId="6BEA7343" w14:textId="001449A3" w:rsidR="00A831ED" w:rsidRPr="00094BFA" w:rsidRDefault="00094BFA" w:rsidP="00094BFA">
      <w:pPr>
        <w:pStyle w:val="NormalHanging12a"/>
        <w:ind w:left="570" w:hanging="570"/>
      </w:pPr>
      <w:r w:rsidRPr="00094BFA">
        <w:t>19.</w:t>
      </w:r>
      <w:r w:rsidRPr="00094BFA">
        <w:tab/>
      </w:r>
      <w:r w:rsidR="00A831ED" w:rsidRPr="00094BFA">
        <w:t xml:space="preserve">τονίζει την αταλάντευτη δέσμευση της ΕΕ να διασφαλίσει την προστασία των θαλάσσιων οδών και των διεθνών δικαιωμάτων ναυσιπλοΐας στην Ερυθρά Θάλασσα· επισημαίνει τη δέσμευση της Σαουδικής Αραβίας για την ασφάλεια στη θάλασσα και ζητεί στενότερη πολιτική συνεργασία και συνεργασία στον τομέα των πληροφοριών με την επιχείρηση </w:t>
      </w:r>
      <w:proofErr w:type="spellStart"/>
      <w:r w:rsidR="00A831ED" w:rsidRPr="00094BFA">
        <w:t>Aspides</w:t>
      </w:r>
      <w:proofErr w:type="spellEnd"/>
      <w:r w:rsidR="00A831ED" w:rsidRPr="00094BFA">
        <w:t xml:space="preserve"> της Ναυτικής Δύναμης της ΕΕ και με τα κράτη μέλη της ΕΕ ευρύτερα·</w:t>
      </w:r>
    </w:p>
    <w:p w14:paraId="1C54C10F" w14:textId="1B82B2DB" w:rsidR="00A831ED" w:rsidRPr="00094BFA" w:rsidRDefault="00094BFA" w:rsidP="00094BFA">
      <w:pPr>
        <w:pStyle w:val="NormalHanging12a"/>
        <w:ind w:left="570" w:hanging="570"/>
      </w:pPr>
      <w:r w:rsidRPr="00094BFA">
        <w:t>20.</w:t>
      </w:r>
      <w:r w:rsidRPr="00094BFA">
        <w:tab/>
      </w:r>
      <w:r w:rsidR="00A831ED" w:rsidRPr="00094BFA">
        <w:t>χαιρετίζει τη συμμετοχή της Σαουδικής Αραβίας στη διοργάνωση των διαπραγματεύσεων για την κατάπαυση του πυρός στην Ουκρανία· παροτρύνει τη Σαουδική Αραβία να συνεργαστεί στενότερα με τους εταίρους της για τη στήριξη των κυρώσεων κατά της Ρωσικής Ομοσπονδίας και να λάβει μέτρα για να συμβάλει στον τερματισμό των δραστηριοτήτων του ρωσικού σκιώδους στόλου·</w:t>
      </w:r>
    </w:p>
    <w:p w14:paraId="7A7F2FB1" w14:textId="1DC7F806" w:rsidR="00A831ED" w:rsidRPr="00094BFA" w:rsidRDefault="00094BFA" w:rsidP="00094BFA">
      <w:pPr>
        <w:pStyle w:val="NormalHanging12a"/>
        <w:ind w:left="570" w:hanging="570"/>
      </w:pPr>
      <w:r w:rsidRPr="00094BFA">
        <w:t>21.</w:t>
      </w:r>
      <w:r w:rsidRPr="00094BFA">
        <w:tab/>
      </w:r>
      <w:r w:rsidR="00A831ED" w:rsidRPr="00094BFA">
        <w:t>σημειώνει τη δέσμευση της Σαουδικής Αραβίας να επενδύσει 600 δισεκατομμύρια δολάρια ΗΠΑ στις Ηνωμένες Πολιτείες, καθώς και τη δέσμευσή της για αμυντική συμφωνία και στρατηγική συνεργασία στον τομέα των αναδυόμενων τεχνολογιών·</w:t>
      </w:r>
    </w:p>
    <w:p w14:paraId="7C5591EF" w14:textId="7BB65AD8" w:rsidR="00A831ED" w:rsidRPr="00094BFA" w:rsidRDefault="00094BFA" w:rsidP="00094BFA">
      <w:pPr>
        <w:pStyle w:val="NormalHanging12a"/>
        <w:ind w:left="570" w:hanging="570"/>
      </w:pPr>
      <w:r w:rsidRPr="00094BFA">
        <w:t>22.</w:t>
      </w:r>
      <w:r w:rsidRPr="00094BFA">
        <w:tab/>
      </w:r>
      <w:r w:rsidR="00A831ED" w:rsidRPr="00094BFA">
        <w:t xml:space="preserve">αναγνωρίζει τον ρόλο της Σαουδικής Αραβίας στην ενίσχυση της πολυμερούς συνεργασίας, μεταξύ άλλων μέσω της αυξανόμενης ανάμειξής της στην Αφρική, ιδίως στο </w:t>
      </w:r>
      <w:proofErr w:type="spellStart"/>
      <w:r w:rsidR="00A831ED" w:rsidRPr="00094BFA">
        <w:t>Σαχέλ</w:t>
      </w:r>
      <w:proofErr w:type="spellEnd"/>
      <w:r w:rsidR="00A831ED" w:rsidRPr="00094BFA">
        <w:t xml:space="preserve">, και την Ασία· ζητεί στενότερο συντονισμό ΕΕ-Σαουδικής Αραβίας όσον </w:t>
      </w:r>
      <w:r w:rsidR="00A831ED" w:rsidRPr="00094BFA">
        <w:lastRenderedPageBreak/>
        <w:t xml:space="preserve">αφορά την ενεργειακή συνεργασία, την ανάπτυξη διαπεριφερειακών υποδομών, την ανάπτυξη ικανοτήτων, τη δημιουργία ανθρώπινου κεφαλαίου, τα χρηματοδοτικά μέσα και τους επενδυτικούς μηχανισμούς σε ολόκληρη την αφρικανική ήπειρο· τονίζει τη σημασία της ενσωμάτωσης έργων υπό την ηγεσία της Σαουδικής Αραβίας στα ενωσιακά πλαίσια, συμπεριλαμβανομένης της πρωτοβουλίας </w:t>
      </w:r>
      <w:proofErr w:type="spellStart"/>
      <w:r w:rsidR="00A831ED" w:rsidRPr="00094BFA">
        <w:t>Global</w:t>
      </w:r>
      <w:proofErr w:type="spellEnd"/>
      <w:r w:rsidR="00A831ED" w:rsidRPr="00094BFA">
        <w:t xml:space="preserve"> </w:t>
      </w:r>
      <w:proofErr w:type="spellStart"/>
      <w:r w:rsidR="00A831ED" w:rsidRPr="00094BFA">
        <w:t>Gateway</w:t>
      </w:r>
      <w:proofErr w:type="spellEnd"/>
      <w:r w:rsidR="00A831ED" w:rsidRPr="00094BFA">
        <w:t>·</w:t>
      </w:r>
    </w:p>
    <w:p w14:paraId="79CC68BE" w14:textId="274E238B" w:rsidR="00A831ED" w:rsidRPr="00094BFA" w:rsidRDefault="00094BFA" w:rsidP="00094BFA">
      <w:pPr>
        <w:pStyle w:val="NormalHanging12a"/>
        <w:ind w:left="570" w:hanging="570"/>
      </w:pPr>
      <w:r w:rsidRPr="00094BFA">
        <w:t>23.</w:t>
      </w:r>
      <w:r w:rsidRPr="00094BFA">
        <w:tab/>
      </w:r>
      <w:r w:rsidR="00A831ED" w:rsidRPr="00094BFA">
        <w:t>σημειώνει ότι η Σαουδική Αραβία έχει προσκληθεί επίσημα να γίνει μέλος της ομάδας χωρών BRICS· σημειώνει ότι η προσέγγιση των χωρών BRICS από τη Σαουδική Αραβία αντικατοπτρίζει μια τάση προς διαφοροποιημένες συμμαχίες· καλεί την ΕΕ να συνεργαστεί εποικοδομητικά με τη Σαουδική Αραβία σε πολυμερή φόρουμ για την προστασία των αμοιβαίων εμπορικών και επενδυτικών συμφερόντων·</w:t>
      </w:r>
    </w:p>
    <w:p w14:paraId="31DB4905" w14:textId="4CEFD1BD" w:rsidR="00A831ED" w:rsidRPr="00094BFA" w:rsidRDefault="00094BFA" w:rsidP="00094BFA">
      <w:pPr>
        <w:pStyle w:val="NormalHanging12a"/>
        <w:ind w:left="570" w:hanging="570"/>
      </w:pPr>
      <w:r w:rsidRPr="00094BFA">
        <w:t>24.</w:t>
      </w:r>
      <w:r w:rsidRPr="00094BFA">
        <w:tab/>
      </w:r>
      <w:r w:rsidR="00A831ED" w:rsidRPr="00094BFA">
        <w:t xml:space="preserve">σημειώνει την ενίσχυση των διμερών σχέσεων μεταξύ της Σαουδικής Αραβίας και της Τουρκίας, ιδίως στους τομείς της ασφάλειας και της άμυνας· καλεί τη Σαουδική Αραβία να αξιοποιήσει τη σχέση αυτή ώστε να πείσει την Τουρκία να συμβάλει εποικοδομητικά στην ειρηνευτική διαδικασία στη Μέση Ανατολή, αναγνωρίζοντας τη </w:t>
      </w:r>
      <w:proofErr w:type="spellStart"/>
      <w:r w:rsidR="00A831ED" w:rsidRPr="00094BFA">
        <w:t>Χαμάς</w:t>
      </w:r>
      <w:proofErr w:type="spellEnd"/>
      <w:r w:rsidR="00A831ED" w:rsidRPr="00094BFA">
        <w:t xml:space="preserve"> ως τρομοκρατική οργάνωση και διακόπτοντας την πολιτική, οικονομική και υλικοτεχνική στήριξη·</w:t>
      </w:r>
    </w:p>
    <w:p w14:paraId="448D125E" w14:textId="022E7FF7" w:rsidR="00A831ED" w:rsidRPr="00094BFA" w:rsidRDefault="00094BFA" w:rsidP="00094BFA">
      <w:pPr>
        <w:pStyle w:val="NormalHanging12a"/>
        <w:ind w:left="570" w:hanging="570"/>
      </w:pPr>
      <w:r w:rsidRPr="00094BFA">
        <w:t>25.</w:t>
      </w:r>
      <w:r w:rsidRPr="00094BFA">
        <w:tab/>
      </w:r>
      <w:r w:rsidR="00A831ED" w:rsidRPr="00094BFA">
        <w:t>χαιρετίζει τη σταθερή θέση της Σαουδικής Αραβίας για ταξινόμηση της Μουσουλμανικής Αδελφότητας ως τρομοκρατικής οργάνωσης και καλεί την ΕΕ και τα κράτη μέλη της να ακολουθήσουν το παράδειγμά της και να αναγνωρίσουν τη Μουσουλμανική Αδελφότητα ως τρομοκρατική οργάνωση·</w:t>
      </w:r>
    </w:p>
    <w:p w14:paraId="730679E9" w14:textId="77777777" w:rsidR="00A831ED" w:rsidRPr="00094BFA" w:rsidRDefault="00A831ED" w:rsidP="00DB3EF9">
      <w:pPr>
        <w:pStyle w:val="Normal12a"/>
        <w:ind w:left="567" w:hanging="567"/>
        <w:rPr>
          <w:b/>
          <w:bCs/>
        </w:rPr>
      </w:pPr>
      <w:r w:rsidRPr="00094BFA">
        <w:rPr>
          <w:b/>
          <w:bCs/>
          <w:i/>
        </w:rPr>
        <w:t>Κοινωνικοοικονομικός μετασχηματισμός της Σαουδικής Αραβίας και ευκαιρίες για την ΕΕ</w:t>
      </w:r>
    </w:p>
    <w:p w14:paraId="5A7FD0B6" w14:textId="4133FAEF" w:rsidR="00A831ED" w:rsidRPr="00094BFA" w:rsidRDefault="00094BFA" w:rsidP="00094BFA">
      <w:pPr>
        <w:pStyle w:val="NormalHanging12a"/>
        <w:ind w:left="570" w:hanging="570"/>
      </w:pPr>
      <w:r w:rsidRPr="00094BFA">
        <w:t>26.</w:t>
      </w:r>
      <w:r w:rsidRPr="00094BFA">
        <w:tab/>
      </w:r>
      <w:r w:rsidR="00A831ED" w:rsidRPr="00094BFA">
        <w:t>χαιρετίζει τα φιλόδοξα σχέδια της Σαουδικής Αραβίας αναφορικά με το «Όραμα για το 2030», στα οποία περιγράφονται ουσιαστικές κοινωνικοοικονομικές μεταρρυθμίσεις για τον εκσυγχρονισμό της χώρας και των θεσμών της, και για τη διαφοροποίηση της οικονομίας·</w:t>
      </w:r>
    </w:p>
    <w:p w14:paraId="7476B3B3" w14:textId="2D2D62CC" w:rsidR="00A831ED" w:rsidRPr="00094BFA" w:rsidRDefault="00094BFA" w:rsidP="00094BFA">
      <w:pPr>
        <w:pStyle w:val="NormalHanging12a"/>
        <w:ind w:left="570" w:hanging="570"/>
      </w:pPr>
      <w:r w:rsidRPr="00094BFA">
        <w:t>27.</w:t>
      </w:r>
      <w:r w:rsidRPr="00094BFA">
        <w:tab/>
      </w:r>
      <w:r w:rsidR="00A831ED" w:rsidRPr="00094BFA">
        <w:t>καλεί τη Σαουδική Αραβία να αναδιαμορφώσει το ενεργειακό της τοπίο και να στραφεί προς τις ανανεώσιμες πηγές ενέργειας και το πράσινο υδρογόνο στο πλαίσιο των σχεδίων της αναφορικά με το «Όραμα για το 2030»· καλεί τη Σαουδική Αραβία να τηρήσει τις δεσμεύσεις της στο πλαίσιο της συμφωνίας του Παρισιού και σύμφωνα με τη γνώμη εμπειρογνωμόνων του ΟΗΕ· σημειώνει ότι η ΕΕ είναι έτοιμη να συνεργαστεί με τους ομολόγους της από τη Σαουδική Αραβία σε έργα που προωθούν τους περιβαλλοντικούς στόχους και των δύο περιοχών· επισημαίνει τη δέσμευση του Βασιλείου της Σαουδικής Αραβίας ως προς την ενεργειακή μετάβαση, υπενθυμίζοντας τη δέσμευσή του να επιτύχει μηδενικές καθαρές εκπομπές έως το 2060 και να παράγει το 50 % της ηλεκτρικής του ενέργειας από ανανεώσιμες πηγές έως το 2030· χαιρετίζει, στο πλαίσιο αυτό, το εμβληματικό έργο της Σαουδικής Αραβίας για την παραγωγή τεσσάρων εκατομμυρίων τόνων καθαρού υδρογόνου ετησίως έως το 2030·</w:t>
      </w:r>
    </w:p>
    <w:p w14:paraId="08D8D537" w14:textId="0579D001" w:rsidR="00A831ED" w:rsidRPr="00094BFA" w:rsidRDefault="00094BFA" w:rsidP="00094BFA">
      <w:pPr>
        <w:pStyle w:val="NormalHanging12a"/>
        <w:ind w:left="570" w:hanging="570"/>
      </w:pPr>
      <w:r w:rsidRPr="00094BFA">
        <w:t>28.</w:t>
      </w:r>
      <w:r w:rsidRPr="00094BFA">
        <w:tab/>
      </w:r>
      <w:r w:rsidR="00A831ED" w:rsidRPr="00094BFA">
        <w:t>υπογραμμίζει τον ρόλο της Σαουδικής Αραβίας ως όλο και πιο σημαντικού παράγοντα στις αλυσίδες εφοδιασμού ορυκτών και τις προσπάθειές της να ευθυγραμμιστεί με τις διεθνείς βέλτιστες πρακτικές· τονίζει ότι η διεύρυνση του πεδίου συνεργασίας ΕΕ-Σαουδικής Αραβίας σε αυτόν τον τομέα θα είναι καίριας σημασίας για την περαιτέρω εδραίωση της στρατηγικής ελαχιστοποίησης των κινδύνων της ΕΕ στο πλαίσιο αυτό και την προσπάθειά της να διαφοροποιήσει τον εφοδιασμό της σε πρώτες ύλες·</w:t>
      </w:r>
    </w:p>
    <w:p w14:paraId="017843C6" w14:textId="7C1D274E" w:rsidR="00A831ED" w:rsidRPr="00094BFA" w:rsidRDefault="00094BFA" w:rsidP="00094BFA">
      <w:pPr>
        <w:pStyle w:val="NormalHanging12a"/>
        <w:ind w:left="570" w:hanging="570"/>
      </w:pPr>
      <w:r w:rsidRPr="00094BFA">
        <w:lastRenderedPageBreak/>
        <w:t>29.</w:t>
      </w:r>
      <w:r w:rsidRPr="00094BFA">
        <w:tab/>
      </w:r>
      <w:r w:rsidR="00A831ED" w:rsidRPr="00094BFA">
        <w:t>αναγνωρίζει ότι η Σαουδική Αραβία έχει σημειώσει πρόοδο όσον αφορά την αντιμετώπιση του υψηλού ποσοστού ανεργίας των νέων, μειώνοντάς το από 35,01 % το 2006 σε 16 % το 2023· συνιστά στη Σαουδική Αραβία να συνεχίσει να δίνει προτεραιότητα στο ζήτημα αυτό·</w:t>
      </w:r>
    </w:p>
    <w:p w14:paraId="7DCCBD85" w14:textId="479361D6" w:rsidR="00A831ED" w:rsidRPr="00094BFA" w:rsidRDefault="00094BFA" w:rsidP="00094BFA">
      <w:pPr>
        <w:pStyle w:val="NormalHanging12a"/>
        <w:ind w:left="570" w:hanging="570"/>
      </w:pPr>
      <w:r w:rsidRPr="00094BFA">
        <w:t>30.</w:t>
      </w:r>
      <w:r w:rsidRPr="00094BFA">
        <w:tab/>
      </w:r>
      <w:r w:rsidR="00A831ED" w:rsidRPr="00094BFA">
        <w:t>χαιρετίζει την προσέγγιση των αρχών της Σαουδικής Αραβίας όσον αφορά την υιοθέτηση μεγαλύτερης ανεκτικότητας και την απομάκρυνση από τις περιοριστικές θρησκευτικές πολιτικές· σημειώνει την άμεση σχέση μεταξύ ανεκτικότητας και βιώσιμης οικονομικής ανάπτυξης, υπογραμμίζοντας ότι ο ανοικτός χαρακτήρας και η έλλειψη διαχωρισμών δημιουργούν ευνοϊκές συνθήκες για καινοτομία, επενδύσεις και κοινωνική πρόοδο· επαινεί τις θετικές μεταρρυθμίσεις στα προγράμματα σπουδών που πραγματοποιήθηκαν στη Σαουδική Αραβία, ιδίως την αφαίρεση μεροληπτικού θρησκευτικού περιεχομένου, ενθαρρύνοντας παράλληλα την περαιτέρω πρόοδο στο θέμα αυτό· ενθαρρύνει τη Σαουδική Αραβία να συνεχίσει τις μεταρρυθμίσεις αυτές·</w:t>
      </w:r>
    </w:p>
    <w:p w14:paraId="328F992B" w14:textId="1758DFEE" w:rsidR="00A831ED" w:rsidRPr="00094BFA" w:rsidRDefault="00094BFA" w:rsidP="00094BFA">
      <w:pPr>
        <w:pStyle w:val="NormalHanging12a"/>
        <w:ind w:left="570" w:hanging="570"/>
      </w:pPr>
      <w:r w:rsidRPr="00094BFA">
        <w:t>31.</w:t>
      </w:r>
      <w:r w:rsidRPr="00094BFA">
        <w:tab/>
      </w:r>
      <w:r w:rsidR="00A831ED" w:rsidRPr="00094BFA">
        <w:t>επισημαίνει τη σημαντική πρόοδο που έχει σημειώσει η Σαουδική Αραβία όσον αφορά τη συμμετοχή των γυναικών στο εργατικό δυναμικό, το οποίο έχει αυξηθεί στο 36 %, και το γεγονός ότι χορηγήθηκε το δικαίωμα στις γυναίκες να οδηγούν και να ταξιδεύουν χωρίς ανδρική κηδεμονία· υπογραμμίζει ότι η συμμετοχή των γυναικών στο εργατικό δυναμικό στη Σαουδική Αραβία έχει υπερδιπλασιαστεί από το 2017· σημειώνει ότι οι γυναίκες της Σαουδικής Αραβίας κατέχουν πλέον το 45 % των μικρών και μεσαίων επιχειρήσεων και το 17 % του συνόλου των επιχειρήσεων· θεωρεί ότι οι εξελίξεις αυτές αποτυπώνουν τον αντίκτυπο των νομικών μεταρρυθμίσεων που έχουν θεσπιστεί από το 2018, περιλαμβανομένης της άρσης της απαγόρευσης οδήγησης</w:t>
      </w:r>
      <w:r w:rsidR="00A831ED" w:rsidRPr="00094BFA">
        <w:rPr>
          <w:rStyle w:val="FootnoteReference"/>
        </w:rPr>
        <w:footnoteReference w:customMarkFollows="1" w:id="6"/>
        <w:t>6</w:t>
      </w:r>
      <w:r w:rsidR="00A831ED" w:rsidRPr="00094BFA">
        <w:t xml:space="preserve">, της έγκρισης νόμου κατά της παρενόχλησης και των νέων ρυθμίσεων για το προσωπικό καθεστώς που αυξάνουν την ελάχιστη ηλικία γάμου στα 18 έτη και ενισχύουν την αυτονομία των γυναικών· επισημαίνει τα επιτεύγματα αυτά και ενθαρρύνει τη συνέχιση των μεταρρυθμίσεων που αποσκοπούν στην περαιτέρω προώθηση των δικαιωμάτων των γυναικών και της συμμετοχής τους στον δημόσιο βίο, με τις γυναίκες να αντιπροσωπεύουν επί του παρόντος το 41 % της δημόσιας διοίκησης – συμπεριλαμβανομένων των ανώτερων διπλωματικών θέσεων – και το 20 % των μελών του Συμβουλίου </w:t>
      </w:r>
      <w:proofErr w:type="spellStart"/>
      <w:r w:rsidR="00A831ED" w:rsidRPr="00094BFA">
        <w:t>Shura</w:t>
      </w:r>
      <w:proofErr w:type="spellEnd"/>
      <w:r w:rsidR="00A831ED" w:rsidRPr="00094BFA">
        <w:t>, ενώ υπήρξε και η πρώτη Μουσουλμάνα από τη Σαουδική Αραβία που ταξίδεψε στο διάστημα· σημειώνει ότι, παρά την πρόοδο, εξακολουθούν να υπάρχουν προκλήσεις, μεταξύ άλλων όσον αφορά τον νόμο για την προσωπική κατάσταση και την ανισότητα μεταξύ ανδρών και γυναικών στον γάμο, το διαζύγιο, την επιμέλεια των παιδιών, την κληρονομιά και τα δικαιώματα ιδιοκτησίας·</w:t>
      </w:r>
    </w:p>
    <w:p w14:paraId="49F3E3C2" w14:textId="302BB203" w:rsidR="00A831ED" w:rsidRPr="00094BFA" w:rsidRDefault="00094BFA" w:rsidP="00094BFA">
      <w:pPr>
        <w:pStyle w:val="NormalHanging12a"/>
        <w:ind w:left="570" w:hanging="570"/>
      </w:pPr>
      <w:r w:rsidRPr="00094BFA">
        <w:t>32.</w:t>
      </w:r>
      <w:r w:rsidRPr="00094BFA">
        <w:tab/>
      </w:r>
      <w:r w:rsidR="00A831ED" w:rsidRPr="00094BFA">
        <w:t xml:space="preserve">σημειώνει ότι η Σαουδική Αραβία έχει δρομολογήσει μια σειρά φιλόδοξων έργων υποδομής πριν φιλοξενήσει την EXPO 2030 και το Παγκόσμιο Κύπελλο FIFA το 2034· βασίζεται στην ικανότητα της κυβέρνησης της Σαουδικής Αραβίας να εγγυηθεί τα δικαιώματα των εργαζομένων όσον αφορά την ελευθερία του συνεταιρίζεσθαι, και τονίζει ότι παραμένουν οι ανησυχίες σχετικά με τη μεταχείριση και τα δικαιώματα των εργαζομένων, καθώς και σχετικά με το ποσοστό θανάτων μεταναστών σε ατυχήματα που σχετίζονται με τον χώρο εργασίας στη Σαουδική Αραβία· αναγνωρίζει τις μεταρρυθμίσεις που θεσπίστηκαν στο πλαίσιο της πρωτοβουλίας της Σαουδικής Αραβίας για την εργασιακή μεταρρύθμιση, καλώντας παράλληλα τη Σαουδική Αραβία να διασφαλίσει την πλήρη εφαρμογή της κατάργησης του συστήματος χορηγίας </w:t>
      </w:r>
      <w:proofErr w:type="spellStart"/>
      <w:r w:rsidR="00A831ED" w:rsidRPr="00094BFA">
        <w:t>Kafala</w:t>
      </w:r>
      <w:proofErr w:type="spellEnd"/>
      <w:r w:rsidR="00A831ED" w:rsidRPr="00094BFA">
        <w:t xml:space="preserve"> </w:t>
      </w:r>
      <w:r w:rsidR="00A831ED" w:rsidRPr="00094BFA">
        <w:lastRenderedPageBreak/>
        <w:t>το 2025 και να εγγυηθεί τα δικαιώματα των εργαζομένων να απεργούν και να συμμετέχουν σε συλλογικές διαπραγματεύσεις· αναμένει από τη Σαουδική Αραβία να αξιοποιήσει την ευκαιρία που προσφέρει το Παγκόσμιο Κύπελλο FIFA του 2034 και να συνεχίσει να εφαρμόζει μεταρρυθμίσεις έως τότε· παροτρύνει τη Σαουδική Αραβία να συμμορφωθεί με τη νομοθεσία της ΕΕ για τη δέουσα επιμέλεια και την παρακολούθηση των εταιρειών πρόσληψης, ώστε να εξασφαλίσει ότι καλύπτουν όλες τις δαπάνες και τις αμοιβές που σχετίζονται με την πρόσληψη εργαζομένων και να θεσπίσει μέτρα για την επιστροφή των παράνομων αμοιβών πρόσληψης που έχουν καταβάλει εργαζόμενοι·</w:t>
      </w:r>
    </w:p>
    <w:p w14:paraId="2C755ADA" w14:textId="675E8546" w:rsidR="00A831ED" w:rsidRPr="00094BFA" w:rsidRDefault="00094BFA" w:rsidP="00094BFA">
      <w:pPr>
        <w:pStyle w:val="NormalHanging12a"/>
        <w:ind w:left="570" w:hanging="570"/>
      </w:pPr>
      <w:r w:rsidRPr="00094BFA">
        <w:t>33.</w:t>
      </w:r>
      <w:r w:rsidRPr="00094BFA">
        <w:tab/>
      </w:r>
      <w:r w:rsidR="00A831ED" w:rsidRPr="00094BFA">
        <w:t xml:space="preserve">αναγνωρίζει τις ευκαιρίες και τα συγκλίνοντα συμφέροντα που εξυπηρετεί η συνεργασία ΕΕ-Σαουδικής Αραβίας στο πλαίσιο της στρατηγικής εταιρικής σχέσης ΕΕ-ΣΣΠΕ και μέσω της πρωτοβουλίας της </w:t>
      </w:r>
      <w:proofErr w:type="spellStart"/>
      <w:r w:rsidR="00A831ED" w:rsidRPr="00094BFA">
        <w:t>Global</w:t>
      </w:r>
      <w:proofErr w:type="spellEnd"/>
      <w:r w:rsidR="00A831ED" w:rsidRPr="00094BFA">
        <w:t xml:space="preserve"> </w:t>
      </w:r>
      <w:proofErr w:type="spellStart"/>
      <w:r w:rsidR="00A831ED" w:rsidRPr="00094BFA">
        <w:t>Gateway</w:t>
      </w:r>
      <w:proofErr w:type="spellEnd"/>
      <w:r w:rsidR="00A831ED" w:rsidRPr="00094BFA">
        <w:t xml:space="preserve"> της ΕΕ για τον οικονομικό διάδρομο Ινδίας-Μέσης Ανατολής-Ευρώπης, η οποία αναμένεται να οδηγήσει σε επενδύσεις σε καλώδια ηλεκτρικής ενέργειας, υποθαλάσσιες τηλεπικοινωνίες και καλώδια μεταφοράς δεδομένων, καθώς και σε αγωγούς για πράσινο υδρογόνο· αξιολογεί τις δυνατότητες σύνδεσης της ΕΕ μέσω πολυτροπικών συνδέσεων μεταφορών· σημειώνει τη συμμετοχή των Ηνωμένων Πολιτειών· ζητεί επιτακτικά να αντιμετωπιστεί το χρηματοδοτικό κενό του οικονομικού διαδρόμου Ινδίας-Μέσης Ανατολής-Ευρώπης (IMEC) μέσω επενδύσεων της ΕΕ, των ΗΠΑ και του Περσικού Κόλπου και να προωθηθεί η ανάπτυξη βιώσιμων υποδομών· τονίζει τη στρατηγική σημασία του IMEC ως παράγοντα μετασχηματισμού όσον αφορά την περιφερειακή συνδεσιμότητα, την οικονομική ολοκλήρωση και τη γεωπολιτική συνεργασία· σημειώνει τις δυνατότητες διεύρυνσης της συνεργασίας σε στρατηγικές ψηφιακές υποδομές, περιλαμβανομένων των διαφοροποιημένων και ασφαλών οδών δεδομένων που συνδέουν τον Κόλπο και την Ευρώπη, με κοινό στόχο την ενίσχυση της ψηφιακής ανθεκτικότητας της Ευρώπης, την ασφάλεια των δεδομένων της και τη συνδεσιμότητά της με την Ασία και την Αφρική· αναγνωρίζει τις συνεχιζόμενες προσπάθειες του Ευρωπαϊκού Εμπορικού Επιμελητηρίου στο Βασίλειο της Σαουδικής Αραβίας για προώθηση της συνεργασίας μεταξύ των ευρωπαϊκών εταιρειών και της Σαουδικής Αραβίας στις υποδομές μεταφορών και εφοδιαστικής, σύμφωνα με τη νομοθεσία της ΕΕ για τη δέουσα επιμέλεια·</w:t>
      </w:r>
    </w:p>
    <w:p w14:paraId="2D2B1AB7" w14:textId="77777777" w:rsidR="00A831ED" w:rsidRPr="00094BFA" w:rsidRDefault="00A831ED" w:rsidP="00DB3EF9">
      <w:pPr>
        <w:pStyle w:val="Normal12a"/>
        <w:ind w:left="567" w:hanging="567"/>
      </w:pPr>
      <w:r w:rsidRPr="00094BFA">
        <w:rPr>
          <w:b/>
          <w:i/>
        </w:rPr>
        <w:t xml:space="preserve">Ανθρώπινα δικαιώματα </w:t>
      </w:r>
    </w:p>
    <w:p w14:paraId="69AC96D3" w14:textId="08DED358" w:rsidR="00A831ED" w:rsidRPr="00094BFA" w:rsidRDefault="00094BFA" w:rsidP="00094BFA">
      <w:pPr>
        <w:pStyle w:val="NormalHanging12a"/>
        <w:ind w:left="570" w:hanging="570"/>
      </w:pPr>
      <w:r w:rsidRPr="00094BFA">
        <w:t>34.</w:t>
      </w:r>
      <w:r w:rsidRPr="00094BFA">
        <w:tab/>
      </w:r>
      <w:r w:rsidR="00A831ED" w:rsidRPr="00094BFA">
        <w:t xml:space="preserve">ζητεί στενότερη συνεργασία μεταξύ της ΕΕ και της Σαουδικής Αραβίας στον τομέα των ανθρωπίνων δικαιωμάτων· εκφράζει την ικανοποίησή του για τους διαλόγους ΕΕ-Βασιλείου της Σαουδικής Αραβίας για τα ανθρώπινα δικαιώματα υπό την καθοδήγηση της Επιτροπής Ανθρωπίνων Δικαιωμάτων της Σαουδικής Αραβίας και του Ειδικού Εντεταλμένου της ΕΕ για τα ανθρώπινα δικαιώματα, ενώ ο τέταρτος διάλογος για τα ανθρώπινα δικαιώματα πραγματοποιήθηκε στο </w:t>
      </w:r>
      <w:proofErr w:type="spellStart"/>
      <w:r w:rsidR="00A831ED" w:rsidRPr="00094BFA">
        <w:t>Ριάντ</w:t>
      </w:r>
      <w:proofErr w:type="spellEnd"/>
      <w:r w:rsidR="00A831ED" w:rsidRPr="00094BFA">
        <w:t xml:space="preserve"> τον Δεκέμβριο του 2024· σημειώνει ότι οι συζητήσεις κάλυψαν ευρύ φάσμα ζητημάτων στον τομέα των ανθρώπινων δικαιωμάτων, συμπεριλαμβανομένων των δικαιωμάτων των γυναικών και των δικαιωμάτων των ευάλωτων ομάδων, του κράτους δικαίου, του δικαιώματος σε δίκαιη δίκη, της θανατικής ποινής, της ελευθερίας της έκφρασης, του συνέρχεσθαι και του συνεταιρίζεσθαι, της εμπορίας ανθρώπων, των οικονομικών, κοινωνικών και πολιτιστικών δικαιωμάτων, καθώς και της διμερούς συνεργασίας ΕΕ-Βασιλείου της Σαουδικής Αραβίας και των δραστηριοτήτων σε πολυμερή φόρουμ για τα ανθρώπινα δικαιώματα· υπογραμμίζει ότι οι διάλογοι για τα ανθρώπινα δικαιώματα παρέχουν μια κρίσιμη πλατφόρμα για την ανταλλαγή απόψεων σχετικά με τα διεθνή ανθρώπινα δικαιώματα και την ενίσχυση της πολυμερούς συνεργασίας, και τονίζει ότι αυτός και όλοι οι άλλοι διάλογοι για τα ανθρώπινα δικαιώματα που διεξάγει η ΕΕ θα πρέπει να </w:t>
      </w:r>
      <w:r w:rsidR="00A831ED" w:rsidRPr="00094BFA">
        <w:lastRenderedPageBreak/>
        <w:t>αποσκοπούν στη διασφάλιση συγκεκριμένης, μετρήσιμης και χρονικά καθορισμένης προόδου στον τομέα των ανθρωπίνων δικαιωμάτων, συμπεριλαμβανομένων μεταρρυθμίσεων στον τομέα των ανθρωπίνων δικαιωμάτων, της ανάσχεσης καταχρηστικών πολιτικών, της διασφάλισης της λογοδοσίας για παραβιάσεις και της απελευθέρωσης άδικα φυλακισμένων ατόμων· ζητεί τη δημιουργία ενός διαρθρωμένου μηχανισμού παρακολούθησης της ΕΕ με σαφή κριτήρια αναφοράς και χρονοδιαγράμματα, συμπεριλαμβανομένων μέτρων παρακολούθησης για την ενθάρρυνση περαιτέρω προόδου όσον αφορά τις μεταρρυθμίσεις στον τομέα των ανθρωπίνων δικαιωμάτων· παροτρύνει την ΕΕ και τα κράτη μέλη της να συμφωνήσουν αμοιβαία με τη Σαουδική Αραβία σε όρους για τα ανθρώπινα δικαιώματα κατά τις διαπραγματεύσεις για μια διμερή συμφωνία εταιρική σχέσης, συμπεριλαμβανομένης μεταξύ άλλων της επικύρωσης από τη Σαουδική Αραβία των βασικών συμβάσεων για τα ανθρώπινα και τα εργασιακά δικαιώματα καθώς και της απελευθέρωσης των αδίκως φυλακισμένων ατόμων·</w:t>
      </w:r>
    </w:p>
    <w:p w14:paraId="1D230D46" w14:textId="2664ECD8" w:rsidR="00A831ED" w:rsidRPr="00094BFA" w:rsidRDefault="00094BFA" w:rsidP="00094BFA">
      <w:pPr>
        <w:pStyle w:val="NormalHanging12a"/>
        <w:ind w:left="570" w:hanging="570"/>
      </w:pPr>
      <w:r w:rsidRPr="00094BFA">
        <w:t>35.</w:t>
      </w:r>
      <w:r w:rsidRPr="00094BFA">
        <w:tab/>
      </w:r>
      <w:r w:rsidR="00A831ED" w:rsidRPr="00094BFA">
        <w:t xml:space="preserve">αναγνωρίζει τις κοινωνικές μεταρρυθμίσεις που έχει εφαρμόζει η Σαουδική Αραβία, όπως ο νέος νόμος για τις αστικές συναλλαγές, η πρόοδος στη χειραφέτηση των γυναικών, η εργασία για την κατάρτιση ποινικού κώδικα, η μεταρρύθμιση του συστήματος χορηγίας </w:t>
      </w:r>
      <w:proofErr w:type="spellStart"/>
      <w:r w:rsidR="00A831ED" w:rsidRPr="00094BFA">
        <w:t>Kafala</w:t>
      </w:r>
      <w:proofErr w:type="spellEnd"/>
      <w:r w:rsidR="00A831ED" w:rsidRPr="00094BFA">
        <w:t xml:space="preserve"> για τους μετανάστες εργαζομένους και η εφαρμογή νέων κανονισμών εργασίας· σημειώνει, ωστόσο, ότι το νομικό σύστημα της Σαουδικής Αραβίας αντιμετωπίζει προκλήσεις, λόγω της απουσίας κωδικοποιημένου ποινικού δικαίου και της εξάρτησής του από ευρέως καθορισμένη νομοθεσία, όσον αφορά τη διασφάλιση ότι ορισμένα δικαιώματα δεν υπόκεινται σε ποινικοποίηση·</w:t>
      </w:r>
    </w:p>
    <w:p w14:paraId="64C0EA21" w14:textId="735887F6" w:rsidR="00A831ED" w:rsidRPr="00094BFA" w:rsidRDefault="00094BFA" w:rsidP="00094BFA">
      <w:pPr>
        <w:pStyle w:val="NormalHanging12a"/>
        <w:ind w:left="570" w:hanging="570"/>
      </w:pPr>
      <w:r w:rsidRPr="00094BFA">
        <w:t>36.</w:t>
      </w:r>
      <w:r w:rsidRPr="00094BFA">
        <w:tab/>
      </w:r>
      <w:r w:rsidR="00A831ED" w:rsidRPr="00094BFA">
        <w:t xml:space="preserve">αναγνωρίζει την αυξανόμενη συμμετοχή της κοινωνίας των πολιτών στη Σαουδική Αραβία, με περισσότερες από 5 400 καταχωρισμένες ενώσεις και οργανώσεις, και ζητεί τη λήψη περαιτέρω μέτρων για τη στήριξη και τη διατήρηση αυτής της θετικής τάσης· εκφράζει την ανησυχία του για την αύξηση των συλλήψεων ακτιβιστών, ενεργών μελών της κοινωνίας των πολιτών, διανοουμένων και υπερασπιστών των ανθρωπίνων δικαιωμάτων που ασκούν το δικαίωμά τους, σύμφωνα με το διεθνές δίκαιο για τα ανθρώπινα δικαιώματα, στην ελευθερία της έκφρασης, τόσο εντός όσο και εκτός διαδικτύου· ενθαρρύνει τη Σαουδική Αραβία να επανεξετάσει τον ορισμό της για την τρομοκρατία, σύμφωνα με τα διεθνή πρότυπα· ζητεί την άμεση απελευθέρωση των ατόμων που κρατούνται για την ειρηνική άσκηση των δικαιωμάτων τους, ιδίως των βασικών ακτιβιστών, των υπερασπιστών των ανθρωπίνων δικαιωμάτων, των ειρηνικών επικριτών, των ακαδημαϊκών και των κληρικών, και ζητεί την άρση των ταξιδιωτικών απαγορεύσεων για όσους έχουν απελευθερωθεί· υπενθυμίζει ότι το Κοινοβούλιο απένειμε το βραβείο Ζαχάρωφ του 2015 στον Σαουδάραβα </w:t>
      </w:r>
      <w:proofErr w:type="spellStart"/>
      <w:r w:rsidR="00A831ED" w:rsidRPr="00094BFA">
        <w:t>μπλόγκερ</w:t>
      </w:r>
      <w:proofErr w:type="spellEnd"/>
      <w:r w:rsidR="00A831ED" w:rsidRPr="00094BFA">
        <w:t xml:space="preserve">, </w:t>
      </w:r>
      <w:proofErr w:type="spellStart"/>
      <w:r w:rsidR="00A831ED" w:rsidRPr="00094BFA">
        <w:t>Raif</w:t>
      </w:r>
      <w:proofErr w:type="spellEnd"/>
      <w:r w:rsidR="00A831ED" w:rsidRPr="00094BFA">
        <w:t xml:space="preserve"> </w:t>
      </w:r>
      <w:proofErr w:type="spellStart"/>
      <w:r w:rsidR="00A831ED" w:rsidRPr="00094BFA">
        <w:t>Badawi</w:t>
      </w:r>
      <w:proofErr w:type="spellEnd"/>
      <w:r w:rsidR="00A831ED" w:rsidRPr="00094BFA">
        <w:t>· παροτρύνει τη Σαουδική Αραβία να επεκτείνει την πρόσβαση και τις επισκέψεις στη χώρα σε ευρύτερο φάσμα οργανώσεων των ανθρωπίνων δικαιωμάτων·</w:t>
      </w:r>
    </w:p>
    <w:p w14:paraId="57E2DA90" w14:textId="0D117F97" w:rsidR="00A831ED" w:rsidRPr="00094BFA" w:rsidRDefault="00094BFA" w:rsidP="00094BFA">
      <w:pPr>
        <w:pStyle w:val="NormalHanging12a"/>
        <w:ind w:left="570" w:hanging="570"/>
      </w:pPr>
      <w:r w:rsidRPr="00094BFA">
        <w:t>37.</w:t>
      </w:r>
      <w:r w:rsidRPr="00094BFA">
        <w:tab/>
      </w:r>
      <w:r w:rsidR="00A831ED" w:rsidRPr="00094BFA">
        <w:t xml:space="preserve">επισημαίνει τη στρατηγική της Σαουδικής Αραβίας για τα ανθρώπινα δικαιώματα ενόψει του Παγκόσμιου Κυπέλλου FIFA του 2034· επαναβεβαιώνει την προθυμία της ΕΕ να στηρίξει τις εν εξελίξει μεταρρυθμίσεις της Σαουδικής Αραβίας στον τομέα των ανθρωπίνων δικαιωμάτων, καθώς και στον εργασιακό και νομικό τομέα· ζητεί να ενισχυθεί η συνεργασία με τον ΟΗΕ και τη Διεθνή Οργάνωση Εργασίας σχετικά με τα δικαιώματα των μεταναστών εργαζομένων, επιδιώκοντας περαιτέρω ολοκληρωμένες και χωρίς αποκλεισμούς εργασιακές μεταρρυθμίσεις σύμφωνα με τα διεθνή πρότυπα, ιδίως ενόψει της EXPO 2030 και του Παγκόσμιου Κυπέλλου του 2034, προκειμένου να διασφαλιστεί ότι όλοι οι θάνατοι και τα ατυχήματα μεταναστών εργαζομένων, ανεξάρτητα από την εικαζόμενη αιτία, τον χρόνο και τον τόπο, διερευνώνται δεόντως </w:t>
      </w:r>
      <w:r w:rsidR="00A831ED" w:rsidRPr="00094BFA">
        <w:lastRenderedPageBreak/>
        <w:t>και ότι οι οικογένειες των αποθανόντων εργαζομένων λαμβάνουν δίκαιη και έγκαιρη αποζημίωση·</w:t>
      </w:r>
    </w:p>
    <w:p w14:paraId="34E7B9B4" w14:textId="32A207C9" w:rsidR="00A831ED" w:rsidRPr="00094BFA" w:rsidRDefault="00094BFA" w:rsidP="00094BFA">
      <w:pPr>
        <w:pStyle w:val="NormalHanging12a"/>
        <w:ind w:left="570" w:hanging="570"/>
      </w:pPr>
      <w:r w:rsidRPr="00094BFA">
        <w:t>38.</w:t>
      </w:r>
      <w:r w:rsidRPr="00094BFA">
        <w:tab/>
      </w:r>
      <w:r w:rsidR="00A831ED" w:rsidRPr="00094BFA">
        <w:t>επαναβεβαιώνει τη δέσμευση της ΕΕ για την κατάργηση της θανατικής ποινής υπό οιεσδήποτε συνθήκες και επιβεβαιώνει την κατ’ αρχήν δέσμευση της ΕΕ να συνεργαστεί με τη Σαουδική Αραβία για τον σκοπό αυτό· εκφράζει την ανησυχία του για την κλιμάκωση των εκτελέσεων στη Σαουδική Αραβία, οι οποίες ανήλθαν στον πρωτόγνωρο αριθμό των 345 και πλέον εκτελέσεων το 2024· καλεί τη Σαουδική Αραβία να θεσπίσει μορατόριουμ στις εκτελέσεις· καταδικάζει τη συνεχιζόμενη χρήση της θανατικής ποινής για μη θανατηφόρα αδικήματα, ιδίως εγκλήματα που σχετίζονται με τα ναρκωτικά – γεγονός που συνιστά παραβίαση του διεθνούς δικαίου για τα ανθρώπινα δικαιώματα, το οποίο περιορίζει την εφαρμογή της θανατικής ποινής μόνο στα «σοβαρότερα εγκλήματα» – και το γεγονός ότι πάνω από το ήμισυ όλων των εκτελέσεων το 2025 αφορούσε αλλοδαπούς υπηκόους, συχνά ύστερα από δίκες που δεν πληρούσαν τα διεθνή πρότυπα περί δίκαιης δίκης· ζητεί την αποποινικοποίηση της σεξουαλικής δραστηριότητας μεταξύ ατόμων του ιδίου φύλου·</w:t>
      </w:r>
    </w:p>
    <w:p w14:paraId="38CBFDBE" w14:textId="56A5D325" w:rsidR="00A831ED" w:rsidRPr="00094BFA" w:rsidRDefault="00094BFA" w:rsidP="00094BFA">
      <w:pPr>
        <w:pStyle w:val="NormalHanging12a"/>
        <w:ind w:left="570" w:hanging="570"/>
      </w:pPr>
      <w:r w:rsidRPr="00094BFA">
        <w:t>39.</w:t>
      </w:r>
      <w:r w:rsidRPr="00094BFA">
        <w:tab/>
      </w:r>
      <w:r w:rsidR="00A831ED" w:rsidRPr="00094BFA">
        <w:t>αποδοκιμάζει τη συνεχιζόμενη κράτηση ατόμων που έχουν καταδικαστεί σε θάνατο για αδικήματα που διέπραξαν ως παιδιά, και καλεί τις αρχές της Σαουδικής Αραβίας να ανακαλέσουν τις θανατικές αυτές ποινές σύμφωνα με τις υποχρεώσεις της Σαουδικής Αραβίας δυνάμει του διεθνούς δικαίου και του βασιλικού διατάγματος που εξέδωσε το 2020· καλεί τη Σαουδική Αραβία να απελευθερώσει αμέσως και άνευ όρων όλα τα άτομα που κρατούνται επειδή ασκούσαν ειρηνικά τα ανθρώπινα δικαιώματά τους·</w:t>
      </w:r>
    </w:p>
    <w:p w14:paraId="04D22337" w14:textId="3B340B64" w:rsidR="00A831ED" w:rsidRPr="00094BFA" w:rsidRDefault="00094BFA" w:rsidP="00094BFA">
      <w:pPr>
        <w:pStyle w:val="NormalHanging12a"/>
        <w:ind w:left="570" w:hanging="570"/>
      </w:pPr>
      <w:r w:rsidRPr="00094BFA">
        <w:t>40.</w:t>
      </w:r>
      <w:r w:rsidRPr="00094BFA">
        <w:tab/>
      </w:r>
      <w:r w:rsidR="00A831ED" w:rsidRPr="00094BFA">
        <w:t>καλεί τη Σαουδική Αραβία να κυρώσει όλες τις βασικές διεθνείς συμβάσεις για τα ανθρώπινα δικαιώματα και τα εργασιακά δικαιώματα· ενθαρρύνει τη Σαουδική Αραβία να διασφαλίσει ότι όλη η ισχύουσα και η νέα νομοθεσία, συμπεριλαμβανομένου του ποινικού κώδικα, συμμορφώνονται με τα διεθνή πρότυπα για τα ανθρώπινα δικαιώματα και υπογραμμίζει τη σημασία της στενής συνεργασίας με τα Ηνωμένα Έθνη και τις ανεξάρτητες οργανώσεις της κοινωνίας των πολιτών, στο πλαίσιο αυτό·</w:t>
      </w:r>
    </w:p>
    <w:p w14:paraId="0C9DA982" w14:textId="77777777" w:rsidR="00A831ED" w:rsidRPr="00094BFA" w:rsidRDefault="00A831ED" w:rsidP="00DB3EF9">
      <w:pPr>
        <w:pStyle w:val="NormalCenter12a"/>
        <w:ind w:left="567" w:hanging="567"/>
      </w:pPr>
      <w:r w:rsidRPr="00094BFA">
        <w:t>°</w:t>
      </w:r>
    </w:p>
    <w:p w14:paraId="177CA05E" w14:textId="77777777" w:rsidR="00A831ED" w:rsidRPr="00094BFA" w:rsidRDefault="00A831ED" w:rsidP="00DB3EF9">
      <w:pPr>
        <w:pStyle w:val="NormalCenter12a"/>
        <w:ind w:left="567" w:hanging="567"/>
      </w:pPr>
      <w:r w:rsidRPr="00094BFA">
        <w:t>°</w:t>
      </w:r>
      <w:r w:rsidRPr="00094BFA">
        <w:tab/>
        <w:t>°</w:t>
      </w:r>
    </w:p>
    <w:p w14:paraId="2320FC35" w14:textId="22A5517E" w:rsidR="006B4802" w:rsidRPr="00094BFA" w:rsidRDefault="00094BFA" w:rsidP="00094BFA">
      <w:pPr>
        <w:pStyle w:val="NormalHanging12a"/>
        <w:ind w:left="570" w:hanging="570"/>
      </w:pPr>
      <w:r w:rsidRPr="00094BFA">
        <w:t>41.</w:t>
      </w:r>
      <w:r w:rsidRPr="00094BFA">
        <w:tab/>
      </w:r>
      <w:r w:rsidR="00A831ED" w:rsidRPr="00094BFA">
        <w:t xml:space="preserve">αναθέτει στην Πρόεδρό του να διαβιβάσει το παρόν ψήφισμα στο Συμβούλιο, την Επιτροπή, την Αντιπρόεδρο της Επιτροπής/Ύπατη Εκπρόσωπο της Ένωσης για Θέματα Εξωτερικής Πολιτικής και Πολιτικής Ασφαλείας, την Αυτού Μεγαλειότητα τον Βασιλιά της Σαουδικής Αραβίας </w:t>
      </w:r>
      <w:proofErr w:type="spellStart"/>
      <w:r w:rsidR="00A831ED" w:rsidRPr="00094BFA">
        <w:t>Salman</w:t>
      </w:r>
      <w:proofErr w:type="spellEnd"/>
      <w:r w:rsidR="00A831ED" w:rsidRPr="00094BFA">
        <w:t xml:space="preserve"> </w:t>
      </w:r>
      <w:proofErr w:type="spellStart"/>
      <w:r w:rsidR="00A831ED" w:rsidRPr="00094BFA">
        <w:t>bin</w:t>
      </w:r>
      <w:proofErr w:type="spellEnd"/>
      <w:r w:rsidR="00A831ED" w:rsidRPr="00094BFA">
        <w:t xml:space="preserve"> </w:t>
      </w:r>
      <w:proofErr w:type="spellStart"/>
      <w:r w:rsidR="00A831ED" w:rsidRPr="00094BFA">
        <w:t>Abdulaziz</w:t>
      </w:r>
      <w:proofErr w:type="spellEnd"/>
      <w:r w:rsidR="00A831ED" w:rsidRPr="00094BFA">
        <w:t xml:space="preserve"> </w:t>
      </w:r>
      <w:proofErr w:type="spellStart"/>
      <w:r w:rsidR="00A831ED" w:rsidRPr="00094BFA">
        <w:t>Al</w:t>
      </w:r>
      <w:proofErr w:type="spellEnd"/>
      <w:r w:rsidR="00A831ED" w:rsidRPr="00094BFA">
        <w:t xml:space="preserve"> </w:t>
      </w:r>
      <w:proofErr w:type="spellStart"/>
      <w:r w:rsidR="00A831ED" w:rsidRPr="00094BFA">
        <w:t>Saud</w:t>
      </w:r>
      <w:proofErr w:type="spellEnd"/>
      <w:r w:rsidR="00A831ED" w:rsidRPr="00094BFA">
        <w:t xml:space="preserve">, τον Πρίγκιπα Διάδοχο του Θρόνου </w:t>
      </w:r>
      <w:proofErr w:type="spellStart"/>
      <w:r w:rsidR="00A831ED" w:rsidRPr="00094BFA">
        <w:t>Mohammed</w:t>
      </w:r>
      <w:proofErr w:type="spellEnd"/>
      <w:r w:rsidR="00A831ED" w:rsidRPr="00094BFA">
        <w:t xml:space="preserve"> </w:t>
      </w:r>
      <w:proofErr w:type="spellStart"/>
      <w:r w:rsidR="00A831ED" w:rsidRPr="00094BFA">
        <w:t>Bin</w:t>
      </w:r>
      <w:proofErr w:type="spellEnd"/>
      <w:r w:rsidR="00A831ED" w:rsidRPr="00094BFA">
        <w:t xml:space="preserve"> </w:t>
      </w:r>
      <w:proofErr w:type="spellStart"/>
      <w:r w:rsidR="00A831ED" w:rsidRPr="00094BFA">
        <w:t>Salman</w:t>
      </w:r>
      <w:proofErr w:type="spellEnd"/>
      <w:r w:rsidR="00A831ED" w:rsidRPr="00094BFA">
        <w:t xml:space="preserve"> </w:t>
      </w:r>
      <w:proofErr w:type="spellStart"/>
      <w:r w:rsidR="00A831ED" w:rsidRPr="00094BFA">
        <w:t>Al</w:t>
      </w:r>
      <w:proofErr w:type="spellEnd"/>
      <w:r w:rsidR="00A831ED" w:rsidRPr="00094BFA">
        <w:t xml:space="preserve"> </w:t>
      </w:r>
      <w:proofErr w:type="spellStart"/>
      <w:r w:rsidR="00A831ED" w:rsidRPr="00094BFA">
        <w:t>Saud</w:t>
      </w:r>
      <w:proofErr w:type="spellEnd"/>
      <w:r w:rsidR="00A831ED" w:rsidRPr="00094BFA">
        <w:t xml:space="preserve">, την κυβέρνηση του Βασιλείου της Σαουδικής Αραβίας και το συμβούλιο </w:t>
      </w:r>
      <w:proofErr w:type="spellStart"/>
      <w:r w:rsidR="00A831ED" w:rsidRPr="00094BFA">
        <w:t>Shura</w:t>
      </w:r>
      <w:proofErr w:type="spellEnd"/>
      <w:r w:rsidR="00A831ED" w:rsidRPr="00094BFA">
        <w:t>· ζητεί να μεταφραστεί το παρόν ψήφισμα στα αραβικά.</w:t>
      </w:r>
    </w:p>
    <w:p w14:paraId="349F678F" w14:textId="7FAE83CF" w:rsidR="00E365E1" w:rsidRPr="00094BFA" w:rsidRDefault="00E365E1" w:rsidP="00DB3EF9">
      <w:pPr>
        <w:widowControl/>
        <w:spacing w:after="240"/>
        <w:ind w:left="567" w:hanging="567"/>
      </w:pPr>
    </w:p>
    <w:sectPr w:rsidR="00E365E1" w:rsidRPr="00094BFA" w:rsidSect="006B48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63915" w14:textId="77777777" w:rsidR="00671D91" w:rsidRPr="006B4802" w:rsidRDefault="00671D91">
      <w:r w:rsidRPr="006B4802">
        <w:separator/>
      </w:r>
    </w:p>
  </w:endnote>
  <w:endnote w:type="continuationSeparator" w:id="0">
    <w:p w14:paraId="0E84D90B" w14:textId="77777777" w:rsidR="00671D91" w:rsidRPr="006B4802" w:rsidRDefault="00671D91">
      <w:r w:rsidRPr="006B48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1F15" w14:textId="77777777" w:rsidR="00064002" w:rsidRPr="006B48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63B32" w14:textId="77777777" w:rsidR="00064002" w:rsidRPr="006B48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9DFB1" w14:textId="77777777" w:rsidR="00064002" w:rsidRPr="006B48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D9737" w14:textId="77777777" w:rsidR="00671D91" w:rsidRPr="006B4802" w:rsidRDefault="00671D91">
      <w:r w:rsidRPr="006B4802">
        <w:separator/>
      </w:r>
    </w:p>
  </w:footnote>
  <w:footnote w:type="continuationSeparator" w:id="0">
    <w:p w14:paraId="2210384F" w14:textId="77777777" w:rsidR="00671D91" w:rsidRPr="006B4802" w:rsidRDefault="00671D91">
      <w:r w:rsidRPr="006B4802">
        <w:continuationSeparator/>
      </w:r>
    </w:p>
  </w:footnote>
  <w:footnote w:id="1">
    <w:p w14:paraId="79BDB061" w14:textId="250ADA42" w:rsidR="00A831ED" w:rsidRPr="006B4802" w:rsidRDefault="00A831ED" w:rsidP="006B4802">
      <w:pPr>
        <w:pStyle w:val="FootnoteText"/>
        <w:ind w:left="567" w:hanging="567"/>
        <w:rPr>
          <w:sz w:val="24"/>
          <w:lang w:val="el-GR"/>
        </w:rPr>
      </w:pPr>
      <w:r w:rsidRPr="006B4802">
        <w:rPr>
          <w:sz w:val="24"/>
          <w:vertAlign w:val="superscript"/>
          <w:lang w:val="el-GR"/>
        </w:rPr>
        <w:t>1</w:t>
      </w:r>
      <w:r w:rsidR="006B4802" w:rsidRPr="006B4802">
        <w:rPr>
          <w:sz w:val="24"/>
          <w:vertAlign w:val="superscript"/>
          <w:lang w:val="el-GR"/>
        </w:rPr>
        <w:t xml:space="preserve"> </w:t>
      </w:r>
      <w:r w:rsidR="006B4802" w:rsidRPr="006B4802">
        <w:rPr>
          <w:sz w:val="24"/>
          <w:vertAlign w:val="superscript"/>
          <w:lang w:val="el-GR"/>
        </w:rPr>
        <w:tab/>
      </w:r>
      <w:r w:rsidRPr="006B4802">
        <w:rPr>
          <w:sz w:val="24"/>
          <w:lang w:val="el-GR"/>
        </w:rPr>
        <w:t>ΕΕ C 345 της 16.10.2020, σ. 67.</w:t>
      </w:r>
    </w:p>
  </w:footnote>
  <w:footnote w:id="2">
    <w:p w14:paraId="7D247E02" w14:textId="10C5F8AC" w:rsidR="00A831ED" w:rsidRPr="006B4802" w:rsidRDefault="00A831ED" w:rsidP="006B4802">
      <w:pPr>
        <w:pStyle w:val="FootnoteText"/>
        <w:ind w:left="567" w:hanging="567"/>
        <w:rPr>
          <w:sz w:val="24"/>
          <w:lang w:val="el-GR"/>
        </w:rPr>
      </w:pPr>
      <w:r w:rsidRPr="006B4802">
        <w:rPr>
          <w:sz w:val="24"/>
          <w:vertAlign w:val="superscript"/>
          <w:lang w:val="el-GR"/>
        </w:rPr>
        <w:t>2</w:t>
      </w:r>
      <w:r w:rsidR="006B4802" w:rsidRPr="006B4802">
        <w:rPr>
          <w:sz w:val="24"/>
          <w:vertAlign w:val="superscript"/>
          <w:lang w:val="el-GR"/>
        </w:rPr>
        <w:t xml:space="preserve"> </w:t>
      </w:r>
      <w:r w:rsidR="006B4802" w:rsidRPr="006B4802">
        <w:rPr>
          <w:sz w:val="24"/>
          <w:vertAlign w:val="superscript"/>
          <w:lang w:val="el-GR"/>
        </w:rPr>
        <w:tab/>
      </w:r>
      <w:r w:rsidRPr="006B4802">
        <w:rPr>
          <w:sz w:val="24"/>
          <w:lang w:val="el-GR"/>
        </w:rPr>
        <w:t>ΕΕ C 465 της 17.11.2021, σ. 126.</w:t>
      </w:r>
    </w:p>
  </w:footnote>
  <w:footnote w:id="3">
    <w:p w14:paraId="7C030DD5" w14:textId="07FA2F71" w:rsidR="00A831ED" w:rsidRPr="006B4802" w:rsidRDefault="00A831ED" w:rsidP="006B4802">
      <w:pPr>
        <w:pStyle w:val="FootnoteText"/>
        <w:ind w:left="567" w:hanging="567"/>
        <w:rPr>
          <w:sz w:val="24"/>
          <w:lang w:val="el-GR"/>
        </w:rPr>
      </w:pPr>
      <w:r w:rsidRPr="006B4802">
        <w:rPr>
          <w:sz w:val="24"/>
          <w:vertAlign w:val="superscript"/>
          <w:lang w:val="el-GR"/>
        </w:rPr>
        <w:t>3</w:t>
      </w:r>
      <w:r w:rsidR="006B4802" w:rsidRPr="006B4802">
        <w:rPr>
          <w:sz w:val="24"/>
          <w:vertAlign w:val="superscript"/>
          <w:lang w:val="el-GR"/>
        </w:rPr>
        <w:t xml:space="preserve"> </w:t>
      </w:r>
      <w:r w:rsidR="006B4802" w:rsidRPr="006B4802">
        <w:rPr>
          <w:sz w:val="24"/>
          <w:vertAlign w:val="superscript"/>
          <w:lang w:val="el-GR"/>
        </w:rPr>
        <w:tab/>
      </w:r>
      <w:r w:rsidRPr="006B4802">
        <w:rPr>
          <w:sz w:val="24"/>
          <w:lang w:val="el-GR"/>
        </w:rPr>
        <w:t>ΕΕ C 99 της 1.3.2022, σ. 185.</w:t>
      </w:r>
    </w:p>
  </w:footnote>
  <w:footnote w:id="4">
    <w:p w14:paraId="1C368F01" w14:textId="2A97BB25" w:rsidR="00A831ED" w:rsidRPr="006B4802" w:rsidRDefault="00A831ED" w:rsidP="006B4802">
      <w:pPr>
        <w:pStyle w:val="FootnoteText"/>
        <w:ind w:left="567" w:hanging="567"/>
        <w:rPr>
          <w:sz w:val="24"/>
          <w:lang w:val="el-GR"/>
        </w:rPr>
      </w:pPr>
      <w:r w:rsidRPr="006B4802">
        <w:rPr>
          <w:sz w:val="24"/>
          <w:vertAlign w:val="superscript"/>
          <w:lang w:val="el-GR"/>
        </w:rPr>
        <w:t>4</w:t>
      </w:r>
      <w:r w:rsidR="006B4802" w:rsidRPr="006B4802">
        <w:rPr>
          <w:sz w:val="24"/>
          <w:vertAlign w:val="superscript"/>
          <w:lang w:val="el-GR"/>
        </w:rPr>
        <w:t xml:space="preserve"> </w:t>
      </w:r>
      <w:r w:rsidR="006B4802" w:rsidRPr="006B4802">
        <w:rPr>
          <w:sz w:val="24"/>
          <w:vertAlign w:val="superscript"/>
          <w:lang w:val="el-GR"/>
        </w:rPr>
        <w:tab/>
      </w:r>
      <w:r w:rsidRPr="006B4802">
        <w:rPr>
          <w:sz w:val="24"/>
          <w:lang w:val="el-GR"/>
        </w:rPr>
        <w:t xml:space="preserve">Εκτελεστική απόφαση της Επιτροπής, της 22ας Απριλίου 2024, για τη θέσπιση προσαρμοσμένων κανόνων σχετικά με τη χορήγηση θεωρήσεων πολλαπλών εισόδων σε υπηκόους της Σαουδικής Αραβίας που διαμένουν στη Σαουδική Αραβία και υποβάλλουν αίτηση στη Σαουδική Αραβία για θεωρήσεις βραχείας διαμονής και για την κατάργηση της εκτελεστικής απόφασης C(2022)8007 της Επιτροπής </w:t>
      </w:r>
      <w:r w:rsidR="00DB3EF9">
        <w:rPr>
          <w:sz w:val="24"/>
          <w:lang w:val="el-GR"/>
        </w:rPr>
        <w:t>(</w:t>
      </w:r>
      <w:r w:rsidRPr="006B4802">
        <w:rPr>
          <w:sz w:val="24"/>
          <w:lang w:val="el-GR"/>
        </w:rPr>
        <w:t>C(2024)2689</w:t>
      </w:r>
      <w:r w:rsidR="00DB3EF9">
        <w:rPr>
          <w:sz w:val="24"/>
          <w:lang w:val="el-GR"/>
        </w:rPr>
        <w:t>)</w:t>
      </w:r>
      <w:r w:rsidRPr="006B4802">
        <w:rPr>
          <w:sz w:val="24"/>
          <w:lang w:val="el-GR"/>
        </w:rPr>
        <w:t>.</w:t>
      </w:r>
    </w:p>
  </w:footnote>
  <w:footnote w:id="5">
    <w:p w14:paraId="7418DF1E" w14:textId="05A989C9" w:rsidR="00A831ED" w:rsidRPr="006B4802" w:rsidRDefault="00A831ED" w:rsidP="006B4802">
      <w:pPr>
        <w:pStyle w:val="FootnoteText"/>
        <w:ind w:left="567" w:hanging="567"/>
        <w:rPr>
          <w:sz w:val="24"/>
          <w:lang w:val="el-GR"/>
        </w:rPr>
      </w:pPr>
      <w:r w:rsidRPr="006B4802">
        <w:rPr>
          <w:sz w:val="24"/>
          <w:vertAlign w:val="superscript"/>
          <w:lang w:val="el-GR"/>
        </w:rPr>
        <w:t>5</w:t>
      </w:r>
      <w:r w:rsidR="006B4802" w:rsidRPr="006B4802">
        <w:rPr>
          <w:sz w:val="24"/>
          <w:vertAlign w:val="superscript"/>
          <w:lang w:val="el-GR"/>
        </w:rPr>
        <w:t xml:space="preserve"> </w:t>
      </w:r>
      <w:r w:rsidR="006B4802" w:rsidRPr="006B4802">
        <w:rPr>
          <w:sz w:val="24"/>
          <w:vertAlign w:val="superscript"/>
          <w:lang w:val="el-GR"/>
        </w:rPr>
        <w:tab/>
      </w:r>
      <w:r w:rsidRPr="006B4802">
        <w:rPr>
          <w:sz w:val="24"/>
          <w:lang w:val="el-GR"/>
        </w:rPr>
        <w:t>Κείμενα που εγκρίθηκαν, P10_TA(2025)0199.</w:t>
      </w:r>
    </w:p>
  </w:footnote>
  <w:footnote w:id="6">
    <w:p w14:paraId="79348638" w14:textId="19F33783" w:rsidR="00A831ED" w:rsidRPr="006B4802" w:rsidRDefault="00A831ED" w:rsidP="006B4802">
      <w:pPr>
        <w:pStyle w:val="FootnoteText"/>
        <w:ind w:left="567" w:hanging="567"/>
        <w:rPr>
          <w:sz w:val="24"/>
          <w:lang w:val="el-GR"/>
        </w:rPr>
      </w:pPr>
      <w:r w:rsidRPr="006B4802">
        <w:rPr>
          <w:sz w:val="24"/>
          <w:vertAlign w:val="superscript"/>
          <w:lang w:val="el-GR"/>
        </w:rPr>
        <w:t>6</w:t>
      </w:r>
      <w:r w:rsidR="006B4802" w:rsidRPr="006B4802">
        <w:rPr>
          <w:sz w:val="24"/>
          <w:vertAlign w:val="superscript"/>
          <w:lang w:val="el-GR"/>
        </w:rPr>
        <w:t xml:space="preserve"> </w:t>
      </w:r>
      <w:r w:rsidR="006B4802" w:rsidRPr="006B4802">
        <w:rPr>
          <w:sz w:val="24"/>
          <w:vertAlign w:val="superscript"/>
          <w:lang w:val="el-GR"/>
        </w:rPr>
        <w:tab/>
      </w:r>
      <w:r w:rsidRPr="006B4802">
        <w:rPr>
          <w:sz w:val="24"/>
          <w:lang w:val="el-GR"/>
        </w:rPr>
        <w:t>Παγκόσμιο Οικονομικό Φόρουμ, «</w:t>
      </w:r>
      <w:proofErr w:type="spellStart"/>
      <w:r w:rsidRPr="006B4802">
        <w:rPr>
          <w:sz w:val="24"/>
          <w:lang w:val="el-GR"/>
        </w:rPr>
        <w:t>Saudi</w:t>
      </w:r>
      <w:proofErr w:type="spellEnd"/>
      <w:r w:rsidRPr="006B4802">
        <w:rPr>
          <w:sz w:val="24"/>
          <w:lang w:val="el-GR"/>
        </w:rPr>
        <w:t xml:space="preserve"> </w:t>
      </w:r>
      <w:proofErr w:type="spellStart"/>
      <w:r w:rsidRPr="006B4802">
        <w:rPr>
          <w:sz w:val="24"/>
          <w:lang w:val="el-GR"/>
        </w:rPr>
        <w:t>women</w:t>
      </w:r>
      <w:proofErr w:type="spellEnd"/>
      <w:r w:rsidRPr="006B4802">
        <w:rPr>
          <w:sz w:val="24"/>
          <w:lang w:val="el-GR"/>
        </w:rPr>
        <w:t xml:space="preserve"> </w:t>
      </w:r>
      <w:proofErr w:type="spellStart"/>
      <w:r w:rsidRPr="006B4802">
        <w:rPr>
          <w:sz w:val="24"/>
          <w:lang w:val="el-GR"/>
        </w:rPr>
        <w:t>are</w:t>
      </w:r>
      <w:proofErr w:type="spellEnd"/>
      <w:r w:rsidRPr="006B4802">
        <w:rPr>
          <w:sz w:val="24"/>
          <w:lang w:val="el-GR"/>
        </w:rPr>
        <w:t xml:space="preserve"> </w:t>
      </w:r>
      <w:proofErr w:type="spellStart"/>
      <w:r w:rsidRPr="006B4802">
        <w:rPr>
          <w:sz w:val="24"/>
          <w:lang w:val="el-GR"/>
        </w:rPr>
        <w:t>now</w:t>
      </w:r>
      <w:proofErr w:type="spellEnd"/>
      <w:r w:rsidRPr="006B4802">
        <w:rPr>
          <w:sz w:val="24"/>
          <w:lang w:val="el-GR"/>
        </w:rPr>
        <w:t xml:space="preserve"> </w:t>
      </w:r>
      <w:proofErr w:type="spellStart"/>
      <w:r w:rsidRPr="006B4802">
        <w:rPr>
          <w:sz w:val="24"/>
          <w:lang w:val="el-GR"/>
        </w:rPr>
        <w:t>legal</w:t>
      </w:r>
      <w:proofErr w:type="spellEnd"/>
      <w:r w:rsidRPr="006B4802">
        <w:rPr>
          <w:sz w:val="24"/>
          <w:lang w:val="el-GR"/>
        </w:rPr>
        <w:t xml:space="preserve"> </w:t>
      </w:r>
      <w:proofErr w:type="spellStart"/>
      <w:r w:rsidRPr="006B4802">
        <w:rPr>
          <w:sz w:val="24"/>
          <w:lang w:val="el-GR"/>
        </w:rPr>
        <w:t>allowed</w:t>
      </w:r>
      <w:proofErr w:type="spellEnd"/>
      <w:r w:rsidRPr="006B4802">
        <w:rPr>
          <w:sz w:val="24"/>
          <w:lang w:val="el-GR"/>
        </w:rPr>
        <w:t xml:space="preserve"> </w:t>
      </w:r>
      <w:proofErr w:type="spellStart"/>
      <w:r w:rsidRPr="006B4802">
        <w:rPr>
          <w:sz w:val="24"/>
          <w:lang w:val="el-GR"/>
        </w:rPr>
        <w:t>to</w:t>
      </w:r>
      <w:proofErr w:type="spellEnd"/>
      <w:r w:rsidRPr="006B4802">
        <w:rPr>
          <w:sz w:val="24"/>
          <w:lang w:val="el-GR"/>
        </w:rPr>
        <w:t xml:space="preserve"> </w:t>
      </w:r>
      <w:proofErr w:type="spellStart"/>
      <w:r w:rsidRPr="006B4802">
        <w:rPr>
          <w:sz w:val="24"/>
          <w:lang w:val="el-GR"/>
        </w:rPr>
        <w:t>drive</w:t>
      </w:r>
      <w:proofErr w:type="spellEnd"/>
      <w:r w:rsidRPr="006B4802">
        <w:rPr>
          <w:sz w:val="24"/>
          <w:lang w:val="el-GR"/>
        </w:rPr>
        <w:t>» (Οι</w:t>
      </w:r>
      <w:r w:rsidR="00DB3EF9">
        <w:rPr>
          <w:sz w:val="24"/>
          <w:lang w:val="el-GR"/>
        </w:rPr>
        <w:t> </w:t>
      </w:r>
      <w:r w:rsidRPr="006B4802">
        <w:rPr>
          <w:sz w:val="24"/>
          <w:lang w:val="el-GR"/>
        </w:rPr>
        <w:t>γυναίκες της Σαουδικής Αραβίας επιτρέπεται πλέον να οδηγούν νόμιμα), 25 Ιουνίου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A168" w14:textId="77777777" w:rsidR="00064002" w:rsidRPr="006B48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01B05" w14:textId="77777777" w:rsidR="00064002" w:rsidRPr="006B48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1F459" w14:textId="77777777" w:rsidR="00064002" w:rsidRPr="006B48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05D3A"/>
    <w:multiLevelType w:val="hybridMultilevel"/>
    <w:tmpl w:val="83E08B78"/>
    <w:lvl w:ilvl="0" w:tplc="5434E1F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DED726A"/>
    <w:multiLevelType w:val="hybridMultilevel"/>
    <w:tmpl w:val="51F2134E"/>
    <w:lvl w:ilvl="0" w:tplc="5434E1F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510116"/>
    <w:multiLevelType w:val="hybridMultilevel"/>
    <w:tmpl w:val="ADBEDD7A"/>
    <w:lvl w:ilvl="0" w:tplc="5434E1F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4055CD"/>
    <w:multiLevelType w:val="hybridMultilevel"/>
    <w:tmpl w:val="2A427B64"/>
    <w:lvl w:ilvl="0" w:tplc="5434E1F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02C16FF"/>
    <w:multiLevelType w:val="hybridMultilevel"/>
    <w:tmpl w:val="E8246C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99623F"/>
    <w:multiLevelType w:val="hybridMultilevel"/>
    <w:tmpl w:val="9176068C"/>
    <w:lvl w:ilvl="0" w:tplc="5434E1F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6828495">
    <w:abstractNumId w:val="9"/>
  </w:num>
  <w:num w:numId="2" w16cid:durableId="179782905">
    <w:abstractNumId w:val="9"/>
  </w:num>
  <w:num w:numId="3" w16cid:durableId="1297835921">
    <w:abstractNumId w:val="7"/>
  </w:num>
  <w:num w:numId="4" w16cid:durableId="870415110">
    <w:abstractNumId w:val="7"/>
  </w:num>
  <w:num w:numId="5" w16cid:durableId="1977291709">
    <w:abstractNumId w:val="6"/>
  </w:num>
  <w:num w:numId="6" w16cid:durableId="1294866887">
    <w:abstractNumId w:val="6"/>
  </w:num>
  <w:num w:numId="7" w16cid:durableId="1322737309">
    <w:abstractNumId w:val="5"/>
  </w:num>
  <w:num w:numId="8" w16cid:durableId="321003899">
    <w:abstractNumId w:val="5"/>
  </w:num>
  <w:num w:numId="9" w16cid:durableId="2120106135">
    <w:abstractNumId w:val="4"/>
  </w:num>
  <w:num w:numId="10" w16cid:durableId="2044362742">
    <w:abstractNumId w:val="4"/>
  </w:num>
  <w:num w:numId="11" w16cid:durableId="811096067">
    <w:abstractNumId w:val="8"/>
  </w:num>
  <w:num w:numId="12" w16cid:durableId="1497262006">
    <w:abstractNumId w:val="8"/>
  </w:num>
  <w:num w:numId="13" w16cid:durableId="2119444892">
    <w:abstractNumId w:val="3"/>
  </w:num>
  <w:num w:numId="14" w16cid:durableId="528182358">
    <w:abstractNumId w:val="3"/>
  </w:num>
  <w:num w:numId="15" w16cid:durableId="1875843817">
    <w:abstractNumId w:val="2"/>
  </w:num>
  <w:num w:numId="16" w16cid:durableId="595673567">
    <w:abstractNumId w:val="2"/>
  </w:num>
  <w:num w:numId="17" w16cid:durableId="882250247">
    <w:abstractNumId w:val="1"/>
  </w:num>
  <w:num w:numId="18" w16cid:durableId="292754355">
    <w:abstractNumId w:val="1"/>
  </w:num>
  <w:num w:numId="19" w16cid:durableId="1111440600">
    <w:abstractNumId w:val="0"/>
  </w:num>
  <w:num w:numId="20" w16cid:durableId="725107576">
    <w:abstractNumId w:val="0"/>
  </w:num>
  <w:num w:numId="21" w16cid:durableId="961494067">
    <w:abstractNumId w:val="9"/>
  </w:num>
  <w:num w:numId="22" w16cid:durableId="1364476173">
    <w:abstractNumId w:val="7"/>
  </w:num>
  <w:num w:numId="23" w16cid:durableId="1936941966">
    <w:abstractNumId w:val="6"/>
  </w:num>
  <w:num w:numId="24" w16cid:durableId="215550511">
    <w:abstractNumId w:val="5"/>
  </w:num>
  <w:num w:numId="25" w16cid:durableId="255866289">
    <w:abstractNumId w:val="4"/>
  </w:num>
  <w:num w:numId="26" w16cid:durableId="2127001590">
    <w:abstractNumId w:val="8"/>
  </w:num>
  <w:num w:numId="27" w16cid:durableId="505481485">
    <w:abstractNumId w:val="3"/>
  </w:num>
  <w:num w:numId="28" w16cid:durableId="1840536096">
    <w:abstractNumId w:val="2"/>
  </w:num>
  <w:num w:numId="29" w16cid:durableId="664819527">
    <w:abstractNumId w:val="1"/>
  </w:num>
  <w:num w:numId="30" w16cid:durableId="48652560">
    <w:abstractNumId w:val="0"/>
  </w:num>
  <w:num w:numId="31" w16cid:durableId="1809281060">
    <w:abstractNumId w:val="9"/>
  </w:num>
  <w:num w:numId="32" w16cid:durableId="1728068229">
    <w:abstractNumId w:val="7"/>
  </w:num>
  <w:num w:numId="33" w16cid:durableId="891040573">
    <w:abstractNumId w:val="6"/>
  </w:num>
  <w:num w:numId="34" w16cid:durableId="1214662475">
    <w:abstractNumId w:val="5"/>
  </w:num>
  <w:num w:numId="35" w16cid:durableId="1943417324">
    <w:abstractNumId w:val="4"/>
  </w:num>
  <w:num w:numId="36" w16cid:durableId="462191425">
    <w:abstractNumId w:val="8"/>
  </w:num>
  <w:num w:numId="37" w16cid:durableId="1857185363">
    <w:abstractNumId w:val="3"/>
  </w:num>
  <w:num w:numId="38" w16cid:durableId="230972723">
    <w:abstractNumId w:val="2"/>
  </w:num>
  <w:num w:numId="39" w16cid:durableId="1889028905">
    <w:abstractNumId w:val="1"/>
  </w:num>
  <w:num w:numId="40" w16cid:durableId="895707004">
    <w:abstractNumId w:val="0"/>
  </w:num>
  <w:num w:numId="41" w16cid:durableId="1895240567">
    <w:abstractNumId w:val="10"/>
  </w:num>
  <w:num w:numId="42" w16cid:durableId="1775902121">
    <w:abstractNumId w:val="10"/>
  </w:num>
  <w:num w:numId="43" w16cid:durableId="2140873714">
    <w:abstractNumId w:val="10"/>
  </w:num>
  <w:num w:numId="44" w16cid:durableId="1535844610">
    <w:abstractNumId w:val="14"/>
  </w:num>
  <w:num w:numId="45" w16cid:durableId="598175897">
    <w:abstractNumId w:val="16"/>
  </w:num>
  <w:num w:numId="46" w16cid:durableId="840269536">
    <w:abstractNumId w:val="15"/>
  </w:num>
  <w:num w:numId="47" w16cid:durableId="1721248727">
    <w:abstractNumId w:val="12"/>
  </w:num>
  <w:num w:numId="48" w16cid:durableId="59332796">
    <w:abstractNumId w:val="17"/>
  </w:num>
  <w:num w:numId="49" w16cid:durableId="313216576">
    <w:abstractNumId w:val="13"/>
  </w:num>
  <w:num w:numId="50" w16cid:durableId="878513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EL"/>
    <w:docVar w:name="dvnumam" w:val="0"/>
    <w:docVar w:name="dvpe" w:val="775.425"/>
    <w:docVar w:name="dvrapporteur" w:val="Εισηγήτρια: "/>
    <w:docVar w:name="dvtitre" w:val="Ψήφισμα του Ευρωπαϊκού Κοινοβουλίου για τις σχέσεις μεταξύ ΕΕ και Σαουδικής Αραβίας(2025/2082(INI))"/>
  </w:docVars>
  <w:rsids>
    <w:rsidRoot w:val="00671D91"/>
    <w:rsid w:val="00002272"/>
    <w:rsid w:val="00004122"/>
    <w:rsid w:val="00064002"/>
    <w:rsid w:val="000677B9"/>
    <w:rsid w:val="000831BA"/>
    <w:rsid w:val="00094BFA"/>
    <w:rsid w:val="000A42CC"/>
    <w:rsid w:val="000E7DD9"/>
    <w:rsid w:val="0010095E"/>
    <w:rsid w:val="0012009C"/>
    <w:rsid w:val="00125B37"/>
    <w:rsid w:val="00187494"/>
    <w:rsid w:val="001F32AE"/>
    <w:rsid w:val="002654F3"/>
    <w:rsid w:val="002767FF"/>
    <w:rsid w:val="002B18FE"/>
    <w:rsid w:val="002B5493"/>
    <w:rsid w:val="002D6D5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3E5"/>
    <w:rsid w:val="005C2568"/>
    <w:rsid w:val="005F1B17"/>
    <w:rsid w:val="006037C0"/>
    <w:rsid w:val="006631B6"/>
    <w:rsid w:val="00671D91"/>
    <w:rsid w:val="00680577"/>
    <w:rsid w:val="006B480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1E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DAC"/>
    <w:rsid w:val="00D56C11"/>
    <w:rsid w:val="00D834A0"/>
    <w:rsid w:val="00D872DF"/>
    <w:rsid w:val="00D91E21"/>
    <w:rsid w:val="00DA7FCD"/>
    <w:rsid w:val="00DB3EF9"/>
    <w:rsid w:val="00DE38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613BE"/>
  <w15:chartTrackingRefBased/>
  <w15:docId w15:val="{8A26DFF1-35D9-49BB-9835-227BF92FD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831ED"/>
    <w:pPr>
      <w:widowControl/>
      <w:spacing w:after="240"/>
    </w:pPr>
    <w:rPr>
      <w:szCs w:val="24"/>
      <w:lang w:eastAsia="en-US"/>
    </w:rPr>
  </w:style>
  <w:style w:type="paragraph" w:customStyle="1" w:styleId="NormalHanging12a">
    <w:name w:val="NormalHanging12a"/>
    <w:basedOn w:val="Normal"/>
    <w:rsid w:val="00A831ED"/>
    <w:pPr>
      <w:widowControl/>
      <w:spacing w:after="240"/>
      <w:ind w:left="566" w:hanging="566"/>
    </w:pPr>
    <w:rPr>
      <w:szCs w:val="24"/>
      <w:lang w:eastAsia="en-US"/>
    </w:rPr>
  </w:style>
  <w:style w:type="paragraph" w:customStyle="1" w:styleId="Normal12">
    <w:name w:val="Normal12"/>
    <w:basedOn w:val="Normal"/>
    <w:rsid w:val="00A831ED"/>
    <w:pPr>
      <w:widowControl/>
      <w:spacing w:after="240"/>
    </w:pPr>
    <w:rPr>
      <w:szCs w:val="24"/>
      <w:lang w:eastAsia="en-US"/>
    </w:rPr>
  </w:style>
  <w:style w:type="paragraph" w:customStyle="1" w:styleId="NormalHanging">
    <w:name w:val="NormalHanging"/>
    <w:basedOn w:val="Normal"/>
    <w:rsid w:val="00A831ED"/>
    <w:pPr>
      <w:widowControl/>
      <w:spacing w:after="240"/>
      <w:ind w:left="566" w:hanging="566"/>
    </w:pPr>
    <w:rPr>
      <w:szCs w:val="24"/>
      <w:lang w:eastAsia="en-US"/>
    </w:rPr>
  </w:style>
  <w:style w:type="paragraph" w:customStyle="1" w:styleId="NormalBold12a">
    <w:name w:val="NormalBold12a"/>
    <w:basedOn w:val="Normal"/>
    <w:rsid w:val="00A831ED"/>
    <w:pPr>
      <w:widowControl/>
      <w:spacing w:after="240"/>
    </w:pPr>
    <w:rPr>
      <w:b/>
      <w:szCs w:val="24"/>
      <w:lang w:eastAsia="en-US"/>
    </w:rPr>
  </w:style>
  <w:style w:type="paragraph" w:customStyle="1" w:styleId="NormalCenter12a">
    <w:name w:val="NormalCenter12a"/>
    <w:basedOn w:val="Normal"/>
    <w:rsid w:val="00A831ED"/>
    <w:pPr>
      <w:widowControl/>
      <w:spacing w:after="240"/>
      <w:jc w:val="center"/>
    </w:pPr>
    <w:rPr>
      <w:szCs w:val="24"/>
      <w:lang w:eastAsia="en-US"/>
    </w:rPr>
  </w:style>
  <w:style w:type="character" w:styleId="Hyperlink">
    <w:name w:val="Hyperlink"/>
    <w:basedOn w:val="DefaultParagraphFont"/>
    <w:rsid w:val="00A831ED"/>
    <w:rPr>
      <w:color w:val="0000FF"/>
      <w:u w:val="single"/>
    </w:rPr>
  </w:style>
  <w:style w:type="paragraph" w:styleId="Revision">
    <w:name w:val="Revision"/>
    <w:hidden/>
    <w:uiPriority w:val="99"/>
    <w:semiHidden/>
    <w:rsid w:val="005653E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5116</Words>
  <Characters>30832</Characters>
  <Application>Microsoft Office Word</Application>
  <DocSecurity>0</DocSecurity>
  <Lines>629</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2025-12-16T12:27:00Z</dcterms:created>
  <dcterms:modified xsi:type="dcterms:W3CDTF">2025-12-16T12:27:00Z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A10-0230/2025</vt:lpwstr>
  </property>
  <property fmtid="{D5CDD505-2E9C-101B-9397-08002B2CF9AE}" pid="4" name="&lt;Type&gt;">
    <vt:lpwstr>RR</vt:lpwstr>
  </property>
</Properties>
</file>