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D650B" w14:paraId="68C1DB3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E9E0A2C" w14:textId="23BFCF33" w:rsidR="00751A4A" w:rsidRPr="00CD650B" w:rsidRDefault="007C0529" w:rsidP="0010095E">
            <w:pPr>
              <w:pStyle w:val="EPName"/>
            </w:pPr>
            <w:r w:rsidRPr="00CD650B">
              <w:t>Parlament Europejski</w:t>
            </w:r>
          </w:p>
          <w:p w14:paraId="1FF914BA" w14:textId="77777777" w:rsidR="00751A4A" w:rsidRPr="00CD650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D650B">
              <w:t>2024</w:t>
            </w:r>
            <w:r w:rsidR="00817416" w:rsidRPr="00CD650B">
              <w:t>-202</w:t>
            </w:r>
            <w:r w:rsidRPr="00CD650B">
              <w:t>9</w:t>
            </w:r>
          </w:p>
        </w:tc>
        <w:tc>
          <w:tcPr>
            <w:tcW w:w="2268" w:type="dxa"/>
            <w:shd w:val="clear" w:color="auto" w:fill="auto"/>
          </w:tcPr>
          <w:p w14:paraId="319CD5C6" w14:textId="77777777" w:rsidR="00751A4A" w:rsidRPr="00CD650B" w:rsidRDefault="00187494" w:rsidP="0010095E">
            <w:pPr>
              <w:pStyle w:val="EPLogo"/>
            </w:pPr>
            <w:r w:rsidRPr="00CD650B">
              <w:rPr>
                <w:noProof/>
                <w:lang w:eastAsia="ja-JP"/>
              </w:rPr>
              <w:drawing>
                <wp:inline distT="0" distB="0" distL="0" distR="0" wp14:anchorId="0B29EC91" wp14:editId="626522A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043927" w14:textId="77777777" w:rsidR="00D058B8" w:rsidRPr="00CD650B" w:rsidRDefault="00D058B8" w:rsidP="004C5D52">
      <w:pPr>
        <w:pStyle w:val="LineTop"/>
      </w:pPr>
    </w:p>
    <w:p w14:paraId="6D117B63" w14:textId="156ED138" w:rsidR="00680577" w:rsidRPr="00CD650B" w:rsidRDefault="007C0529" w:rsidP="00680577">
      <w:pPr>
        <w:pStyle w:val="EPBodyTA1"/>
      </w:pPr>
      <w:r w:rsidRPr="00CD650B">
        <w:t>TEKSTY PRZYJĘTE</w:t>
      </w:r>
    </w:p>
    <w:p w14:paraId="52B7664C" w14:textId="77777777" w:rsidR="00D058B8" w:rsidRPr="00CD650B" w:rsidRDefault="00D058B8" w:rsidP="00D058B8">
      <w:pPr>
        <w:pStyle w:val="LineBottom"/>
      </w:pPr>
    </w:p>
    <w:p w14:paraId="15A5D480" w14:textId="54351F1A" w:rsidR="007C0529" w:rsidRPr="00CD650B" w:rsidRDefault="007C0529" w:rsidP="007C0529">
      <w:pPr>
        <w:pStyle w:val="ATHeading1"/>
      </w:pPr>
      <w:bookmarkStart w:id="0" w:name="TANumber"/>
      <w:r w:rsidRPr="00CD650B">
        <w:t>P10_TA(2025)0</w:t>
      </w:r>
      <w:bookmarkEnd w:id="0"/>
      <w:r w:rsidR="00D57132">
        <w:t>326</w:t>
      </w:r>
    </w:p>
    <w:p w14:paraId="2215248A" w14:textId="2C7245BB" w:rsidR="007C0529" w:rsidRPr="004B773B" w:rsidRDefault="004B773B" w:rsidP="007C0529">
      <w:pPr>
        <w:pStyle w:val="ATHeading2"/>
      </w:pPr>
      <w:r w:rsidRPr="004B773B">
        <w:t>Stosunki pomi</w:t>
      </w:r>
      <w:r w:rsidRPr="004B773B">
        <w:rPr>
          <w:rFonts w:hint="eastAsia"/>
        </w:rPr>
        <w:t>ę</w:t>
      </w:r>
      <w:r w:rsidRPr="004B773B">
        <w:t>dzy UE a Arabi</w:t>
      </w:r>
      <w:r w:rsidRPr="004B773B">
        <w:rPr>
          <w:rFonts w:hint="eastAsia"/>
        </w:rPr>
        <w:t>ą</w:t>
      </w:r>
      <w:r w:rsidRPr="004B773B">
        <w:t xml:space="preserve"> Saudyjsk</w:t>
      </w:r>
      <w:r w:rsidRPr="004B773B">
        <w:rPr>
          <w:rFonts w:hint="eastAsia"/>
        </w:rPr>
        <w:t>ą</w:t>
      </w:r>
    </w:p>
    <w:p w14:paraId="0F016EBE" w14:textId="77777777" w:rsidR="007C0529" w:rsidRPr="00CD650B" w:rsidRDefault="007C0529" w:rsidP="007C0529">
      <w:pPr>
        <w:rPr>
          <w:i/>
          <w:vanish/>
        </w:rPr>
      </w:pPr>
      <w:r w:rsidRPr="00CD650B">
        <w:rPr>
          <w:i/>
        </w:rPr>
        <w:fldChar w:fldCharType="begin"/>
      </w:r>
      <w:r w:rsidRPr="00CD650B">
        <w:rPr>
          <w:i/>
        </w:rPr>
        <w:instrText xml:space="preserve"> TC"(</w:instrText>
      </w:r>
      <w:bookmarkStart w:id="1" w:name="DocNumber"/>
      <w:r w:rsidRPr="00CD650B">
        <w:rPr>
          <w:i/>
        </w:rPr>
        <w:instrText>A10-0230/2025</w:instrText>
      </w:r>
      <w:bookmarkEnd w:id="1"/>
      <w:r w:rsidRPr="00CD650B">
        <w:rPr>
          <w:i/>
        </w:rPr>
        <w:instrText xml:space="preserve"> - Sprawozdawca: Hana </w:instrText>
      </w:r>
      <w:proofErr w:type="spellStart"/>
      <w:r w:rsidRPr="00CD650B">
        <w:rPr>
          <w:i/>
        </w:rPr>
        <w:instrText>Jalloul</w:instrText>
      </w:r>
      <w:proofErr w:type="spellEnd"/>
      <w:r w:rsidRPr="00CD650B">
        <w:rPr>
          <w:i/>
        </w:rPr>
        <w:instrText xml:space="preserve"> Muro)"\l3 \n&gt; \* MERGEFORMAT </w:instrText>
      </w:r>
      <w:r w:rsidRPr="00CD650B">
        <w:rPr>
          <w:i/>
        </w:rPr>
        <w:fldChar w:fldCharType="end"/>
      </w:r>
    </w:p>
    <w:p w14:paraId="1892B3B0" w14:textId="77777777" w:rsidR="007C0529" w:rsidRPr="00CD650B" w:rsidRDefault="007C0529" w:rsidP="007C0529">
      <w:pPr>
        <w:rPr>
          <w:vanish/>
        </w:rPr>
      </w:pPr>
      <w:bookmarkStart w:id="2" w:name="Commission"/>
      <w:r w:rsidRPr="00CD650B">
        <w:rPr>
          <w:vanish/>
        </w:rPr>
        <w:t>Komisja Spraw Zagranicznych</w:t>
      </w:r>
      <w:bookmarkEnd w:id="2"/>
    </w:p>
    <w:p w14:paraId="34967282" w14:textId="77777777" w:rsidR="007C0529" w:rsidRPr="00CD650B" w:rsidRDefault="007C0529" w:rsidP="007C0529">
      <w:pPr>
        <w:rPr>
          <w:vanish/>
        </w:rPr>
      </w:pPr>
      <w:bookmarkStart w:id="3" w:name="PE"/>
      <w:r w:rsidRPr="00CD650B">
        <w:rPr>
          <w:vanish/>
        </w:rPr>
        <w:t>PE775.425</w:t>
      </w:r>
      <w:bookmarkEnd w:id="3"/>
    </w:p>
    <w:p w14:paraId="5BB50929" w14:textId="65715E85" w:rsidR="007C0529" w:rsidRPr="00CD650B" w:rsidRDefault="007C0529" w:rsidP="007C0529">
      <w:pPr>
        <w:pStyle w:val="ATHeading3"/>
      </w:pPr>
      <w:bookmarkStart w:id="4" w:name="Sujet"/>
      <w:r w:rsidRPr="00CD650B">
        <w:t xml:space="preserve">Rezolucja Parlamentu Europejskiego z dnia </w:t>
      </w:r>
      <w:r w:rsidR="00C23C46">
        <w:t>16</w:t>
      </w:r>
      <w:r w:rsidR="004B773B">
        <w:t xml:space="preserve"> grudnia</w:t>
      </w:r>
      <w:r w:rsidRPr="00CD650B">
        <w:t xml:space="preserve"> 2025 r. w sprawie stosunków pomiędzy UE a Arabią Saudyjską</w:t>
      </w:r>
      <w:bookmarkEnd w:id="4"/>
      <w:r w:rsidRPr="00CD650B">
        <w:t xml:space="preserve"> </w:t>
      </w:r>
      <w:bookmarkStart w:id="5" w:name="References"/>
      <w:r w:rsidRPr="00CD650B">
        <w:t>(2025/2082(INI))</w:t>
      </w:r>
      <w:bookmarkEnd w:id="5"/>
    </w:p>
    <w:p w14:paraId="614E2D5F" w14:textId="77777777" w:rsidR="00375E36" w:rsidRPr="00CD650B" w:rsidRDefault="00375E36" w:rsidP="00375E36">
      <w:pPr>
        <w:pStyle w:val="Normal12"/>
      </w:pPr>
      <w:r w:rsidRPr="00CD650B">
        <w:rPr>
          <w:i/>
        </w:rPr>
        <w:t>Parlament Europejski</w:t>
      </w:r>
      <w:r w:rsidRPr="00CD650B">
        <w:t>,</w:t>
      </w:r>
    </w:p>
    <w:p w14:paraId="0F2F7161" w14:textId="77777777" w:rsidR="00375E36" w:rsidRPr="00CD650B" w:rsidRDefault="00375E36" w:rsidP="00375E36">
      <w:pPr>
        <w:pStyle w:val="NormalHanging"/>
      </w:pPr>
      <w:r w:rsidRPr="00CD650B">
        <w:t>–</w:t>
      </w:r>
      <w:r w:rsidRPr="00CD650B">
        <w:tab/>
        <w:t>uwzględniając art. 205–222 Traktatu o funkcjonowaniu Unii Europejskiej (TFUE),</w:t>
      </w:r>
    </w:p>
    <w:p w14:paraId="2A1D3DE1" w14:textId="77777777" w:rsidR="00375E36" w:rsidRPr="00CD650B" w:rsidRDefault="00375E36" w:rsidP="00375E36">
      <w:pPr>
        <w:pStyle w:val="NormalHanging"/>
      </w:pPr>
      <w:r w:rsidRPr="00CD650B">
        <w:t>–</w:t>
      </w:r>
      <w:r w:rsidRPr="00CD650B">
        <w:tab/>
        <w:t xml:space="preserve">uwzględniając swoje poprzednie rezolucje w sprawie Arabii Saudyjskiej, w szczególności rezolucję z dnia 25 października 2018 r. w sprawie zabójstwa dziennikarza </w:t>
      </w:r>
      <w:proofErr w:type="spellStart"/>
      <w:r w:rsidRPr="00CD650B">
        <w:t>Dżamala</w:t>
      </w:r>
      <w:proofErr w:type="spellEnd"/>
      <w:r w:rsidRPr="00CD650B">
        <w:t xml:space="preserve"> </w:t>
      </w:r>
      <w:proofErr w:type="spellStart"/>
      <w:r w:rsidRPr="00CD650B">
        <w:t>Chaszukdżiego</w:t>
      </w:r>
      <w:proofErr w:type="spellEnd"/>
      <w:r w:rsidRPr="00CD650B">
        <w:t xml:space="preserve"> w konsulacie Arabii Saudyjskiej w Stambule</w:t>
      </w:r>
      <w:r w:rsidRPr="00CD650B">
        <w:rPr>
          <w:rStyle w:val="FootnoteReference"/>
        </w:rPr>
        <w:footnoteReference w:customMarkFollows="1" w:id="1"/>
        <w:t>1</w:t>
      </w:r>
      <w:r w:rsidRPr="00CD650B">
        <w:t>, rezolucję z dnia 11 lutego 2021 r. w sprawie w sprawie sytuacji humanitarnej i politycznej w Jemenie</w:t>
      </w:r>
      <w:r w:rsidRPr="00CD650B">
        <w:rPr>
          <w:rStyle w:val="FootnoteReference"/>
        </w:rPr>
        <w:footnoteReference w:customMarkFollows="1" w:id="2"/>
        <w:t>2</w:t>
      </w:r>
      <w:r w:rsidRPr="00CD650B">
        <w:t xml:space="preserve"> oraz rezolucję z dnia 8 lipca 2021 r. w sprawie kary śmierci w Arabii Saudyjskiej, w szczególności sprawy Mustafy </w:t>
      </w:r>
      <w:proofErr w:type="spellStart"/>
      <w:r w:rsidRPr="00CD650B">
        <w:t>Haszema</w:t>
      </w:r>
      <w:proofErr w:type="spellEnd"/>
      <w:r w:rsidRPr="00CD650B">
        <w:t xml:space="preserve"> al-</w:t>
      </w:r>
      <w:proofErr w:type="spellStart"/>
      <w:r w:rsidRPr="00CD650B">
        <w:t>Darwisza</w:t>
      </w:r>
      <w:proofErr w:type="spellEnd"/>
      <w:r w:rsidRPr="00CD650B">
        <w:t xml:space="preserve"> i Abdullaha al-Huwaitiego</w:t>
      </w:r>
      <w:r w:rsidRPr="00CD650B">
        <w:rPr>
          <w:rStyle w:val="FootnoteReference"/>
        </w:rPr>
        <w:footnoteReference w:customMarkFollows="1" w:id="3"/>
        <w:t>3</w:t>
      </w:r>
      <w:r w:rsidRPr="00CD650B">
        <w:t>,</w:t>
      </w:r>
    </w:p>
    <w:p w14:paraId="3EDB9796" w14:textId="7250FBD2" w:rsidR="00375E36" w:rsidRPr="00CD650B" w:rsidRDefault="00375E36" w:rsidP="00375E36">
      <w:pPr>
        <w:pStyle w:val="NormalHanging"/>
      </w:pPr>
      <w:r w:rsidRPr="00CD650B">
        <w:t>–</w:t>
      </w:r>
      <w:r w:rsidRPr="00CD650B">
        <w:tab/>
        <w:t xml:space="preserve">uwzględniając wspólny komunikat Komisji oraz Wysokiego Przedstawiciela Unii do Spraw Zagranicznych i Polityki Bezpieczeństwa z </w:t>
      </w:r>
      <w:r w:rsidR="004B773B" w:rsidRPr="00CD650B">
        <w:t xml:space="preserve">dnia </w:t>
      </w:r>
      <w:r w:rsidRPr="00CD650B">
        <w:t>18 maja 2022 r. w sprawie partnerstwa strategicznego z Zatoką Perską (</w:t>
      </w:r>
      <w:proofErr w:type="gramStart"/>
      <w:r w:rsidRPr="00CD650B">
        <w:t>JOIN(</w:t>
      </w:r>
      <w:proofErr w:type="gramEnd"/>
      <w:r w:rsidRPr="00CD650B">
        <w:t xml:space="preserve">2022)0013) oraz konkluzje Rady w tej sprawie z </w:t>
      </w:r>
      <w:r w:rsidR="004B773B" w:rsidRPr="00CD650B">
        <w:t xml:space="preserve">dnia </w:t>
      </w:r>
      <w:r w:rsidRPr="00CD650B">
        <w:t>20 czerwca 2022 r.,</w:t>
      </w:r>
    </w:p>
    <w:p w14:paraId="09532DD6" w14:textId="77777777" w:rsidR="00375E36" w:rsidRPr="00CD650B" w:rsidRDefault="00375E36" w:rsidP="00375E36">
      <w:pPr>
        <w:pStyle w:val="NormalHanging"/>
      </w:pPr>
      <w:r w:rsidRPr="00CD650B">
        <w:t>–</w:t>
      </w:r>
      <w:r w:rsidRPr="00CD650B">
        <w:tab/>
        <w:t xml:space="preserve">uwzględniając mandat Rady do rozpoczęcia negocjacji w sprawie umów o partnerstwie strategicznym z państwami należącymi do Rady Współpracy Państw Arabskich Zatoki Perskiej (RWPZ) </w:t>
      </w:r>
      <w:proofErr w:type="gramStart"/>
      <w:r w:rsidRPr="00CD650B">
        <w:t>oraz,</w:t>
      </w:r>
      <w:proofErr w:type="gramEnd"/>
      <w:r w:rsidRPr="00CD650B">
        <w:t xml:space="preserve"> odpowiednio, z Królestwem Bahrajnu, Państwem Kuwejtu, Sułtanatem Omanu, Państwem Kataru, Królestwem Arabii Saudyjskiej i Zjednoczonymi Emiratami Arabskimi,</w:t>
      </w:r>
    </w:p>
    <w:p w14:paraId="57122423" w14:textId="27D98BEB" w:rsidR="00375E36" w:rsidRPr="00CD650B" w:rsidRDefault="00375E36" w:rsidP="00375E36">
      <w:pPr>
        <w:pStyle w:val="NormalHanging"/>
      </w:pPr>
      <w:r w:rsidRPr="00CD650B">
        <w:t>–</w:t>
      </w:r>
      <w:r w:rsidRPr="00CD650B">
        <w:tab/>
        <w:t xml:space="preserve">uwzględniając wspólne oświadczenie z pierwszego szczytu UE–RWPZ z </w:t>
      </w:r>
      <w:r w:rsidR="004B773B" w:rsidRPr="00CD650B">
        <w:t xml:space="preserve">dnia </w:t>
      </w:r>
      <w:r w:rsidRPr="00CD650B">
        <w:t>16 października 2024 r.,</w:t>
      </w:r>
    </w:p>
    <w:p w14:paraId="6E0131CC" w14:textId="382DBCE9" w:rsidR="00375E36" w:rsidRPr="00CD650B" w:rsidRDefault="00375E36" w:rsidP="00375E36">
      <w:pPr>
        <w:pStyle w:val="NormalHanging"/>
      </w:pPr>
      <w:r w:rsidRPr="00CD650B">
        <w:t>–</w:t>
      </w:r>
      <w:r w:rsidRPr="00CD650B">
        <w:tab/>
        <w:t xml:space="preserve">uwzględniając wspólne oświadczenie z </w:t>
      </w:r>
      <w:r w:rsidR="004B773B" w:rsidRPr="00CD650B">
        <w:t xml:space="preserve">dnia </w:t>
      </w:r>
      <w:r w:rsidRPr="00CD650B">
        <w:t xml:space="preserve">29. posiedzenia Wspólnej Rady i spotkania ministerialnego UE–RWPZ z </w:t>
      </w:r>
      <w:r w:rsidR="004B773B" w:rsidRPr="00CD650B">
        <w:t xml:space="preserve">dnia </w:t>
      </w:r>
      <w:r w:rsidRPr="00CD650B">
        <w:t>6 października 2025 r.,</w:t>
      </w:r>
    </w:p>
    <w:p w14:paraId="3EE04C35" w14:textId="364076FA" w:rsidR="00375E36" w:rsidRPr="00CD650B" w:rsidRDefault="00375E36" w:rsidP="00375E36">
      <w:pPr>
        <w:pStyle w:val="NormalHanging"/>
      </w:pPr>
      <w:r w:rsidRPr="00CD650B">
        <w:lastRenderedPageBreak/>
        <w:t>–</w:t>
      </w:r>
      <w:r w:rsidRPr="00CD650B">
        <w:tab/>
        <w:t>uwzględniając zalecenie dotyczące decyzji Rady w sprawie nowych wytycznych negocjacyjnych dotyczących regionalnej umowy o wolnym handlu i dwustronnych umów o wolnym handlu z państwami należącymi do Rady Współpracy Państw Arabskich Zatoki Perskiej oraz odpowiednio z Królestwem Bahrajnu, Państwem Kuwejtu, Sułtanatem Omanu, Państwem Kataru, Królestwem Arabii Saudyjskiej i Państwem Zjednoczonych Emiratów Arabskich (</w:t>
      </w:r>
      <w:proofErr w:type="gramStart"/>
      <w:r w:rsidRPr="004B773B">
        <w:t>COM(</w:t>
      </w:r>
      <w:proofErr w:type="gramEnd"/>
      <w:r w:rsidRPr="004B773B">
        <w:t>2025)0194</w:t>
      </w:r>
      <w:r w:rsidRPr="00CD650B">
        <w:t>),</w:t>
      </w:r>
    </w:p>
    <w:p w14:paraId="3DD852B7" w14:textId="77777777" w:rsidR="00375E36" w:rsidRPr="00CD650B" w:rsidRDefault="00375E36" w:rsidP="00375E36">
      <w:pPr>
        <w:pStyle w:val="NormalHanging"/>
      </w:pPr>
      <w:r w:rsidRPr="00CD650B">
        <w:t>–</w:t>
      </w:r>
      <w:r w:rsidRPr="00CD650B">
        <w:tab/>
        <w:t>uwzględniając porozumienie o współpracy między Europejską Służbą Działań Zewnętrznych a Ministerstwem Spraw Zagranicznych Królestwa Arabii Saudyjskiej podpisane 3 października 2021 r.,</w:t>
      </w:r>
    </w:p>
    <w:p w14:paraId="2EE9F892" w14:textId="77777777" w:rsidR="00375E36" w:rsidRPr="00CD650B" w:rsidRDefault="00375E36" w:rsidP="00375E36">
      <w:pPr>
        <w:pStyle w:val="NormalHanging"/>
      </w:pPr>
      <w:r w:rsidRPr="00CD650B">
        <w:t>–</w:t>
      </w:r>
      <w:r w:rsidRPr="00CD650B">
        <w:tab/>
        <w:t>uwzględniając czwartą rundę dialogu dotyczącego praw człowieka UE–Królestwo Arabii Saudyjskiej przeprowadzoną 20 grudnia 2024 r. w Rijadzie,</w:t>
      </w:r>
    </w:p>
    <w:p w14:paraId="60F1B475" w14:textId="77777777" w:rsidR="00375E36" w:rsidRPr="00CD650B" w:rsidRDefault="00375E36" w:rsidP="00375E36">
      <w:pPr>
        <w:pStyle w:val="NormalHanging"/>
      </w:pPr>
      <w:r w:rsidRPr="00CD650B">
        <w:t>–</w:t>
      </w:r>
      <w:r w:rsidRPr="00CD650B">
        <w:tab/>
        <w:t>uwzględniając globalny system sankcji UE za naruszenia praw człowieka ustanowiony w grudniu 2020 r.,</w:t>
      </w:r>
    </w:p>
    <w:p w14:paraId="33A4C7EB" w14:textId="77777777" w:rsidR="00375E36" w:rsidRPr="00CD650B" w:rsidRDefault="00375E36" w:rsidP="00375E36">
      <w:pPr>
        <w:pStyle w:val="NormalHanging"/>
      </w:pPr>
      <w:r w:rsidRPr="00CD650B">
        <w:t>–</w:t>
      </w:r>
      <w:r w:rsidRPr="00CD650B">
        <w:tab/>
        <w:t>uwzględniając Wytyczne UE w sprawie obrońców praw człowieka, przyjęte w 2004 r. i zmienione w 2008 r.,</w:t>
      </w:r>
    </w:p>
    <w:p w14:paraId="53964CED" w14:textId="77777777" w:rsidR="00375E36" w:rsidRPr="00CD650B" w:rsidRDefault="00375E36" w:rsidP="00375E36">
      <w:pPr>
        <w:pStyle w:val="NormalHanging"/>
      </w:pPr>
      <w:r w:rsidRPr="00CD650B">
        <w:t>–</w:t>
      </w:r>
      <w:r w:rsidRPr="00CD650B">
        <w:tab/>
        <w:t>uwzględniając sprawozdanie Grupy Ekspertów ONZ ds. Nazw Geograficznych z 8 kwietnia 2025 r. dotyczące Królestwa Arabii Saudyjskiej (2025/169/CRP.169),</w:t>
      </w:r>
    </w:p>
    <w:p w14:paraId="4811EFAC" w14:textId="62213673" w:rsidR="00375E36" w:rsidRPr="00CD650B" w:rsidRDefault="00375E36" w:rsidP="00375E36">
      <w:pPr>
        <w:pStyle w:val="NormalHanging"/>
      </w:pPr>
      <w:r w:rsidRPr="00CD650B">
        <w:t>–</w:t>
      </w:r>
      <w:r w:rsidRPr="00CD650B">
        <w:tab/>
        <w:t xml:space="preserve">uwzględniając Konwencję ONZ z </w:t>
      </w:r>
      <w:r w:rsidR="004B773B" w:rsidRPr="00CD650B">
        <w:t xml:space="preserve">dnia </w:t>
      </w:r>
      <w:r w:rsidRPr="00CD650B">
        <w:t>18 grudnia 1979 r. w sprawie likwidacji wszelkich form dyskryminacji kobiet,</w:t>
      </w:r>
    </w:p>
    <w:p w14:paraId="73246F93" w14:textId="77777777" w:rsidR="00375E36" w:rsidRPr="00CD650B" w:rsidRDefault="00375E36" w:rsidP="00375E36">
      <w:pPr>
        <w:pStyle w:val="NormalHanging"/>
      </w:pPr>
      <w:r w:rsidRPr="00CD650B">
        <w:t>–</w:t>
      </w:r>
      <w:r w:rsidRPr="00CD650B">
        <w:tab/>
        <w:t>uwzględniając art. 55 Regulaminu,</w:t>
      </w:r>
    </w:p>
    <w:p w14:paraId="57D94F4A" w14:textId="77777777" w:rsidR="00375E36" w:rsidRPr="00CD650B" w:rsidRDefault="00375E36" w:rsidP="00375E36">
      <w:pPr>
        <w:pStyle w:val="NormalHanging"/>
      </w:pPr>
      <w:r w:rsidRPr="00CD650B">
        <w:t>–</w:t>
      </w:r>
      <w:r w:rsidRPr="00CD650B">
        <w:tab/>
        <w:t>uwzględniając sprawozdanie Komisji Spraw Zagranicznych (A10-0230/2025),</w:t>
      </w:r>
    </w:p>
    <w:p w14:paraId="46C3B182" w14:textId="77777777" w:rsidR="00375E36" w:rsidRPr="00CD650B" w:rsidRDefault="00375E36" w:rsidP="00375E36">
      <w:pPr>
        <w:pStyle w:val="NormalHanging"/>
      </w:pPr>
      <w:r w:rsidRPr="00CD650B">
        <w:t>A.</w:t>
      </w:r>
      <w:r w:rsidRPr="00CD650B">
        <w:tab/>
        <w:t>mając na uwadze, że Arabia Saudyjska jest jednym z najważniejszych partnerów dwustronnych UE w regionie; mając na uwadze, jak ważne jest, by pogłębić tę współpracę na rzecz partnerstwa strategicznego, którego celem jest wzmocnienie stosunków dwustronnych i propagowanie współpracy w różnych sektorach, m.in. w dziedzinie obronności, kultury i innowacji, ale przede wszystkim w dziedzinie energii;</w:t>
      </w:r>
    </w:p>
    <w:p w14:paraId="5C7DAA15" w14:textId="77777777" w:rsidR="00375E36" w:rsidRPr="00CD650B" w:rsidRDefault="00375E36" w:rsidP="00375E36">
      <w:pPr>
        <w:pStyle w:val="NormalHanging"/>
      </w:pPr>
      <w:r w:rsidRPr="00CD650B">
        <w:t>B.</w:t>
      </w:r>
      <w:r w:rsidRPr="00CD650B">
        <w:tab/>
        <w:t>mając na uwadze, że Arabia Saudyjska jest 17. co do wielkości partnerem handlowym UE na świecie, a UE jest największym inwestorem zagranicznym Arabii Saudyjskiej;</w:t>
      </w:r>
    </w:p>
    <w:p w14:paraId="5BF2CA02" w14:textId="77777777" w:rsidR="00375E36" w:rsidRPr="00CD650B" w:rsidRDefault="00375E36" w:rsidP="00375E36">
      <w:pPr>
        <w:pStyle w:val="NormalHanging"/>
      </w:pPr>
      <w:r w:rsidRPr="00CD650B">
        <w:t>C.</w:t>
      </w:r>
      <w:r w:rsidRPr="00CD650B">
        <w:tab/>
        <w:t>mając na uwadze, że w ciągu ostatniej dekady Arabia Saudyjska i Chiny pogłębiły swoje więzi w ramach strategii „</w:t>
      </w:r>
      <w:proofErr w:type="spellStart"/>
      <w:r w:rsidRPr="00CD650B">
        <w:t>Vision</w:t>
      </w:r>
      <w:proofErr w:type="spellEnd"/>
      <w:r w:rsidRPr="00CD650B">
        <w:t xml:space="preserve"> 2030”, a Arabia Saudyjska stała się największym odbiorcą chińskich inwestycji w ramach inicjatywy Pasa i Szlaku w tym w infrastrukturę strategiczną, taką jak porty i sieci cyfrowe; mając na uwadze, że od 2019 r. Chiny są głównym nabywcą saudyjskiej ropy naftowej; mając na uwadze, że Arabia Saudyjska i Chiny zacieśniły współpracę w dziedzinie polityki zagranicznej, bezpieczeństwa, energii, handlu i technologii, ustanawiając w 2016 r. Wspólny Komitet Wysokiego Szczebla oraz podkomitety;</w:t>
      </w:r>
    </w:p>
    <w:p w14:paraId="0C3C9B87" w14:textId="77777777" w:rsidR="00375E36" w:rsidRPr="00CD650B" w:rsidRDefault="00375E36" w:rsidP="00375E36">
      <w:pPr>
        <w:pStyle w:val="NormalHanging"/>
      </w:pPr>
      <w:r w:rsidRPr="00CD650B">
        <w:t>D.</w:t>
      </w:r>
      <w:r w:rsidRPr="00CD650B">
        <w:tab/>
        <w:t>mając na uwadze, że Arabia Saudyjska zacieśnia swoje stosunki z Indiami, w szczególności w ramach projektu korytarza gospodarczego Indie – Bliski Wschód – Europa (IMEC), który ma na celu poprawę połączeń między Azją a Europą przez Półwysep Arabski;</w:t>
      </w:r>
    </w:p>
    <w:p w14:paraId="0C2733A2" w14:textId="77777777" w:rsidR="00375E36" w:rsidRPr="00CD650B" w:rsidRDefault="00375E36" w:rsidP="00375E36">
      <w:pPr>
        <w:pStyle w:val="NormalHanging"/>
      </w:pPr>
      <w:r w:rsidRPr="00CD650B">
        <w:lastRenderedPageBreak/>
        <w:t>E.</w:t>
      </w:r>
      <w:r w:rsidRPr="00CD650B">
        <w:tab/>
        <w:t>mając na uwadze, że Arabia Saudyjska nadal umacnia swój status zaufanego mediatora regionalnego i kluczowego podmiotu międzynarodowego oraz że niezwykle ważne jest, by odbywało się to z pełnym poszanowaniem i propagowaniem praw człowieka i prawa międzynarodowego;</w:t>
      </w:r>
    </w:p>
    <w:p w14:paraId="56F47A0F" w14:textId="77777777" w:rsidR="00375E36" w:rsidRPr="00CD650B" w:rsidRDefault="00375E36" w:rsidP="00375E36">
      <w:pPr>
        <w:pStyle w:val="NormalHanging"/>
      </w:pPr>
      <w:r w:rsidRPr="00CD650B">
        <w:t>F.</w:t>
      </w:r>
      <w:r w:rsidRPr="00CD650B">
        <w:tab/>
        <w:t>mając na uwadze, że przed Międzynarodowym Trybunałem Sprawiedliwości (MTS) toczy się postępowanie dotyczące stosowania w Strefie Gazy Konwencji w sprawie zapobiegania i karania zbrodni ludobójstwa (</w:t>
      </w:r>
      <w:r w:rsidRPr="00CD650B">
        <w:rPr>
          <w:i/>
        </w:rPr>
        <w:t>Republika Południowej Afryki</w:t>
      </w:r>
      <w:r w:rsidRPr="00CD650B">
        <w:t xml:space="preserve"> przeciwko </w:t>
      </w:r>
      <w:r w:rsidRPr="00CD650B">
        <w:rPr>
          <w:i/>
        </w:rPr>
        <w:t>Izraelowi</w:t>
      </w:r>
      <w:r w:rsidRPr="00CD650B">
        <w:t>), wszczęte 29 grudnia 2023 r. na wniosek Republiki Południowej Afryki;</w:t>
      </w:r>
    </w:p>
    <w:p w14:paraId="7BFB71BB" w14:textId="77777777" w:rsidR="00375E36" w:rsidRPr="00CD650B" w:rsidRDefault="00375E36" w:rsidP="00375E36">
      <w:pPr>
        <w:pStyle w:val="NormalHanging"/>
      </w:pPr>
      <w:r w:rsidRPr="00CD650B">
        <w:t>G.</w:t>
      </w:r>
      <w:r w:rsidRPr="00CD650B">
        <w:tab/>
        <w:t>mając na uwadze, że Arabia Saudyjska wzmacnia dialog i współpracę z UE w zakresie praw człowieka;</w:t>
      </w:r>
    </w:p>
    <w:p w14:paraId="7846FC6E" w14:textId="77777777" w:rsidR="00375E36" w:rsidRPr="00CD650B" w:rsidRDefault="00375E36" w:rsidP="00375E36">
      <w:pPr>
        <w:pStyle w:val="NormalHanging"/>
      </w:pPr>
      <w:r w:rsidRPr="00CD650B">
        <w:t>H.</w:t>
      </w:r>
      <w:r w:rsidRPr="00CD650B">
        <w:tab/>
        <w:t>mając na uwadze, że propagowanie poszanowania praw człowieka i prawa międzynarodowego w polityce zagranicznej, w tym w handlu, jest zobowiązaniem traktatowym UE zapisanym w art. 3 i 21 Traktatu o Unii Europejskiej;</w:t>
      </w:r>
    </w:p>
    <w:p w14:paraId="564EFE92" w14:textId="77777777" w:rsidR="00375E36" w:rsidRPr="00CD650B" w:rsidRDefault="00375E36" w:rsidP="00375E36">
      <w:pPr>
        <w:pStyle w:val="NormalHanging"/>
      </w:pPr>
      <w:r w:rsidRPr="00CD650B">
        <w:t>I.</w:t>
      </w:r>
      <w:r w:rsidRPr="00CD650B">
        <w:tab/>
        <w:t>mając na uwadze, że w swoich ustaleniach dotyczących Arabii Saudyjskiej z października 2024 r. Komitet ONZ ds. Likwidacji Dyskryminacji Kobiet (CEDAW) wyraził obawy dotyczące utrwalonych praktyk dyskryminacyjnych, nękania działaczek oraz szerszego wpływu środków karnych, w tym stosowania kary śmierci;</w:t>
      </w:r>
    </w:p>
    <w:p w14:paraId="2F89158F" w14:textId="77777777" w:rsidR="00375E36" w:rsidRPr="00CD650B" w:rsidRDefault="00375E36" w:rsidP="00375E36">
      <w:pPr>
        <w:pStyle w:val="NormalHanging"/>
      </w:pPr>
      <w:r w:rsidRPr="00CD650B">
        <w:t>J.</w:t>
      </w:r>
      <w:r w:rsidRPr="00CD650B">
        <w:tab/>
        <w:t>mając na uwadze, że kolejny szczyt UE–RWPZ, który ma się odbyć w Rijadzie w 2026 r., będzie miał kluczowe znaczenie dla dalszego rozszerzenia zakresu stosunków między UE a Arabią Saudyjską i zacieśnienia współpracy w kluczowych kwestiach będących przedmiotem wspólnego zainteresowania;</w:t>
      </w:r>
    </w:p>
    <w:p w14:paraId="390CE5B8" w14:textId="77777777" w:rsidR="00375E36" w:rsidRPr="004B773B" w:rsidRDefault="00375E36" w:rsidP="00375E36">
      <w:pPr>
        <w:pStyle w:val="Normal12a"/>
        <w:rPr>
          <w:b/>
          <w:bCs/>
        </w:rPr>
      </w:pPr>
      <w:r w:rsidRPr="004B773B">
        <w:rPr>
          <w:b/>
          <w:bCs/>
          <w:i/>
        </w:rPr>
        <w:t>Stosunki dwustronne UE–Arabia Saudyjska</w:t>
      </w:r>
    </w:p>
    <w:p w14:paraId="3ED5845B" w14:textId="77777777" w:rsidR="00375E36" w:rsidRPr="00CD650B" w:rsidRDefault="00375E36" w:rsidP="00375E36">
      <w:pPr>
        <w:pStyle w:val="NormalHanging12a"/>
      </w:pPr>
      <w:r w:rsidRPr="00CD650B">
        <w:t>1.</w:t>
      </w:r>
      <w:r w:rsidRPr="00CD650B">
        <w:tab/>
        <w:t>podkreśla pozytywną współpracę między UE i RWPZ jako dwóch głównych podmiotów w poszerzonym regionie Morza Śródziemnego, podczas pierwszego szczytu UE–RWPZ w 2024 r.; potwierdza, że UE zamierza zacieśnić stosunki dwustronne z krajami należącymi do RWPZ za pośrednictwem umów o partnerstwie strategicznym, które rozwiązałyby problem obecnego braku prawnie wiążących ram stosunków dwustronnych między UE a Arabią Saudyjską, torując drogę do ściślejszej i szerszej współpracy w zakresie polityki zagranicznej i bezpieczeństwa, sprawiedliwości i egzekwowania prawa, handlu i inwestycji, energii i klimatu, transformacji cyfrowej, środowiska, badań naukowych i innowacji, sztucznej inteligencji, łączności, zarządzania cyfrowego, edukacji, kultury, młodzieży i kontaktów międzyludzkich, a także zapewniłyby reformy w zakresie praw człowieka i praw pracowniczych w krajach RWPZ;</w:t>
      </w:r>
    </w:p>
    <w:p w14:paraId="20437FF6" w14:textId="77777777" w:rsidR="00375E36" w:rsidRPr="00CD650B" w:rsidRDefault="00375E36" w:rsidP="00375E36">
      <w:pPr>
        <w:pStyle w:val="NormalHanging12a"/>
      </w:pPr>
      <w:r w:rsidRPr="00CD650B">
        <w:t>2.</w:t>
      </w:r>
      <w:r w:rsidRPr="00CD650B">
        <w:tab/>
        <w:t>przyjmuje z zadowoleniem dostosowanie i współpracę między Arabią Saudyjską a UE w dziedzinie polityki zagranicznej i bezpieczeństwa;</w:t>
      </w:r>
    </w:p>
    <w:p w14:paraId="5890BF3B" w14:textId="77777777" w:rsidR="00375E36" w:rsidRPr="00CD650B" w:rsidRDefault="00375E36" w:rsidP="00375E36">
      <w:pPr>
        <w:pStyle w:val="NormalHanging12a"/>
      </w:pPr>
      <w:r w:rsidRPr="00CD650B">
        <w:t>3.</w:t>
      </w:r>
      <w:r w:rsidRPr="00CD650B">
        <w:tab/>
        <w:t xml:space="preserve">podkreśla widoki na dalszą współpracę gospodarczą między UE a Arabią Saudyjską w dziedzinie zrównoważonej energii, surowców krytycznych, technologii informacyjnych i przedsiębiorczości, zauważając, że ta współpraca jest podstawą stosunków dwustronnych; wzywa do zacieśnienia współpracy między UE a Arabią Saudyjską w tych dziedzinach; zachęca Arabię Saudyjską do przestrzegania przepisów UE dotyczących należytej staranności przy przeprowadzaniu transakcji gospodarczych lub </w:t>
      </w:r>
      <w:r w:rsidRPr="00CD650B">
        <w:lastRenderedPageBreak/>
        <w:t>biznesowych z przedsiębiorstwami będącymi własnością Państwowego Funduszu Inwestycyjnego Arabii Saudyjskiej lub z nim powiązanymi;</w:t>
      </w:r>
    </w:p>
    <w:p w14:paraId="4405237C" w14:textId="77777777" w:rsidR="00375E36" w:rsidRPr="00CD650B" w:rsidRDefault="00375E36" w:rsidP="00375E36">
      <w:pPr>
        <w:pStyle w:val="NormalHanging12a"/>
      </w:pPr>
      <w:r w:rsidRPr="00CD650B">
        <w:t>4.</w:t>
      </w:r>
      <w:r w:rsidRPr="00CD650B">
        <w:tab/>
        <w:t>podkreśla, że pogłębienie współpracy między UE a Arabią Saudyjską w dziedzinie energii i handlu powinno zwiększyć strategiczną autonomię UE dzięki dywersyfikacji wiarygodnych źródeł dostaw energii w perspektywie krótkoterminowej; podkreśla, że chociaż Arabia Saudyjska pozostaje kluczowym globalnym podmiotem na rynkach paliw kopalnych, weszła również na ścieżkę dywersyfikacji i zrównoważonego rozwoju dzięki inwestycjom w energię ze źródeł odnawialnych, w szczególności wielkoskalowym projektom w dziedzinie energii słonecznej i wodorowej; zauważa, że Arabia Saudyjska należy obecnie do 10 największych rynków magazynowania energii na świecie, co jeszcze bardziej umacnia jej wiodącą pozycję w dziedzinie energii ze źródeł odnawialnych; podkreśla, że wykorzystanie ogromnego potencjału Arabii Saudyjskiej w zakresie energii słonecznej wraz z zaawansowanymi technologiami odnawialnymi UE może umożliwić wspólne inicjatywy w zakresie zielonego wodoru, zrównoważonych paliw i infrastruktury energetycznej nowej generacji;</w:t>
      </w:r>
    </w:p>
    <w:p w14:paraId="142F18DA" w14:textId="77777777" w:rsidR="00375E36" w:rsidRPr="00CD650B" w:rsidRDefault="00375E36" w:rsidP="00375E36">
      <w:pPr>
        <w:pStyle w:val="NormalHanging12a"/>
      </w:pPr>
      <w:r w:rsidRPr="00CD650B">
        <w:t>5.</w:t>
      </w:r>
      <w:r w:rsidRPr="00CD650B">
        <w:tab/>
        <w:t>potwierdza, że UE jest zdecydowana wspierać Arabię Saudyjską w dążeniu do dywersyfikacji i reform społeczno-gospodarczych, w tym w działaniach na rzecz zrównoważonego rozwoju;</w:t>
      </w:r>
    </w:p>
    <w:p w14:paraId="6DD91DA3" w14:textId="77777777" w:rsidR="00375E36" w:rsidRPr="00CD650B" w:rsidRDefault="00375E36" w:rsidP="00375E36">
      <w:pPr>
        <w:pStyle w:val="NormalHanging12a"/>
      </w:pPr>
      <w:r w:rsidRPr="00CD650B">
        <w:t>6.</w:t>
      </w:r>
      <w:r w:rsidRPr="00CD650B">
        <w:tab/>
        <w:t>potwierdza, że UE jest nadal zdecydowana działać na rzecz wzajemnie korzystnych uzgodnień dotyczących bezpiecznego ruchu bezwizowego z pięcioma pozostałymi państwami RWPZ, aby zagwarantować ich równe traktowanie, co można by ocenić w ramach nowej strategii UE w zakresie polityki wizowej; zwraca uwagę na duże znaczenie gospodarcze saudyjskich turystów dla państw członkowskich Unii Europejskiej, zwłaszcza we wspieraniu kluczowych sektorów, takich jak branża turystyczno-hotelarska, handel detaliczny i sektor kultury; podkreśla, że obywatele Arabii Saudyjskiej nie przyczyniają się do presji wynikającej z nieuregulowanej migracji</w:t>
      </w:r>
      <w:r w:rsidRPr="00CD650B">
        <w:rPr>
          <w:rStyle w:val="FootnoteReference"/>
        </w:rPr>
        <w:footnoteReference w:customMarkFollows="1" w:id="4"/>
        <w:t>4</w:t>
      </w:r>
      <w:r w:rsidRPr="00CD650B">
        <w:t xml:space="preserve"> i w związku z tym zachęca Komisję i państwa członkowskie, by rozważyły zniesienie wiz </w:t>
      </w:r>
      <w:proofErr w:type="spellStart"/>
      <w:r w:rsidRPr="00CD650B">
        <w:t>Schengen</w:t>
      </w:r>
      <w:proofErr w:type="spellEnd"/>
      <w:r w:rsidRPr="00CD650B">
        <w:t>, gdy tylko zostanie przyznana dotacja w systemie kaskadowym, co ułatwi turystykę, pozwoli zwiększyć wymianę międzyludzką oraz dalej wzmacniać więzi gospodarcze i kulturowe między UE a Arabią Saudyjską;</w:t>
      </w:r>
    </w:p>
    <w:p w14:paraId="3D52EA21" w14:textId="77777777" w:rsidR="00375E36" w:rsidRPr="00CD650B" w:rsidRDefault="00375E36" w:rsidP="00375E36">
      <w:pPr>
        <w:pStyle w:val="NormalHanging12a"/>
      </w:pPr>
      <w:r w:rsidRPr="00CD650B">
        <w:t>7.</w:t>
      </w:r>
      <w:r w:rsidRPr="00CD650B">
        <w:tab/>
        <w:t xml:space="preserve">wzywa UE, aby dalej ułatwiała współpracę regulacyjną, która wspomoże wysiłki Arabii Saudyjskiej na rzecz ustanowienia zasad i procedur skutecznej dywersyfikacji źródeł energii i reform społeczno-ekonomicznych; zachęca do wzmocnienia partnerstw między jednostkami edukacyjnymi i badawczymi UE i Arabii Saudyjskiej, w tym za pośrednictwem programów takich jak Erasmus </w:t>
      </w:r>
      <w:proofErr w:type="spellStart"/>
      <w:r w:rsidRPr="00CD650B">
        <w:t>Mundus</w:t>
      </w:r>
      <w:proofErr w:type="spellEnd"/>
      <w:r w:rsidRPr="00CD650B">
        <w:t xml:space="preserve"> i „Horyzont Europa”; podkreśla, jak ważne jest, aby stworzyć warunki niezbędne do zwiększenia mobilności studentów; podkreśla, że zwiększenie możliwości wymiany dla osób młodych znacznie przyczyni się do zacieśnienia stosunków między UE, Arabią Saudyjską i całym regionem Zatoki Perskiej;</w:t>
      </w:r>
    </w:p>
    <w:p w14:paraId="30ECCDD4" w14:textId="77777777" w:rsidR="00375E36" w:rsidRPr="004B773B" w:rsidRDefault="00375E36" w:rsidP="00375E36">
      <w:pPr>
        <w:pStyle w:val="Normal12a"/>
        <w:rPr>
          <w:b/>
          <w:bCs/>
        </w:rPr>
      </w:pPr>
      <w:r w:rsidRPr="004B773B">
        <w:rPr>
          <w:b/>
          <w:bCs/>
          <w:i/>
        </w:rPr>
        <w:lastRenderedPageBreak/>
        <w:t>Priorytety polityki zagranicznej Arabii Saudyjskiej i możliwości dla UE</w:t>
      </w:r>
    </w:p>
    <w:p w14:paraId="07A10FB1" w14:textId="77777777" w:rsidR="00375E36" w:rsidRPr="00CD650B" w:rsidRDefault="00375E36" w:rsidP="00375E36">
      <w:pPr>
        <w:pStyle w:val="NormalHanging12a"/>
      </w:pPr>
      <w:r w:rsidRPr="00CD650B">
        <w:t>8.</w:t>
      </w:r>
      <w:r w:rsidRPr="00CD650B">
        <w:tab/>
        <w:t>podkreśla rosnące znaczenie Arabii Saudyjskiej jako podmiotu dyplomatycznego oraz jej znaczący wkład w zapewnianie stabilności regionalnej i globalnej, zwłaszcza w kontekście operacji wojskowych Izraela w Strefie Gazy, a także w związku z ostatnimi wydarzeniami w Syrii, Libanie, Jemenie, na Morzu Czerwonym i w Sudanie;</w:t>
      </w:r>
    </w:p>
    <w:p w14:paraId="48E3AC54" w14:textId="77777777" w:rsidR="00375E36" w:rsidRPr="00CD650B" w:rsidRDefault="00375E36" w:rsidP="00375E36">
      <w:pPr>
        <w:pStyle w:val="NormalHanging12a"/>
      </w:pPr>
      <w:r w:rsidRPr="00CD650B">
        <w:t>9.</w:t>
      </w:r>
      <w:r w:rsidRPr="00CD650B">
        <w:tab/>
        <w:t>wzywa do zacieśnienia współpracy zagranicznej i współpracy w dziedzinie bezpieczeństwa biorąc pod uwagę napięcia w regionie; podkreśla, że zarówno we wspólnym komunikacie w sprawie partnerstwa strategicznego z Zatoką Perską, jak i w przyszłej umowie o partnerstwie strategicznym, wezwano do zacieśnienia współpracy w dziedzinie polityki i bezpieczeństwa; podkreśla, że taka współpraca musi opierać się na wspólnym zobowiązaniu do poszanowania prawa międzynarodowego, w tym praw człowieka, międzynarodowego prawa humanitarnego i Karty Narodów Zjednoczonych; wyraża poparcie dla decyzji Rady z lipca 2025 r. upoważniającej Komisję i wysoką przedstawicielkę Unii do spraw zagranicznych i polityki bezpieczeństwa do rozpoczęcia negocjacji w sprawie ustanowienia umowy o partnerstwie strategicznym z Królestwem Arabii Saudyjskiej; uznaje, że inicjatywa ta stanowi ważną okazję do wspierania strategicznych interesów UE, wspierania stabilności w regionie i zacieśnienia współpracy w dziedzinie energii i bezpieczeństwa; wzywa obie strony do zdecydowanego i aktywnego zaangażowania w cały proces negocjacji, aby zapewnić jego szybkie i terminowe zakończenie; podkreśla, że wzmocniona współpraca UE z Arabią Saudyjską powinna również służyć wzmocnieniu wspólnych zobowiązań na rzecz pokoju i stabilności oraz ochronie wielostronnego systemu opartego na zasadach;</w:t>
      </w:r>
    </w:p>
    <w:p w14:paraId="6156E0BD" w14:textId="77777777" w:rsidR="00375E36" w:rsidRPr="00CD650B" w:rsidRDefault="00375E36" w:rsidP="00375E36">
      <w:pPr>
        <w:pStyle w:val="NormalHanging12a"/>
      </w:pPr>
      <w:r w:rsidRPr="00CD650B">
        <w:t>10.</w:t>
      </w:r>
      <w:r w:rsidRPr="00CD650B">
        <w:tab/>
        <w:t>podkreśla ważną rolę dyplomatyczną Arabii Saudyjskiej, zwłaszcza we wspieraniu deeskalacji w Jemenie, zwiększaniu bezpieczeństwa morskiego na Morzu Czerwonym, prowadzeniu rozmów na temat Ukrainy i ułatwianiu dialogu na temat Sudanu, a tym samym w konstruktywnym przyczynianiu się do stabilności regionalnej i międzynarodowej;</w:t>
      </w:r>
    </w:p>
    <w:p w14:paraId="5CF8A4C6" w14:textId="77777777" w:rsidR="00375E36" w:rsidRPr="00CD650B" w:rsidRDefault="00375E36" w:rsidP="00375E36">
      <w:pPr>
        <w:pStyle w:val="NormalHanging12a"/>
      </w:pPr>
      <w:r w:rsidRPr="00CD650B">
        <w:t>11.</w:t>
      </w:r>
      <w:r w:rsidRPr="00CD650B">
        <w:tab/>
        <w:t>apeluje do Arabii Saudyjskiej, by kontynuowała współpracę z UE na rzecz walki z terroryzmem i zapobiegania radykalizacji postaw, którą należy prowadzić zgodnie z międzynarodowymi standardami praw człowieka; podkreśla znaczenie daleko idącego dostosowania między UE a Arabią Saudyjską w tych dziedzinach;</w:t>
      </w:r>
    </w:p>
    <w:p w14:paraId="49D63245" w14:textId="77777777" w:rsidR="00375E36" w:rsidRPr="00CD650B" w:rsidRDefault="00375E36" w:rsidP="00375E36">
      <w:pPr>
        <w:pStyle w:val="NormalHanging12a"/>
      </w:pPr>
      <w:r w:rsidRPr="00CD650B">
        <w:t>12.</w:t>
      </w:r>
      <w:r w:rsidRPr="00CD650B">
        <w:tab/>
        <w:t>docenia działania Arabii Saudyjskiej na rzecz deeskalacji w związku z operacjami wojskowymi Izraela w Strefie Gazy; przypomina swoje stanowisko wyrażone w rezolucji z 11 września 2025 r. pt. „Gaza na skraju wytrzymałości: działania UE mające na celu zwalczanie głodu oraz pilna potrzeba uwolnienia zakładników i wdrożenia rozwiązania dwupaństwowego”</w:t>
      </w:r>
      <w:r w:rsidRPr="00CD650B">
        <w:rPr>
          <w:rStyle w:val="FootnoteReference"/>
        </w:rPr>
        <w:footnoteReference w:customMarkFollows="1" w:id="5"/>
        <w:t>5</w:t>
      </w:r>
      <w:r w:rsidRPr="00CD650B">
        <w:t xml:space="preserve"> i zadowoleniem przyjmuje deklarację nowojorską w sprawie pokojowego rozwiązania kwestii Palestyny i wdrożenia rozwiązania dwupaństwowego z 29 lipca 2025 r., a także jej zatwierdzenie przez Zgromadzenie Ogólne ONZ 12 września 2025 r.;</w:t>
      </w:r>
    </w:p>
    <w:p w14:paraId="395361F3" w14:textId="77777777" w:rsidR="00375E36" w:rsidRPr="00CD650B" w:rsidRDefault="00375E36" w:rsidP="00375E36">
      <w:pPr>
        <w:pStyle w:val="NormalHanging12a"/>
      </w:pPr>
      <w:r w:rsidRPr="00CD650B">
        <w:t>13.</w:t>
      </w:r>
      <w:r w:rsidRPr="00CD650B">
        <w:tab/>
        <w:t xml:space="preserve">uznaje wysiłki Arabii Saudyjskich i niektórych państw arabskich na rzecz normalizacji stosunków dyplomatycznych z Izraelem w ramach porozumień </w:t>
      </w:r>
      <w:proofErr w:type="spellStart"/>
      <w:r w:rsidRPr="00CD650B">
        <w:t>abrahamowych</w:t>
      </w:r>
      <w:proofErr w:type="spellEnd"/>
      <w:r w:rsidRPr="00CD650B">
        <w:t xml:space="preserve"> z 2020 r.; wzywa UE, aby w interesie stabilności regionalnej wspierała w swoich ramach na rzecz zaakceptowania rozwiązania dwupaństwowego inicjatywy mające na celu </w:t>
      </w:r>
      <w:r w:rsidRPr="00CD650B">
        <w:lastRenderedPageBreak/>
        <w:t>budowanie szerokiego poparcia regionalnego i międzynarodowego dla lepszej przyszłości w stosunkach arabsko-izraelskich;</w:t>
      </w:r>
    </w:p>
    <w:p w14:paraId="4EE17BCC" w14:textId="77777777" w:rsidR="00375E36" w:rsidRPr="00CD650B" w:rsidRDefault="00375E36" w:rsidP="00375E36">
      <w:pPr>
        <w:pStyle w:val="NormalHanging12a"/>
      </w:pPr>
      <w:r w:rsidRPr="00CD650B">
        <w:t>14.</w:t>
      </w:r>
      <w:r w:rsidRPr="00CD650B">
        <w:tab/>
        <w:t>pochwala znaczące działania dyplomatyczne i finansowe Arabii Saudyjskiej na rzecz Syrii, w tym konsultacje regionalne, a także szersze wysiłki na rzecz stabilizacji i odbudowy; wzywa Arabię Saudyjską i jej partnerów w regionie do wsparcia tymczasowego rządu syryjskiego w ustanowieniu trwałej i sprzyjającej włączeniu społecznemu struktury politycznej i struktury bezpieczeństwa; podkreśla znaczenie zachowania suwerenności i integralności terytorialnej Syrii, a także udziału i ochrony mniejszości syryjskich; wzywa do zacieśnienia współpracy między UE a Arabią Saudyjską na rzecz pokojowej i pluralistycznej transformacji w Syrii oraz ochrony chrześcijan i wszystkich społeczności w Syrii, aby zagwarantować im bezpieczeństwo i wolność religii, a także ochronę ich dziedzictwa kulturowego;</w:t>
      </w:r>
    </w:p>
    <w:p w14:paraId="3B5716C1" w14:textId="77777777" w:rsidR="00375E36" w:rsidRPr="00CD650B" w:rsidRDefault="00375E36" w:rsidP="00375E36">
      <w:pPr>
        <w:pStyle w:val="NormalHanging12a"/>
      </w:pPr>
      <w:r w:rsidRPr="00CD650B">
        <w:t>15.</w:t>
      </w:r>
      <w:r w:rsidRPr="00CD650B">
        <w:tab/>
        <w:t>potwierdza poparcie UE dla politycznej i społeczno-gospodarczej odbudowy Libanu i podkreśla znaczenie współpracy UE–Arabia Saudyjska przy wdrażaniu rezolucji Rady Bezpieczeństwa ONZ nr 1701 (2006) i wspieraniu libańskich sił zbrojnych; z zadowoleniem przyjmuje działania rządu libańskiego i wzywa do rozbrojenia Hezbollahu; ponownie podkreśla znaczenie poszanowania suwerenności i integralności terytorialnej Libanu przez wszystkie kraje regionu, a jednocześnie wzywa wszystkie strony do ochrony sił pokojowych Tymczasowych Sił Zbrojnych ONZ w Libanie (UNIFIL);</w:t>
      </w:r>
    </w:p>
    <w:p w14:paraId="1710B532" w14:textId="77777777" w:rsidR="00375E36" w:rsidRPr="00CD650B" w:rsidRDefault="00375E36" w:rsidP="00375E36">
      <w:pPr>
        <w:pStyle w:val="NormalHanging12a"/>
      </w:pPr>
      <w:r w:rsidRPr="00CD650B">
        <w:t>16.</w:t>
      </w:r>
      <w:r w:rsidRPr="00CD650B">
        <w:tab/>
        <w:t>docenia konstruktywną rolę Arabii Saudyjskiej w obliczu obecnych napięć w regionie, zacieśnioną współpracę między Arabią Saudyjską a Zjednoczonym Emiratami Arabskimi i stopniową normalizację stosunków dyplomatycznych z Iranem; podkreśla, że UE i Arabia Saudyjska są zgodne co do powstrzymywania irańskich popleczników i wstrzymania dalszego rozwoju irańskiego programu jądrowego;</w:t>
      </w:r>
    </w:p>
    <w:p w14:paraId="7703F2C9" w14:textId="77777777" w:rsidR="00375E36" w:rsidRPr="00CD650B" w:rsidRDefault="00375E36" w:rsidP="00375E36">
      <w:pPr>
        <w:pStyle w:val="NormalHanging12a"/>
      </w:pPr>
      <w:r w:rsidRPr="00CD650B">
        <w:t>17.</w:t>
      </w:r>
      <w:r w:rsidRPr="00CD650B">
        <w:tab/>
        <w:t>podkreśla, że wspólnym priorytetem UE i Arabii Saudyjskiej jest ustanowienie trwałego pokoju w Jemenie, i pochwala stałe zaangażowanie Arabii Saudyjskiej na rzecz wypracowania pluralistycznego rozwiązania politycznego w Jemenie; wzywa Arabię Saudyjską, aby wspierała niezależny międzynarodowy mechanizm dochodzeniowy w sprawie naruszeń międzynarodowego prawa humanitarnego w Jemenie w latach 2015–2022; zachęca do zwiększenia pomocy humanitarnej UE i Arabii Saudyjskiej dla Jemenu oraz do wspólnych wysiłków obu stron na rzecz przeciwdziałania atakom na pracowników organizacji humanitarnych;</w:t>
      </w:r>
    </w:p>
    <w:p w14:paraId="6D860EFD" w14:textId="77777777" w:rsidR="00375E36" w:rsidRPr="00CD650B" w:rsidRDefault="00375E36" w:rsidP="00375E36">
      <w:pPr>
        <w:pStyle w:val="NormalHanging12a"/>
      </w:pPr>
      <w:r w:rsidRPr="00CD650B">
        <w:t>18.</w:t>
      </w:r>
      <w:r w:rsidRPr="00CD650B">
        <w:tab/>
        <w:t xml:space="preserve">z zadowoleniem przyjmuje rozmowy zaaranżowane przez ONZ w sprawie ustanowienia planu działania na rzecz pluralistycznego pokoju w Jemenie, które odbyły się w styczniu 2025 r. w Rijadzie i umożliwiły przyspieszenie harmonogramu rozbrojenia </w:t>
      </w:r>
      <w:proofErr w:type="spellStart"/>
      <w:r w:rsidRPr="00CD650B">
        <w:t>Huti</w:t>
      </w:r>
      <w:proofErr w:type="spellEnd"/>
      <w:r w:rsidRPr="00CD650B">
        <w:t>; zauważa, że ten harmonogram jest nadal uzależniony od pomocy gospodarczej Arabii Saudyjskiej;</w:t>
      </w:r>
    </w:p>
    <w:p w14:paraId="4AF9F76C" w14:textId="77777777" w:rsidR="00375E36" w:rsidRPr="00CD650B" w:rsidRDefault="00375E36" w:rsidP="00375E36">
      <w:pPr>
        <w:pStyle w:val="NormalHanging12a"/>
      </w:pPr>
      <w:r w:rsidRPr="00CD650B">
        <w:t>19.</w:t>
      </w:r>
      <w:r w:rsidRPr="00CD650B">
        <w:tab/>
        <w:t xml:space="preserve">podkreśla niezachwiane zaangażowanie UE na rzecz ochrony szlaków morskich oraz międzynarodowych praw do żeglugi na Morzu Czerwonym; podkreśla zaangażowanie Arabii Saudyjskiej na rzecz bezpieczeństwa morskiego i wzywa do ściślejszej współpracy politycznej i wywiadowczej z EUNAVFOR ASPIDES </w:t>
      </w:r>
      <w:proofErr w:type="gramStart"/>
      <w:r w:rsidRPr="00CD650B">
        <w:t>oraz,</w:t>
      </w:r>
      <w:proofErr w:type="gramEnd"/>
      <w:r w:rsidRPr="00CD650B">
        <w:t xml:space="preserve"> w szerszym ujęciu, z państwami członkowskimi UE;</w:t>
      </w:r>
    </w:p>
    <w:p w14:paraId="7295B948" w14:textId="77777777" w:rsidR="00375E36" w:rsidRPr="00CD650B" w:rsidRDefault="00375E36" w:rsidP="00375E36">
      <w:pPr>
        <w:pStyle w:val="NormalHanging12a"/>
      </w:pPr>
      <w:r w:rsidRPr="00CD650B">
        <w:lastRenderedPageBreak/>
        <w:t>20.</w:t>
      </w:r>
      <w:r w:rsidRPr="00CD650B">
        <w:tab/>
        <w:t>z zadowoleniem przyjmuje udział Arabii Saudyjskiej jako gospodarza negocjacji w sprawie zawieszenia broni w Ukrainie; wzywa Arabię Saudyjską, aby ściślej współpracowała ze swoimi partnerami w zakresie wspierania sankcji wobec Federacji Rosyjskiej oraz aby podjęła środki, które pozwolą położyć kres działalności rosyjskiej floty cieni;</w:t>
      </w:r>
    </w:p>
    <w:p w14:paraId="74F1F132" w14:textId="77777777" w:rsidR="00375E36" w:rsidRPr="00CD650B" w:rsidRDefault="00375E36" w:rsidP="00375E36">
      <w:pPr>
        <w:pStyle w:val="NormalHanging12a"/>
      </w:pPr>
      <w:r w:rsidRPr="00CD650B">
        <w:t>21.</w:t>
      </w:r>
      <w:r w:rsidRPr="00CD650B">
        <w:tab/>
        <w:t>odnotowuje, że Arabia Saudyjska zobowiązała się zainwestować 600 mld USD w Stanach Zjednoczonych, w tym w ramach porozumienia obronnego i strategicznej współpracy w zakresie nowych technologii;</w:t>
      </w:r>
    </w:p>
    <w:p w14:paraId="00BEF6B1" w14:textId="77777777" w:rsidR="00375E36" w:rsidRPr="00CD650B" w:rsidRDefault="00375E36" w:rsidP="00375E36">
      <w:pPr>
        <w:pStyle w:val="NormalHanging12a"/>
      </w:pPr>
      <w:r w:rsidRPr="00CD650B">
        <w:t>22.</w:t>
      </w:r>
      <w:r w:rsidRPr="00CD650B">
        <w:tab/>
        <w:t>uznaje rolę Arabii Saudyjskiej we wspieraniu współpracy wielostronnej, w tym poprzez jej rosnące zaangażowanie w Afryce – w szczególności w Sahelu – i w Azji; wzywa do ściślejszej koordynacji między UE a Arabią Saudyjską w zakresie współpracy energetycznej, rozwoju infrastruktury międzyregionalnej, budowania zdolności, rozwoju kapitału ludzkiego, instrumentów finansowych i mechanizmów inwestycyjnych na całym kontynencie afrykańskim; podkreśla znaczenie integracji projektów kierowanych przez Arabię Saudyjską z ramami UE, w tym z inicjatywą Global Gateway;</w:t>
      </w:r>
    </w:p>
    <w:p w14:paraId="390A8A97" w14:textId="77777777" w:rsidR="00375E36" w:rsidRPr="00CD650B" w:rsidRDefault="00375E36" w:rsidP="00375E36">
      <w:pPr>
        <w:pStyle w:val="NormalHanging12a"/>
      </w:pPr>
      <w:r w:rsidRPr="00CD650B">
        <w:t>23.</w:t>
      </w:r>
      <w:r w:rsidRPr="00CD650B">
        <w:tab/>
        <w:t>zauważa, że Arabia Saudyjska została oficjalnie zaproszona do grupy krajów BRICS; zauważa, że stosunki budowane między Arabią Saudyjską i BRICS odzwierciedlają tendencję do dywersyfikowania sojuszy; wzywa UE do konstruktywnej współpracy z Arabią Saudyjską na wielostronnych forach w celu ochrony wzajemnych interesów handlowych i inwestycyjnych;</w:t>
      </w:r>
    </w:p>
    <w:p w14:paraId="647395BA" w14:textId="77777777" w:rsidR="00375E36" w:rsidRPr="00CD650B" w:rsidRDefault="00375E36" w:rsidP="00375E36">
      <w:pPr>
        <w:pStyle w:val="NormalHanging12a"/>
      </w:pPr>
      <w:r w:rsidRPr="00CD650B">
        <w:t>24.</w:t>
      </w:r>
      <w:r w:rsidRPr="00CD650B">
        <w:tab/>
        <w:t>odnotowuje zacieśnienie stosunków dwustronnych między Arabią Saudyjską a Turcją, zwłaszcza w dziedzinie bezpieczeństwa i obrony; wzywa Arabię Saudyjską do wykorzystania tych relacji, aby przekonać Turcję do wniesienia konstruktywnego wkładu w proces pokojowy na Bliskim Wschodzie poprzez uznanie Hamasu za organizację terrorystyczną i zaprzestanie wsparcia politycznego, gospodarczego i logistycznego;</w:t>
      </w:r>
    </w:p>
    <w:p w14:paraId="4143E1D4" w14:textId="77777777" w:rsidR="00375E36" w:rsidRPr="00CD650B" w:rsidRDefault="00375E36" w:rsidP="00375E36">
      <w:pPr>
        <w:pStyle w:val="NormalHanging12a"/>
      </w:pPr>
      <w:r w:rsidRPr="00CD650B">
        <w:t>25.</w:t>
      </w:r>
      <w:r w:rsidRPr="00CD650B">
        <w:tab/>
        <w:t>z zadowoleniem przyjmuje, że Arabia Saudyjska konsekwentnie uznaje Stowarzyszenie Braci Muzułmanów za organizację terrorystyczną i apeluje do UE oraz jej państw członkowskich, by poszły za jej przykładem i uznały Stowarzyszenie Braci Muzułmanów za organizację terrorystyczną;</w:t>
      </w:r>
    </w:p>
    <w:p w14:paraId="643B5303" w14:textId="77777777" w:rsidR="00375E36" w:rsidRPr="004B773B" w:rsidRDefault="00375E36" w:rsidP="00375E36">
      <w:pPr>
        <w:pStyle w:val="Normal12a"/>
        <w:rPr>
          <w:b/>
          <w:bCs/>
        </w:rPr>
      </w:pPr>
      <w:r w:rsidRPr="004B773B">
        <w:rPr>
          <w:b/>
          <w:bCs/>
          <w:i/>
        </w:rPr>
        <w:t>Transformacja społeczno-gospodarcza Arabii Saudyjskiej i możliwości dla UE</w:t>
      </w:r>
    </w:p>
    <w:p w14:paraId="52EC817D" w14:textId="77777777" w:rsidR="00375E36" w:rsidRPr="00CD650B" w:rsidRDefault="00375E36" w:rsidP="00375E36">
      <w:pPr>
        <w:pStyle w:val="NormalHanging12a"/>
      </w:pPr>
      <w:r w:rsidRPr="00CD650B">
        <w:t>26.</w:t>
      </w:r>
      <w:r w:rsidRPr="00CD650B">
        <w:tab/>
        <w:t>z zadowoleniem przyjmuje ambitną strategię Arabii Saudyjskiej „</w:t>
      </w:r>
      <w:proofErr w:type="spellStart"/>
      <w:r w:rsidRPr="00CD650B">
        <w:t>Vision</w:t>
      </w:r>
      <w:proofErr w:type="spellEnd"/>
      <w:r w:rsidRPr="00CD650B">
        <w:t xml:space="preserve"> 2030”, w której przedstawiono istotne reformy społeczno-gospodarcze mające na celu modernizację kraju i jego instytucji, a także dywersyfikację gospodarki;</w:t>
      </w:r>
    </w:p>
    <w:p w14:paraId="56308BB9" w14:textId="77777777" w:rsidR="00375E36" w:rsidRPr="00CD650B" w:rsidRDefault="00375E36" w:rsidP="00375E36">
      <w:pPr>
        <w:pStyle w:val="NormalHanging12a"/>
      </w:pPr>
      <w:r w:rsidRPr="00CD650B">
        <w:t>27.</w:t>
      </w:r>
      <w:r w:rsidRPr="00CD650B">
        <w:tab/>
        <w:t xml:space="preserve">apeluje do Arabii Saudyjskiej, aby w ramach tej strategii przekształciła swój krajobraz energetyczny oraz przeszła na odnawialne źródła energii i zielony wodór; wzywa Arabię Saudyjską do wypełnienia zobowiązań wynikających z porozumienia paryskiego i zgodnie z opiniami ekspertów ONZ; zauważa, że UE jest gotowa współpracować z saudyjskimi partnerami nad projektami na rzecz osiągnięcia celów środowiskowych obu regionów; podkreśla zaangażowanie Królestwa Arabii Saudyjskiej w transformację energetyczną, przypominając o jej zobowiązaniu do osiągnięcia neutralności emisyjnej do 2060 r. oraz zobowiązaniu do produkcji 50 % energii elektrycznej ze źródeł </w:t>
      </w:r>
      <w:r w:rsidRPr="00CD650B">
        <w:lastRenderedPageBreak/>
        <w:t>odnawialnych do 2030 r.; w tym kontekście z zadowoleniem przyjmuje sztandarowy projekt Arabii Saudyjskiej, zgodnie z którym do 2030 r. ma ona produkować 4 mln ton czystego wodoru rocznie;</w:t>
      </w:r>
    </w:p>
    <w:p w14:paraId="1F6D26F4" w14:textId="77777777" w:rsidR="00375E36" w:rsidRPr="00CD650B" w:rsidRDefault="00375E36" w:rsidP="00375E36">
      <w:pPr>
        <w:pStyle w:val="NormalHanging12a"/>
      </w:pPr>
      <w:r w:rsidRPr="00CD650B">
        <w:t>28.</w:t>
      </w:r>
      <w:r w:rsidRPr="00CD650B">
        <w:tab/>
        <w:t>podkreśla coraz ważniejszą rolę Arabii Saudyjskiej w łańcuchach dostaw minerałów oraz jej wysiłki na rzecz dostosowania się do najlepszych praktyk międzynarodowych; podkreśla, że rozszerzenie współpracy między UE i Arabią Saudyjską w tej dziedzinie będzie miało zasadnicze znaczenie dla dalszej konsolidacji unijnej strategii ograniczania ryzyka w tym zakresie i jej dążenia do dywersyfikacji dostaw surowców;</w:t>
      </w:r>
    </w:p>
    <w:p w14:paraId="397C23F3" w14:textId="77777777" w:rsidR="00375E36" w:rsidRPr="00CD650B" w:rsidRDefault="00375E36" w:rsidP="00375E36">
      <w:pPr>
        <w:pStyle w:val="NormalHanging12a"/>
      </w:pPr>
      <w:r w:rsidRPr="00CD650B">
        <w:t>29.</w:t>
      </w:r>
      <w:r w:rsidRPr="00CD650B">
        <w:tab/>
        <w:t>zauważa, że Arabia Saudyjska poczyniła postępy w zwalczaniu wysokiej stopy bezrobocia młodzieży, obniżając ją z 35,01 % w 2006 r. do 16 % w 2023 r.; zaleca, by Arabia Saudyjska nadal priorytetowo traktowała tę kwestię;</w:t>
      </w:r>
    </w:p>
    <w:p w14:paraId="6A7BFBCA" w14:textId="77777777" w:rsidR="00375E36" w:rsidRPr="00CD650B" w:rsidRDefault="00375E36" w:rsidP="00375E36">
      <w:pPr>
        <w:pStyle w:val="NormalHanging12a"/>
      </w:pPr>
      <w:r w:rsidRPr="00CD650B">
        <w:t>30.</w:t>
      </w:r>
      <w:r w:rsidRPr="00CD650B">
        <w:tab/>
        <w:t xml:space="preserve">z zadowoleniem przyjmuje podejście władz Arabii Saudyjskiej, w ramach którego zwiększa się tolerancja i odchodzi się od restrykcyjnej polityki religijnej; zwraca uwagę na bezpośredni związek między tolerancją a zrównoważonym wzrostem gospodarczym, podkreślając, że otwartość i </w:t>
      </w:r>
      <w:proofErr w:type="spellStart"/>
      <w:r w:rsidRPr="00CD650B">
        <w:t>inkluzywność</w:t>
      </w:r>
      <w:proofErr w:type="spellEnd"/>
      <w:r w:rsidRPr="00CD650B">
        <w:t xml:space="preserve"> sprzyjają warunkom dla innowacji, inwestycji i postępu społecznego; pochwala pozytywne reformy programów nauczania przeprowadzone w Arabii Saudyjskiej, w szczególności usunięcie dyskryminujących treści religijnych, i zachęca do dalszych postępów w tym zakresie; zachęca Arabię Saudyjską do kontynuowania tych reform;</w:t>
      </w:r>
    </w:p>
    <w:p w14:paraId="31775E68" w14:textId="77777777" w:rsidR="00375E36" w:rsidRPr="00CD650B" w:rsidRDefault="00375E36" w:rsidP="00375E36">
      <w:pPr>
        <w:pStyle w:val="NormalHanging12a"/>
      </w:pPr>
      <w:r w:rsidRPr="00CD650B">
        <w:t>31.</w:t>
      </w:r>
      <w:r w:rsidRPr="00CD650B">
        <w:tab/>
        <w:t>podkreśla, że Arabia Saudyjska znacząco zwiększyła udział kobiet w rynku pracy, który wzrósł do 36 %, oraz przyznała im prawo do kierowania pojazdami i podróżowania bez opieki mężczyzn; podkreśla, że udział kobiet w rynku pracy w Arabii Saudyjskiej wzrósł ponad dwukrotnie od 2017 r.; zauważa, że do saudyjskich kobiet należy obecnie 45 % małych i średnich przedsiębiorstw i 17 % wszystkich przedsiębiorstw; uważa, że zmiany te odzwierciedlają wpływ reform prawnych wprowadzonych od 2018 r., w tym zniesienia zakazu prowadzenia pojazdów</w:t>
      </w:r>
      <w:r w:rsidRPr="00CD650B">
        <w:rPr>
          <w:rStyle w:val="FootnoteReference"/>
        </w:rPr>
        <w:footnoteReference w:customMarkFollows="1" w:id="6"/>
        <w:t>6</w:t>
      </w:r>
      <w:r w:rsidRPr="00CD650B">
        <w:t xml:space="preserve">, przyjęcia ustawy o przeciwdziałaniu molestowaniu oraz nowych przepisów o statusie osobowym podnoszących minimalny wiek małżeński do 18 lat oraz zwiększających autonomię kobiet; podkreśla te osiągnięcia i zachęca do kontynuowania reform mających na celu dalsze wzmacnianie praw kobiet i zwiększanie ich udziału w życiu publicznym, biorąc pod uwagę, że stanowią one obecnie 41 % pracowników służby cywilnej – w tym na wyższych stanowiskach dyplomatycznych – oraz 20 % członków Rady </w:t>
      </w:r>
      <w:proofErr w:type="spellStart"/>
      <w:r w:rsidRPr="00CD650B">
        <w:t>Szury</w:t>
      </w:r>
      <w:proofErr w:type="spellEnd"/>
      <w:r w:rsidRPr="00CD650B">
        <w:t>, a pierwsza arabska kobieta wyznania muzułmańskiego, udała się w podróż kosmiczną; zauważa, że pomimo postępów nadal istnieją wyzwania, w tym związane z ustawą o statusie osobowym oraz nierównościami między mężczyznami i kobietami w związku małżeńskim, podczas rozwodu, przyznawania opieki nad dzieckiem, a także w kwestii dziedziczenia i praw własności;</w:t>
      </w:r>
    </w:p>
    <w:p w14:paraId="4B6D9672" w14:textId="77777777" w:rsidR="00375E36" w:rsidRPr="00CD650B" w:rsidRDefault="00375E36" w:rsidP="00375E36">
      <w:pPr>
        <w:pStyle w:val="NormalHanging12a"/>
      </w:pPr>
      <w:r w:rsidRPr="00CD650B">
        <w:t>32.</w:t>
      </w:r>
      <w:r w:rsidRPr="00CD650B">
        <w:tab/>
        <w:t xml:space="preserve">zauważa, że Arabia Saudyjska rozpoczęła szereg ambitnych projektów infrastrukturalnych związanych z organizacją EXPO w 2030 r. i Mistrzostw Świata w Piłce Nożnej w 2034 r.; zakłada, że rząd Arabii Saudyjskiej jest w stanie zagwarantować pracownikom prawo do swobodnego zrzeszania się i podkreśla, że nadal istnieją obawy dotyczące traktowania pracowników i poszanowania ich praw, a także wskaźnika umieralności migrantów w wypadkach przy pracy w Arabii </w:t>
      </w:r>
      <w:r w:rsidRPr="00CD650B">
        <w:lastRenderedPageBreak/>
        <w:t xml:space="preserve">Saudyjskiej; dostrzega reformy wprowadzone w ramach saudyjskiej inicjatywy na rzecz reformy rynku pracy, a jednocześnie wzywa Arabię Saudyjską, by zagwarantowała pełne wdrożenie zniesienia systemu sponsorskiego </w:t>
      </w:r>
      <w:proofErr w:type="spellStart"/>
      <w:r w:rsidRPr="00CD650B">
        <w:rPr>
          <w:i/>
        </w:rPr>
        <w:t>Kafala</w:t>
      </w:r>
      <w:proofErr w:type="spellEnd"/>
      <w:r w:rsidRPr="00CD650B">
        <w:t xml:space="preserve"> w 2025 r. oraz by zapewniła pracownikom prawa do strajku i rokowań zbiorowych; oczekuje, że Arabia Saudyjska skorzysta z okazji, jaką są Mistrzostwa Świata w Piłce Nożnej w 2034 r., i że do tego czasu będzie kontynuować wdrażanie reform; wzywa Arabię Saudyjską do przestrzegania przepisów UE w sprawie należytej staranności przedsiębiorstw zatrudniających pracowników oraz nadzoru nad nimi, by zagwarantować, że te przedsiębiorstwa pokrywają wszystkie koszty i opłaty związane z rekrutacją pracowników, oraz do wprowadzenia środków na rzecz zwrotu nielegalnych opłat rekrutacyjnych, które ponieśli pracownicy;</w:t>
      </w:r>
    </w:p>
    <w:p w14:paraId="46316503" w14:textId="77777777" w:rsidR="00375E36" w:rsidRPr="00CD650B" w:rsidRDefault="00375E36" w:rsidP="00375E36">
      <w:pPr>
        <w:pStyle w:val="NormalHanging12a"/>
      </w:pPr>
      <w:r w:rsidRPr="00CD650B">
        <w:t>33.</w:t>
      </w:r>
      <w:r w:rsidRPr="00CD650B">
        <w:tab/>
        <w:t>dostrzega możliwość współpracy między UE a Arabią Saudyjską i ich zbieżne interesy w ramach partnerstwa strategicznego UE–RWPZ oraz w ramach unijnej inicjatywy Global Gateway przy inicjatywie korytarza gospodarczego Indie – Bliski Wschód – Europa, która przewiduje inwestycje w kable elektroenergetyczne, podmorskie przewody telekomunikacyjne i kable do przesyłu danych, a także rurociągi zielonego wodoru; ocenia potencjał tej współpracy w zakresie łączenia UE za pomocą multimodalnych połączeń transportowych; odnotowuje udział Stanów Zjednoczonych; zdecydowanie wzywa do wyeliminowania luki w finansowaniu korytarza gospodarczego Indie – Bliski Wschód – Europa za pomocą inwestycji UE, USA i Zatoki Perskiej oraz do działań na rzecz zrównoważonego rozwoju infrastruktury; podkreśla strategiczne znaczenie korytarza gospodarczego Indie – Bliski Wschód – Europa jako motoru transformacji w obszarze połączeń regionalnych, integracji gospodarczej i współpracy geopolitycznej; zauważa potencjał rozszerzenia współpracy w zakresie strategicznej infrastruktury cyfrowej, w tym zróżnicowanych i bezpiecznych szlaków danych łączących Zatokę Perską i Europę, przy wspólnym celu, jakim jest zwiększenie odporności cyfrowej i bezpieczeństwa danych w Europie oraz jej łączności z Azją i Afryką; dostrzega bieżące wysiłki Europejskiej Izby Handlowej w Królestwie Arabii Saudyjskiej (ECCKSA) na rzecz wspierania współpracy między przedsiębiorstwami europejskimi a Arabią Saudyjską w zakresie infrastruktury transportowej i logistycznej, zgodne z unijnymi przepisami dotyczącymi należytej staranności;</w:t>
      </w:r>
    </w:p>
    <w:p w14:paraId="6FFCF682" w14:textId="77777777" w:rsidR="00375E36" w:rsidRPr="00CD650B" w:rsidRDefault="00375E36" w:rsidP="00375E36">
      <w:pPr>
        <w:pStyle w:val="Normal12a"/>
      </w:pPr>
      <w:r w:rsidRPr="00CD650B">
        <w:rPr>
          <w:b/>
          <w:i/>
        </w:rPr>
        <w:t xml:space="preserve">Prawa człowieka </w:t>
      </w:r>
    </w:p>
    <w:p w14:paraId="5689D1EF" w14:textId="77777777" w:rsidR="00375E36" w:rsidRPr="00CD650B" w:rsidRDefault="00375E36" w:rsidP="00375E36">
      <w:pPr>
        <w:pStyle w:val="NormalHanging12a"/>
      </w:pPr>
      <w:r w:rsidRPr="00CD650B">
        <w:t>34.</w:t>
      </w:r>
      <w:r w:rsidRPr="00CD650B">
        <w:tab/>
        <w:t xml:space="preserve">apeluje o zacieśnienie współpracy między UE a Arabią Saudyjską w zakresie praw człowieka; z zadowoleniem przyjmuje dialogi UE–Królestwo Arabii Saudyjskiej dotyczące praw człowieka prowadzone przez Komisję Praw Człowieka Arabii Saudyjskiej i specjalną przedstawicielkę Unii Europejskiej ds. praw człowieka, z których czwarty odbył się w Rijadzie w grudniu 2024 r.; zauważa, że dyskusje dotyczyły szerokiego zakresu kwestii związanych z prawami człowieka, w tym praw kobiet i praw słabszych grup społecznych, praworządności, prawa do rzetelnego procesu sądowego, kary śmierci, wolności słowa, zgromadzeń i zrzeszania się, handlu ludźmi, praw gospodarczych, społecznych i kulturalnych, a także dwustronnej współpracy UE i Królestwa Arabii Saudyjskiej oraz ich działań na wielostronnych forach zajmujących się prawami człowieka; podkreśla, że dialogi dotyczące praw człowieka to jedna z najważniejszych platform do wymiany poglądów na temat międzynarodowych praw człowieka i do wzmocnienia współpracy wielostronnej oraz że w ramach tego i wszystkich innych dialogów dotyczących praw człowieka prowadzonych przez UE powinno się dążyć do konkretnych, wymiernych, terminowych </w:t>
      </w:r>
      <w:r w:rsidRPr="00CD650B">
        <w:lastRenderedPageBreak/>
        <w:t>postępów w zakresie praw człowieka, w tym reform dotyczących tych praw, a także do powstrzymania polityk nadużyciowych, doprowadzenia do pociągnięcia sprawców nadużyć do odpowiedzialności oraz uwolnienia niesprawiedliwie uwięzionych osób; wzywa do ustanowienia ustrukturyzowanego unijnego mechanizmu monitorowania, w którym określone będą jasne poziomy odniesienia i terminy, w tym działania następcze mające zachęcić do dalszych postępów w zakresie praw człowieka; apeluje do UE i państw członkowskich, by podczas negocjacji dwustronnej umowy o partnerstwie uzgodniły z Arabią Saudyjską warunki w dziedzinie praw człowieka, w tym ratyfikację przez Arabię Saudyjską podstawowych konwencji dotyczących praw człowieka i praw pracowniczych oraz uwolnienie niesłusznie uwięzionych osób;</w:t>
      </w:r>
    </w:p>
    <w:p w14:paraId="0047AFA5" w14:textId="77777777" w:rsidR="00375E36" w:rsidRPr="00CD650B" w:rsidRDefault="00375E36" w:rsidP="00375E36">
      <w:pPr>
        <w:pStyle w:val="NormalHanging12a"/>
      </w:pPr>
      <w:r w:rsidRPr="00CD650B">
        <w:t>35.</w:t>
      </w:r>
      <w:r w:rsidRPr="00CD650B">
        <w:tab/>
        <w:t xml:space="preserve">zauważa, że Arabia Saudyjska wdrożyła reformy społeczne, takie jak nowa ustawa o transakcjach cywilnych, poczyniła postępy we wzmacnianiu pozycji kobiet, podjęła prace nad projektem kodeksu karnego, dokonała reformy systemu kontroli pracy imigrantów </w:t>
      </w:r>
      <w:r w:rsidRPr="00CD650B">
        <w:rPr>
          <w:i/>
        </w:rPr>
        <w:t>Kafala</w:t>
      </w:r>
      <w:r w:rsidRPr="00CD650B">
        <w:t>, a także wdrożyła nowe przepisy dotyczące pracy; zauważa jednak, że system prawny Arabii Saudyjskiej boryka się z trudnościami związanymi z dopilnowaniem, by niektóre prawa nie podlegały kryminalizacji, ze względu na brak skodyfikowanego prawa karnego i opieranie się na niejasno zdefiniowanych przepisach;</w:t>
      </w:r>
    </w:p>
    <w:p w14:paraId="5929FD0B" w14:textId="77777777" w:rsidR="00375E36" w:rsidRPr="00CD650B" w:rsidRDefault="00375E36" w:rsidP="00375E36">
      <w:pPr>
        <w:pStyle w:val="NormalHanging12a"/>
      </w:pPr>
      <w:r w:rsidRPr="00CD650B">
        <w:t>36.</w:t>
      </w:r>
      <w:r w:rsidRPr="00CD650B">
        <w:tab/>
        <w:t>zauważa rosnący udział społeczeństwa obywatelskiego w Arabii Saudyjskiej, w której zarejestrowano ponad 5 400 stowarzyszeń i organizacji, i apeluje o podjęcie dalszych działań na rzecz utrzymania tej pozytywnej tendencji; wyraża zaniepokojenie wzrostem liczby aresztowań działaczy, przedstawicieli społeczeństwa obywatelskiego, intelektualistów i obrońców praw człowieka korzystających z prawa do wolności wypowiedzi w internecie i poza nim, przysługującego im na mocy prawa międzynarodowego praw człowieka; zachęca Arabię Saudyjską do dokonania przeglądu definicji terroryzmu, by dostosować ją do standardów międzynarodowych; wzywa do natychmiastowego uwolnienia osób zatrzymanych za pokojowe korzystanie z przysługujących im praw, zwłaszcza najważniejszych aktywistów, obrońców praw człowieka, pokojowych krytyków, pracowników naukowych i duchownych, oraz do zniesienia zakazów podróżowania wobec uwolnionych osób; przypomina, że Parlament Europejski przyznał w 2015 r. Nagrodę im. Sacharowa saudyjskiemu blogerowi Raifowi Badawiemu; wzywa Arabię Saudyjską, by zezwoliła na wjazd i wizyty większej liczby organizacji praw człowieka;</w:t>
      </w:r>
    </w:p>
    <w:p w14:paraId="3ADD805D" w14:textId="77777777" w:rsidR="00375E36" w:rsidRPr="00CD650B" w:rsidRDefault="00375E36" w:rsidP="00375E36">
      <w:pPr>
        <w:pStyle w:val="NormalHanging12a"/>
      </w:pPr>
      <w:r w:rsidRPr="00CD650B">
        <w:t>37.</w:t>
      </w:r>
      <w:r w:rsidRPr="00CD650B">
        <w:tab/>
        <w:t>odnotowuje, że Arabia Saudyjska przyjęła strategię w zakresie praw człowieka na Mistrzostwa Świata w Piłce Nożnej w 2034 r.; potwierdza gotowość UE do wspierania trwających reform w Arabii Saudyjskiej w dziedzinie praw człowieka, rynku pracy i prawa; wzywa do zacieśnienia współpracy z ONZ i Międzynarodową Organizacją Pracy w zakresie praw pracowników migrujących i działań na rzecz dalszych kompleksowych reform pracy sprzyjających włączeniu społecznemu, które będą zgodne ze standardami międzynarodowymi, zwłaszcza przed EXPO w 2030 r. i Mistrzostwami Świata w Piłce Nożnej w 2034 r., aby zagwarantować, że wszystkie wypadki i przypadki śmierci pracowników migrujących, niezależnie od zakładanej przyczyny, czasu i miejsca, będą odpowiednio badane, a rodziny zmarłych pracowników otrzymają sprawiedliwą i terminową rekompensatę;</w:t>
      </w:r>
    </w:p>
    <w:p w14:paraId="5E925131" w14:textId="77777777" w:rsidR="00375E36" w:rsidRPr="00CD650B" w:rsidRDefault="00375E36" w:rsidP="00375E36">
      <w:pPr>
        <w:pStyle w:val="NormalHanging12a"/>
      </w:pPr>
      <w:r w:rsidRPr="00CD650B">
        <w:t>38.</w:t>
      </w:r>
      <w:r w:rsidRPr="00CD650B">
        <w:tab/>
        <w:t xml:space="preserve">potwierdza zaangażowanie UE na rzecz zniesienia kary śmierci niezależnie od okoliczności, a także jej oparte na zasadach zobowiązanie do współpracy z Arabią Saudyjską na rzecz osiągnięcia tego celu; wyraża zaniepokojenie wzrostem liczby egzekucji w Arabii Saudyjskiej, z których ponad 345 dokonano w 2024 r., co stanowi </w:t>
      </w:r>
      <w:r w:rsidRPr="00CD650B">
        <w:lastRenderedPageBreak/>
        <w:t>bezprecedensową liczbę; wzywa Arabię Saudyjską do ustanowienia moratorium na egzekucje; potępia ciągłe stosowanie kary śmierci za przestępstwa nieprowadzące do utraty życia, w szczególności przestępstwa związane z narkotykami – stosowanie kary śmierci w takich przypadkach stanowi naruszenie prawa międzynarodowego praw człowieka, które ogranicza jej stosowanie wyłącznie do „najpoważniejszych przestępstw” – oraz fakt, że ponad połowa wszystkich egzekucji w 2025 r. dotyczyła cudzoziemców, często w następstwie procesów, które nie spełniały międzynarodowych standardów rzetelnego procesu sądowego; wzywa do depenalizacji aktywności seksualnej osób tej samej płci;</w:t>
      </w:r>
    </w:p>
    <w:p w14:paraId="2E41A3BD" w14:textId="77777777" w:rsidR="00375E36" w:rsidRPr="00CD650B" w:rsidRDefault="00375E36" w:rsidP="00375E36">
      <w:pPr>
        <w:pStyle w:val="NormalHanging12a"/>
      </w:pPr>
      <w:r w:rsidRPr="00CD650B">
        <w:t>39.</w:t>
      </w:r>
      <w:r w:rsidRPr="00CD650B">
        <w:tab/>
        <w:t>ubolewa nad ciągłym przetrzymywaniem osób skazanych na karę śmierci za przestępstwa, które popełnili jako dzieci i wzywa władze Arabii Saudyjskiej do uchylenia tych wyroków śmierci zgodnie z jej zobowiązaniami wynikającymi z prawa międzynarodowego i dekretu królewskiego z kwietnia 2020 r.; wzywa Arabię Saudyjską do natychmiastowego i bezwarunkowego uwolnienia wszystkich osób zatrzymanych za pokojowe korzystanie z przysługujących im praw człowieka;</w:t>
      </w:r>
    </w:p>
    <w:p w14:paraId="27334275" w14:textId="77777777" w:rsidR="00375E36" w:rsidRPr="00CD650B" w:rsidRDefault="00375E36" w:rsidP="00375E36">
      <w:pPr>
        <w:pStyle w:val="NormalHanging12a"/>
      </w:pPr>
      <w:r w:rsidRPr="00CD650B">
        <w:t>40.</w:t>
      </w:r>
      <w:r w:rsidRPr="00CD650B">
        <w:tab/>
        <w:t>wzywa Arabię Saudyjską do ratyfikowania podstawowych międzynarodowych konwencji dotyczących praw człowieka i praw pracowniczych; zachęca Arabię Saudyjską do dopilnowania, by wszystkie istniejące i nowe przepisy, w tym kodeks karny, były zgodne z międzynarodowymi standardami praw człowieka, oraz podkreśla znaczenie ścisłej współpracy w tym zakresie z ONZ i niezależnymi organizacjami społeczeństwa obywatelskiego;</w:t>
      </w:r>
    </w:p>
    <w:p w14:paraId="74895034" w14:textId="77777777" w:rsidR="00375E36" w:rsidRPr="00CD650B" w:rsidRDefault="00375E36" w:rsidP="00375E36">
      <w:pPr>
        <w:pStyle w:val="NormalCenter12a"/>
      </w:pPr>
      <w:r w:rsidRPr="00CD650B">
        <w:t>°</w:t>
      </w:r>
    </w:p>
    <w:p w14:paraId="52D6C297" w14:textId="77777777" w:rsidR="00375E36" w:rsidRPr="00CD650B" w:rsidRDefault="00375E36" w:rsidP="00375E36">
      <w:pPr>
        <w:pStyle w:val="NormalCenter12a"/>
      </w:pPr>
      <w:r w:rsidRPr="00CD650B">
        <w:t>°</w:t>
      </w:r>
      <w:r w:rsidRPr="00CD650B">
        <w:tab/>
        <w:t>°</w:t>
      </w:r>
    </w:p>
    <w:p w14:paraId="13F403AF" w14:textId="5C91E12B" w:rsidR="00CD650B" w:rsidRPr="00CD650B" w:rsidRDefault="00375E36" w:rsidP="00CD650B">
      <w:pPr>
        <w:pStyle w:val="NormalHanging12a"/>
      </w:pPr>
      <w:r w:rsidRPr="00CD650B">
        <w:t>41.</w:t>
      </w:r>
      <w:r w:rsidRPr="00CD650B">
        <w:tab/>
        <w:t>zobowiązuje swoją przewodniczącą do przekazania niniejszej rezolucji Radzie, Komisji, wiceprzewodniczącej Komisji / wysokiej przedstawicielce Unii do spraw zagranicznych i polityki bezpieczeństwa, Jego Królewskiej Mości Salmanowi ibn Abd al-Azizowi Al Su’udowi, następcy tronu Muhammadowi ibn Salmanowi Al Su’udowi, rządowi Królestwa Arabii Saudyjskiej i Radzie Szury; apeluje o przetłumaczenie niniejszej rezolucji na język arabski.</w:t>
      </w:r>
    </w:p>
    <w:p w14:paraId="2E684B7E" w14:textId="05F9BB2B" w:rsidR="00E365E1" w:rsidRPr="00CD650B" w:rsidRDefault="00E365E1" w:rsidP="007C0529"/>
    <w:sectPr w:rsidR="00E365E1" w:rsidRPr="00CD650B" w:rsidSect="00CD650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1BC69B" w14:textId="77777777" w:rsidR="007C0529" w:rsidRPr="00CD650B" w:rsidRDefault="007C0529">
      <w:r w:rsidRPr="00CD650B">
        <w:separator/>
      </w:r>
    </w:p>
  </w:endnote>
  <w:endnote w:type="continuationSeparator" w:id="0">
    <w:p w14:paraId="07806B2C" w14:textId="77777777" w:rsidR="007C0529" w:rsidRPr="00CD650B" w:rsidRDefault="007C0529">
      <w:r w:rsidRPr="00CD650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9B77C" w14:textId="77777777" w:rsidR="00064002" w:rsidRPr="00CD650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74F65F" w14:textId="77777777" w:rsidR="00064002" w:rsidRPr="00CD650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D7D03" w14:textId="77777777" w:rsidR="00064002" w:rsidRPr="00CD650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F9136D" w14:textId="77777777" w:rsidR="007C0529" w:rsidRPr="00CD650B" w:rsidRDefault="007C0529">
      <w:r w:rsidRPr="00CD650B">
        <w:separator/>
      </w:r>
    </w:p>
  </w:footnote>
  <w:footnote w:type="continuationSeparator" w:id="0">
    <w:p w14:paraId="126D48A4" w14:textId="77777777" w:rsidR="007C0529" w:rsidRPr="00CD650B" w:rsidRDefault="007C0529">
      <w:r w:rsidRPr="00CD650B">
        <w:continuationSeparator/>
      </w:r>
    </w:p>
  </w:footnote>
  <w:footnote w:id="1">
    <w:p w14:paraId="4DD7D0C4" w14:textId="3BB7202B" w:rsidR="00375E36" w:rsidRPr="00CD650B" w:rsidRDefault="00375E36" w:rsidP="00CD650B">
      <w:pPr>
        <w:pStyle w:val="FootnoteText"/>
        <w:ind w:left="567" w:hanging="567"/>
        <w:rPr>
          <w:sz w:val="24"/>
          <w:lang w:val="pl-PL"/>
        </w:rPr>
      </w:pPr>
      <w:r w:rsidRPr="00CD650B">
        <w:rPr>
          <w:sz w:val="24"/>
          <w:vertAlign w:val="superscript"/>
          <w:lang w:val="pl-PL"/>
        </w:rPr>
        <w:t>1</w:t>
      </w:r>
      <w:r w:rsidR="00CD650B" w:rsidRPr="00CD650B">
        <w:rPr>
          <w:sz w:val="24"/>
          <w:vertAlign w:val="superscript"/>
          <w:lang w:val="pl-PL"/>
        </w:rPr>
        <w:t xml:space="preserve"> </w:t>
      </w:r>
      <w:r w:rsidR="00CD650B" w:rsidRPr="00CD650B">
        <w:rPr>
          <w:sz w:val="24"/>
          <w:vertAlign w:val="superscript"/>
          <w:lang w:val="pl-PL"/>
        </w:rPr>
        <w:tab/>
      </w:r>
      <w:r w:rsidRPr="00CD650B">
        <w:rPr>
          <w:sz w:val="24"/>
          <w:lang w:val="pl-PL"/>
        </w:rPr>
        <w:t>Dz.U. C 345 z 16.10.2020, s. 67.</w:t>
      </w:r>
    </w:p>
  </w:footnote>
  <w:footnote w:id="2">
    <w:p w14:paraId="6B70BBA1" w14:textId="4500F026" w:rsidR="00375E36" w:rsidRPr="00CD650B" w:rsidRDefault="00375E36" w:rsidP="00CD650B">
      <w:pPr>
        <w:pStyle w:val="FootnoteText"/>
        <w:ind w:left="567" w:hanging="567"/>
        <w:rPr>
          <w:sz w:val="24"/>
          <w:lang w:val="pl-PL"/>
        </w:rPr>
      </w:pPr>
      <w:r w:rsidRPr="00CD650B">
        <w:rPr>
          <w:sz w:val="24"/>
          <w:vertAlign w:val="superscript"/>
          <w:lang w:val="pl-PL"/>
        </w:rPr>
        <w:t>2</w:t>
      </w:r>
      <w:r w:rsidR="00CD650B" w:rsidRPr="00CD650B">
        <w:rPr>
          <w:sz w:val="24"/>
          <w:vertAlign w:val="superscript"/>
          <w:lang w:val="pl-PL"/>
        </w:rPr>
        <w:t xml:space="preserve"> </w:t>
      </w:r>
      <w:r w:rsidR="00CD650B" w:rsidRPr="00CD650B">
        <w:rPr>
          <w:sz w:val="24"/>
          <w:vertAlign w:val="superscript"/>
          <w:lang w:val="pl-PL"/>
        </w:rPr>
        <w:tab/>
      </w:r>
      <w:r w:rsidRPr="00CD650B">
        <w:rPr>
          <w:sz w:val="24"/>
          <w:lang w:val="pl-PL"/>
        </w:rPr>
        <w:t>Dz.U. C 465 z 17.11.2021, s. 126.</w:t>
      </w:r>
    </w:p>
  </w:footnote>
  <w:footnote w:id="3">
    <w:p w14:paraId="5EDAF3D1" w14:textId="21A12CE8" w:rsidR="00375E36" w:rsidRPr="00CD650B" w:rsidRDefault="00375E36" w:rsidP="00CD650B">
      <w:pPr>
        <w:pStyle w:val="FootnoteText"/>
        <w:ind w:left="567" w:hanging="567"/>
        <w:rPr>
          <w:sz w:val="24"/>
          <w:lang w:val="pl-PL"/>
        </w:rPr>
      </w:pPr>
      <w:r w:rsidRPr="00CD650B">
        <w:rPr>
          <w:sz w:val="24"/>
          <w:vertAlign w:val="superscript"/>
          <w:lang w:val="pl-PL"/>
        </w:rPr>
        <w:t>3</w:t>
      </w:r>
      <w:r w:rsidR="00CD650B" w:rsidRPr="00CD650B">
        <w:rPr>
          <w:sz w:val="24"/>
          <w:vertAlign w:val="superscript"/>
          <w:lang w:val="pl-PL"/>
        </w:rPr>
        <w:t xml:space="preserve"> </w:t>
      </w:r>
      <w:r w:rsidR="00CD650B" w:rsidRPr="00CD650B">
        <w:rPr>
          <w:sz w:val="24"/>
          <w:vertAlign w:val="superscript"/>
          <w:lang w:val="pl-PL"/>
        </w:rPr>
        <w:tab/>
      </w:r>
      <w:r w:rsidRPr="00CD650B">
        <w:rPr>
          <w:sz w:val="24"/>
          <w:lang w:val="pl-PL"/>
        </w:rPr>
        <w:t xml:space="preserve">Dz.U. C 99 z </w:t>
      </w:r>
      <w:proofErr w:type="gramStart"/>
      <w:r w:rsidRPr="00CD650B">
        <w:rPr>
          <w:sz w:val="24"/>
          <w:lang w:val="pl-PL"/>
        </w:rPr>
        <w:t>1.3.2022</w:t>
      </w:r>
      <w:proofErr w:type="gramEnd"/>
      <w:r w:rsidRPr="00CD650B">
        <w:rPr>
          <w:sz w:val="24"/>
          <w:lang w:val="pl-PL"/>
        </w:rPr>
        <w:t>, s. 185.</w:t>
      </w:r>
    </w:p>
  </w:footnote>
  <w:footnote w:id="4">
    <w:p w14:paraId="10C87B29" w14:textId="30AC2FDD" w:rsidR="00375E36" w:rsidRPr="00CD650B" w:rsidRDefault="00375E36" w:rsidP="00CD650B">
      <w:pPr>
        <w:pStyle w:val="FootnoteText"/>
        <w:ind w:left="567" w:hanging="567"/>
        <w:rPr>
          <w:sz w:val="24"/>
          <w:lang w:val="pl-PL"/>
        </w:rPr>
      </w:pPr>
      <w:r w:rsidRPr="00CD650B">
        <w:rPr>
          <w:sz w:val="24"/>
          <w:vertAlign w:val="superscript"/>
          <w:lang w:val="pl-PL"/>
        </w:rPr>
        <w:t>4</w:t>
      </w:r>
      <w:r w:rsidR="00CD650B" w:rsidRPr="00CD650B">
        <w:rPr>
          <w:sz w:val="24"/>
          <w:vertAlign w:val="superscript"/>
          <w:lang w:val="pl-PL"/>
        </w:rPr>
        <w:t xml:space="preserve"> </w:t>
      </w:r>
      <w:r w:rsidR="00CD650B" w:rsidRPr="00CD650B">
        <w:rPr>
          <w:sz w:val="24"/>
          <w:vertAlign w:val="superscript"/>
          <w:lang w:val="pl-PL"/>
        </w:rPr>
        <w:tab/>
      </w:r>
      <w:r w:rsidRPr="00CD650B">
        <w:rPr>
          <w:sz w:val="24"/>
          <w:lang w:val="pl-PL"/>
        </w:rPr>
        <w:t xml:space="preserve">Decyzja wykonawcza Komisji z dnia 22 kwietnia 2024 r. ustanawiająca dostosowane przepisy dotyczące wydawania wiz wielokrotnego wjazdu obywatelom Arabii Saudyjskiej mieszkającym w Arabii Saudyjskiej i ubiegającym się w niej o wizy krótkoterminowe oraz uchylająca decyzję wykonawczą Komisji </w:t>
      </w:r>
      <w:proofErr w:type="gramStart"/>
      <w:r w:rsidRPr="00CD650B">
        <w:rPr>
          <w:sz w:val="24"/>
          <w:lang w:val="pl-PL"/>
        </w:rPr>
        <w:t>C(</w:t>
      </w:r>
      <w:proofErr w:type="gramEnd"/>
      <w:r w:rsidRPr="00CD650B">
        <w:rPr>
          <w:sz w:val="24"/>
          <w:lang w:val="pl-PL"/>
        </w:rPr>
        <w:t>2022)8007 (C(2024)2689).</w:t>
      </w:r>
    </w:p>
  </w:footnote>
  <w:footnote w:id="5">
    <w:p w14:paraId="76298C63" w14:textId="05A98CD8" w:rsidR="00375E36" w:rsidRPr="00CD650B" w:rsidRDefault="00375E36" w:rsidP="00CD650B">
      <w:pPr>
        <w:pStyle w:val="FootnoteText"/>
        <w:ind w:left="567" w:hanging="567"/>
        <w:rPr>
          <w:sz w:val="24"/>
          <w:lang w:val="pl-PL"/>
        </w:rPr>
      </w:pPr>
      <w:r w:rsidRPr="00CD650B">
        <w:rPr>
          <w:sz w:val="24"/>
          <w:vertAlign w:val="superscript"/>
          <w:lang w:val="pl-PL"/>
        </w:rPr>
        <w:t>5</w:t>
      </w:r>
      <w:r w:rsidR="00CD650B" w:rsidRPr="00CD650B">
        <w:rPr>
          <w:sz w:val="24"/>
          <w:vertAlign w:val="superscript"/>
          <w:lang w:val="pl-PL"/>
        </w:rPr>
        <w:t xml:space="preserve"> </w:t>
      </w:r>
      <w:r w:rsidR="00CD650B" w:rsidRPr="00CD650B">
        <w:rPr>
          <w:sz w:val="24"/>
          <w:vertAlign w:val="superscript"/>
          <w:lang w:val="pl-PL"/>
        </w:rPr>
        <w:tab/>
      </w:r>
      <w:r w:rsidRPr="00CD650B">
        <w:rPr>
          <w:sz w:val="24"/>
          <w:lang w:val="pl-PL"/>
        </w:rPr>
        <w:t>Teksty przyjęte, P10_TA(2025)0199.</w:t>
      </w:r>
    </w:p>
  </w:footnote>
  <w:footnote w:id="6">
    <w:p w14:paraId="32FBB085" w14:textId="3FA216CA" w:rsidR="00375E36" w:rsidRPr="00CD650B" w:rsidRDefault="00375E36" w:rsidP="00CD650B">
      <w:pPr>
        <w:pStyle w:val="FootnoteText"/>
        <w:ind w:left="567" w:hanging="567"/>
        <w:rPr>
          <w:sz w:val="24"/>
          <w:lang w:val="pl-PL"/>
        </w:rPr>
      </w:pPr>
      <w:r w:rsidRPr="00CD650B">
        <w:rPr>
          <w:sz w:val="24"/>
          <w:vertAlign w:val="superscript"/>
          <w:lang w:val="pl-PL"/>
        </w:rPr>
        <w:t>6</w:t>
      </w:r>
      <w:r w:rsidR="00CD650B" w:rsidRPr="00CD650B">
        <w:rPr>
          <w:sz w:val="24"/>
          <w:vertAlign w:val="superscript"/>
          <w:lang w:val="pl-PL"/>
        </w:rPr>
        <w:t xml:space="preserve"> </w:t>
      </w:r>
      <w:r w:rsidR="00CD650B" w:rsidRPr="00CD650B">
        <w:rPr>
          <w:sz w:val="24"/>
          <w:vertAlign w:val="superscript"/>
          <w:lang w:val="pl-PL"/>
        </w:rPr>
        <w:tab/>
      </w:r>
      <w:r w:rsidRPr="00CD650B">
        <w:rPr>
          <w:sz w:val="24"/>
          <w:lang w:val="pl-PL"/>
        </w:rPr>
        <w:t>Światowe Forum Ekonomiczne, „Saudi women are now legal allowed to drive” [Saudyjki mogą legalnie kierować pojazdami], 25 czerwca 2018 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3DD538" w14:textId="77777777" w:rsidR="00064002" w:rsidRPr="00CD650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C84CB" w14:textId="77777777" w:rsidR="00064002" w:rsidRPr="00CD650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FCA82B" w14:textId="77777777" w:rsidR="00064002" w:rsidRPr="00CD650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7182559">
    <w:abstractNumId w:val="9"/>
  </w:num>
  <w:num w:numId="2" w16cid:durableId="795217742">
    <w:abstractNumId w:val="9"/>
  </w:num>
  <w:num w:numId="3" w16cid:durableId="574127863">
    <w:abstractNumId w:val="7"/>
  </w:num>
  <w:num w:numId="4" w16cid:durableId="422729899">
    <w:abstractNumId w:val="7"/>
  </w:num>
  <w:num w:numId="5" w16cid:durableId="1558661958">
    <w:abstractNumId w:val="6"/>
  </w:num>
  <w:num w:numId="6" w16cid:durableId="1001738587">
    <w:abstractNumId w:val="6"/>
  </w:num>
  <w:num w:numId="7" w16cid:durableId="1595940024">
    <w:abstractNumId w:val="5"/>
  </w:num>
  <w:num w:numId="8" w16cid:durableId="988555409">
    <w:abstractNumId w:val="5"/>
  </w:num>
  <w:num w:numId="9" w16cid:durableId="845944039">
    <w:abstractNumId w:val="4"/>
  </w:num>
  <w:num w:numId="10" w16cid:durableId="347685016">
    <w:abstractNumId w:val="4"/>
  </w:num>
  <w:num w:numId="11" w16cid:durableId="1367095032">
    <w:abstractNumId w:val="8"/>
  </w:num>
  <w:num w:numId="12" w16cid:durableId="1750075719">
    <w:abstractNumId w:val="8"/>
  </w:num>
  <w:num w:numId="13" w16cid:durableId="999116545">
    <w:abstractNumId w:val="3"/>
  </w:num>
  <w:num w:numId="14" w16cid:durableId="599064845">
    <w:abstractNumId w:val="3"/>
  </w:num>
  <w:num w:numId="15" w16cid:durableId="327101475">
    <w:abstractNumId w:val="2"/>
  </w:num>
  <w:num w:numId="16" w16cid:durableId="192771302">
    <w:abstractNumId w:val="2"/>
  </w:num>
  <w:num w:numId="17" w16cid:durableId="1491865546">
    <w:abstractNumId w:val="1"/>
  </w:num>
  <w:num w:numId="18" w16cid:durableId="607741168">
    <w:abstractNumId w:val="1"/>
  </w:num>
  <w:num w:numId="19" w16cid:durableId="1932813051">
    <w:abstractNumId w:val="0"/>
  </w:num>
  <w:num w:numId="20" w16cid:durableId="866526238">
    <w:abstractNumId w:val="0"/>
  </w:num>
  <w:num w:numId="21" w16cid:durableId="1988975263">
    <w:abstractNumId w:val="9"/>
  </w:num>
  <w:num w:numId="22" w16cid:durableId="527763691">
    <w:abstractNumId w:val="7"/>
  </w:num>
  <w:num w:numId="23" w16cid:durableId="1168208026">
    <w:abstractNumId w:val="6"/>
  </w:num>
  <w:num w:numId="24" w16cid:durableId="1296789484">
    <w:abstractNumId w:val="5"/>
  </w:num>
  <w:num w:numId="25" w16cid:durableId="1726373901">
    <w:abstractNumId w:val="4"/>
  </w:num>
  <w:num w:numId="26" w16cid:durableId="1567305364">
    <w:abstractNumId w:val="8"/>
  </w:num>
  <w:num w:numId="27" w16cid:durableId="1544322889">
    <w:abstractNumId w:val="3"/>
  </w:num>
  <w:num w:numId="28" w16cid:durableId="465586468">
    <w:abstractNumId w:val="2"/>
  </w:num>
  <w:num w:numId="29" w16cid:durableId="304316111">
    <w:abstractNumId w:val="1"/>
  </w:num>
  <w:num w:numId="30" w16cid:durableId="1120688127">
    <w:abstractNumId w:val="0"/>
  </w:num>
  <w:num w:numId="31" w16cid:durableId="1843159070">
    <w:abstractNumId w:val="9"/>
  </w:num>
  <w:num w:numId="32" w16cid:durableId="275524404">
    <w:abstractNumId w:val="7"/>
  </w:num>
  <w:num w:numId="33" w16cid:durableId="1431391313">
    <w:abstractNumId w:val="6"/>
  </w:num>
  <w:num w:numId="34" w16cid:durableId="860314132">
    <w:abstractNumId w:val="5"/>
  </w:num>
  <w:num w:numId="35" w16cid:durableId="1146556351">
    <w:abstractNumId w:val="4"/>
  </w:num>
  <w:num w:numId="36" w16cid:durableId="990450107">
    <w:abstractNumId w:val="8"/>
  </w:num>
  <w:num w:numId="37" w16cid:durableId="2062241169">
    <w:abstractNumId w:val="3"/>
  </w:num>
  <w:num w:numId="38" w16cid:durableId="1732531703">
    <w:abstractNumId w:val="2"/>
  </w:num>
  <w:num w:numId="39" w16cid:durableId="1034310608">
    <w:abstractNumId w:val="1"/>
  </w:num>
  <w:num w:numId="40" w16cid:durableId="1696926277">
    <w:abstractNumId w:val="0"/>
  </w:num>
  <w:num w:numId="41" w16cid:durableId="272908680">
    <w:abstractNumId w:val="10"/>
  </w:num>
  <w:num w:numId="42" w16cid:durableId="283192847">
    <w:abstractNumId w:val="10"/>
  </w:num>
  <w:num w:numId="43" w16cid:durableId="1980569382">
    <w:abstractNumId w:val="10"/>
  </w:num>
  <w:num w:numId="44" w16cid:durableId="40916013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30/2025"/>
    <w:docVar w:name="dvlangue" w:val="PL"/>
    <w:docVar w:name="dvnumam" w:val="0"/>
    <w:docVar w:name="dvpe" w:val="775.425"/>
    <w:docVar w:name="dvrapporteur" w:val="Sprawozdawca: "/>
    <w:docVar w:name="dvstar" w:val="??"/>
    <w:docVar w:name="dvtitre" w:val="Rezolucja Parlamentu Europejskiego z dnia  2025 r. w sprawie stosunków pomiędzy UE a Arabią Saudyjską(2025/2082(INI))"/>
  </w:docVars>
  <w:rsids>
    <w:rsidRoot w:val="007C0529"/>
    <w:rsid w:val="00002272"/>
    <w:rsid w:val="0004167A"/>
    <w:rsid w:val="00064002"/>
    <w:rsid w:val="000677B9"/>
    <w:rsid w:val="000831BA"/>
    <w:rsid w:val="000A42CC"/>
    <w:rsid w:val="000E7DD9"/>
    <w:rsid w:val="000F5D5A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75E36"/>
    <w:rsid w:val="00395FA1"/>
    <w:rsid w:val="003C6F9D"/>
    <w:rsid w:val="003E15D4"/>
    <w:rsid w:val="00411CCE"/>
    <w:rsid w:val="0041666E"/>
    <w:rsid w:val="00421060"/>
    <w:rsid w:val="00471C19"/>
    <w:rsid w:val="004867E3"/>
    <w:rsid w:val="00494A28"/>
    <w:rsid w:val="004B773B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C0529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46"/>
    <w:rsid w:val="00C23CD4"/>
    <w:rsid w:val="00C61C0C"/>
    <w:rsid w:val="00C941CB"/>
    <w:rsid w:val="00CC2357"/>
    <w:rsid w:val="00CD650B"/>
    <w:rsid w:val="00CF071A"/>
    <w:rsid w:val="00D058B8"/>
    <w:rsid w:val="00D56C11"/>
    <w:rsid w:val="00D57132"/>
    <w:rsid w:val="00D67656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707521"/>
  <w15:chartTrackingRefBased/>
  <w15:docId w15:val="{D657332D-9D99-455F-8B48-B2BB7CB67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375E36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375E36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375E36"/>
    <w:pPr>
      <w:widowControl/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375E36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375E36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375E3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4251</Words>
  <Characters>28392</Characters>
  <Application>Microsoft Office Word</Application>
  <DocSecurity>4</DocSecurity>
  <Lines>236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GIRGINOV Kiril</cp:lastModifiedBy>
  <cp:revision>2</cp:revision>
  <cp:lastPrinted>2004-11-19T15:42:00Z</cp:lastPrinted>
  <dcterms:created xsi:type="dcterms:W3CDTF">2026-03-23T15:22:00Z</dcterms:created>
  <dcterms:modified xsi:type="dcterms:W3CDTF">2026-03-23T15:22:00Z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A10-0230/2025</vt:lpwstr>
  </property>
  <property fmtid="{D5CDD505-2E9C-101B-9397-08002B2CF9AE}" pid="4" name="&lt;Type&gt;">
    <vt:lpwstr>RR</vt:lpwstr>
  </property>
</Properties>
</file>