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AEB" w14:paraId="67071E11" w14:textId="77777777" w:rsidTr="0010095E">
        <w:trPr>
          <w:trHeight w:hRule="exact" w:val="1418"/>
        </w:trPr>
        <w:tc>
          <w:tcPr>
            <w:tcW w:w="6804" w:type="dxa"/>
            <w:shd w:val="clear" w:color="auto" w:fill="auto"/>
            <w:vAlign w:val="center"/>
          </w:tcPr>
          <w:p w14:paraId="20454EEC" w14:textId="77777777" w:rsidR="00751A4A" w:rsidRPr="006A5AEB" w:rsidRDefault="00BA2617" w:rsidP="0010095E">
            <w:pPr>
              <w:pStyle w:val="EPName"/>
            </w:pPr>
            <w:r w:rsidRPr="006A5AEB">
              <w:t>Parlamentul European</w:t>
            </w:r>
          </w:p>
          <w:p w14:paraId="1DF18423" w14:textId="77777777" w:rsidR="00751A4A" w:rsidRPr="006A5AEB" w:rsidRDefault="005F1B17" w:rsidP="005F1B17">
            <w:pPr>
              <w:pStyle w:val="EPTerm"/>
              <w:rPr>
                <w:rStyle w:val="HideTWBExt"/>
                <w:noProof w:val="0"/>
                <w:vanish w:val="0"/>
                <w:color w:val="auto"/>
              </w:rPr>
            </w:pPr>
            <w:r w:rsidRPr="006A5AEB">
              <w:t>2024</w:t>
            </w:r>
            <w:r w:rsidR="00817416" w:rsidRPr="006A5AEB">
              <w:t>-202</w:t>
            </w:r>
            <w:r w:rsidRPr="006A5AEB">
              <w:t>9</w:t>
            </w:r>
          </w:p>
        </w:tc>
        <w:tc>
          <w:tcPr>
            <w:tcW w:w="2268" w:type="dxa"/>
            <w:shd w:val="clear" w:color="auto" w:fill="auto"/>
          </w:tcPr>
          <w:p w14:paraId="5566E25E" w14:textId="77777777" w:rsidR="00751A4A" w:rsidRPr="006A5AEB" w:rsidRDefault="00187494" w:rsidP="0010095E">
            <w:pPr>
              <w:pStyle w:val="EPLogo"/>
            </w:pPr>
            <w:r w:rsidRPr="006A5AEB">
              <w:rPr>
                <w:noProof/>
                <w:lang w:eastAsia="ja-JP"/>
              </w:rPr>
              <w:drawing>
                <wp:inline distT="0" distB="0" distL="0" distR="0" wp14:anchorId="0C223424" wp14:editId="17370E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195DED" w14:textId="77777777" w:rsidR="00D058B8" w:rsidRPr="006A5AEB" w:rsidRDefault="00D058B8" w:rsidP="004C5D52">
      <w:pPr>
        <w:pStyle w:val="LineTop"/>
      </w:pPr>
    </w:p>
    <w:p w14:paraId="43350837" w14:textId="77777777" w:rsidR="00680577" w:rsidRPr="006A5AEB" w:rsidRDefault="00BA2617" w:rsidP="00680577">
      <w:pPr>
        <w:pStyle w:val="EPBodyTA1"/>
      </w:pPr>
      <w:r w:rsidRPr="006A5AEB">
        <w:t>TEXTE ADOPTATE</w:t>
      </w:r>
    </w:p>
    <w:p w14:paraId="64890BE2" w14:textId="77777777" w:rsidR="00D058B8" w:rsidRPr="006A5AEB" w:rsidRDefault="00D058B8" w:rsidP="00D058B8">
      <w:pPr>
        <w:pStyle w:val="LineBottom"/>
      </w:pPr>
    </w:p>
    <w:p w14:paraId="7899B823" w14:textId="32EE78C5" w:rsidR="00BA2617" w:rsidRPr="006A5AEB" w:rsidRDefault="00BA2617" w:rsidP="00BA2617">
      <w:pPr>
        <w:pStyle w:val="ATHeading1"/>
      </w:pPr>
      <w:bookmarkStart w:id="0" w:name="TANumber"/>
      <w:r w:rsidRPr="006A5AEB">
        <w:t>P10_TA(2025)0</w:t>
      </w:r>
      <w:bookmarkEnd w:id="0"/>
      <w:r w:rsidR="006A5AEB" w:rsidRPr="006A5AEB">
        <w:t>326</w:t>
      </w:r>
    </w:p>
    <w:p w14:paraId="3C3A0B27" w14:textId="4D0219FD" w:rsidR="00BA2617" w:rsidRPr="006A5AEB" w:rsidRDefault="00BA2617" w:rsidP="00BA2617">
      <w:pPr>
        <w:pStyle w:val="ATHeading2"/>
      </w:pPr>
      <w:bookmarkStart w:id="1" w:name="title"/>
      <w:r w:rsidRPr="006A5AEB">
        <w:t>Relațiile dintre UE și Arabia Saudită</w:t>
      </w:r>
      <w:bookmarkEnd w:id="1"/>
    </w:p>
    <w:p w14:paraId="19CABB80" w14:textId="77777777" w:rsidR="00BA2617" w:rsidRPr="006A5AEB" w:rsidRDefault="00BA2617" w:rsidP="00BA2617">
      <w:pPr>
        <w:rPr>
          <w:i/>
          <w:vanish/>
        </w:rPr>
      </w:pPr>
      <w:r w:rsidRPr="006A5AEB">
        <w:rPr>
          <w:i/>
        </w:rPr>
        <w:fldChar w:fldCharType="begin"/>
      </w:r>
      <w:r w:rsidRPr="006A5AEB">
        <w:rPr>
          <w:i/>
        </w:rPr>
        <w:instrText xml:space="preserve"> TC"(</w:instrText>
      </w:r>
      <w:bookmarkStart w:id="2" w:name="DocNumber"/>
      <w:r w:rsidRPr="006A5AEB">
        <w:rPr>
          <w:i/>
        </w:rPr>
        <w:instrText>A10-0230/2025</w:instrText>
      </w:r>
      <w:bookmarkEnd w:id="2"/>
      <w:r w:rsidRPr="006A5AEB">
        <w:rPr>
          <w:i/>
        </w:rPr>
        <w:instrText xml:space="preserve"> - Raportoare: Hana Jalloul Muro)"\l3 \n&gt; \* MERGEFORMAT </w:instrText>
      </w:r>
      <w:r w:rsidRPr="006A5AEB">
        <w:rPr>
          <w:i/>
        </w:rPr>
        <w:fldChar w:fldCharType="end"/>
      </w:r>
    </w:p>
    <w:p w14:paraId="1187D94C" w14:textId="77777777" w:rsidR="00BA2617" w:rsidRPr="006A5AEB" w:rsidRDefault="00BA2617" w:rsidP="00BA2617">
      <w:pPr>
        <w:rPr>
          <w:vanish/>
        </w:rPr>
      </w:pPr>
      <w:bookmarkStart w:id="3" w:name="Commission"/>
      <w:r w:rsidRPr="006A5AEB">
        <w:rPr>
          <w:vanish/>
        </w:rPr>
        <w:t>Comisia pentru afaceri externe</w:t>
      </w:r>
      <w:bookmarkEnd w:id="3"/>
    </w:p>
    <w:p w14:paraId="23A7EA24" w14:textId="77777777" w:rsidR="00BA2617" w:rsidRPr="006A5AEB" w:rsidRDefault="00BA2617" w:rsidP="00BA2617">
      <w:pPr>
        <w:rPr>
          <w:vanish/>
        </w:rPr>
      </w:pPr>
      <w:bookmarkStart w:id="4" w:name="PE"/>
      <w:r w:rsidRPr="006A5AEB">
        <w:rPr>
          <w:vanish/>
        </w:rPr>
        <w:t>PE775.425</w:t>
      </w:r>
      <w:bookmarkEnd w:id="4"/>
    </w:p>
    <w:p w14:paraId="7BCE1D06" w14:textId="019BED38" w:rsidR="00BA2617" w:rsidRPr="006A5AEB" w:rsidRDefault="00BA2617" w:rsidP="00BA2617">
      <w:pPr>
        <w:pStyle w:val="ATHeading3"/>
      </w:pPr>
      <w:bookmarkStart w:id="5" w:name="Sujet"/>
      <w:r w:rsidRPr="006A5AEB">
        <w:t xml:space="preserve">Rezoluția Parlamentului European din </w:t>
      </w:r>
      <w:r w:rsidR="006D71FC" w:rsidRPr="006A5AEB">
        <w:t>16</w:t>
      </w:r>
      <w:r w:rsidRPr="006A5AEB">
        <w:t xml:space="preserve"> decembrie 2025 referitoare la relațiile dintre UE și Arabia Saudită</w:t>
      </w:r>
      <w:bookmarkEnd w:id="5"/>
      <w:r w:rsidRPr="006A5AEB">
        <w:t xml:space="preserve"> </w:t>
      </w:r>
      <w:bookmarkStart w:id="6" w:name="References"/>
      <w:r w:rsidRPr="006A5AEB">
        <w:t>(2025/2082(INI))</w:t>
      </w:r>
      <w:bookmarkEnd w:id="6"/>
    </w:p>
    <w:p w14:paraId="0D5A984E" w14:textId="5CF3B77B" w:rsidR="00C250A1" w:rsidRPr="006A5AEB" w:rsidRDefault="00C250A1" w:rsidP="00C250A1">
      <w:pPr>
        <w:pStyle w:val="Normal12"/>
      </w:pPr>
      <w:r w:rsidRPr="006A5AEB">
        <w:rPr>
          <w:i/>
        </w:rPr>
        <w:t>Parlamentul European</w:t>
      </w:r>
      <w:r w:rsidRPr="006A5AEB">
        <w:t>,</w:t>
      </w:r>
    </w:p>
    <w:p w14:paraId="6791A7F3" w14:textId="77777777" w:rsidR="00C250A1" w:rsidRPr="006A5AEB" w:rsidRDefault="00C250A1" w:rsidP="00C250A1">
      <w:pPr>
        <w:pStyle w:val="NormalHanging"/>
      </w:pPr>
      <w:r w:rsidRPr="006A5AEB">
        <w:t>–</w:t>
      </w:r>
      <w:r w:rsidRPr="006A5AEB">
        <w:tab/>
        <w:t>având în vedere articolele 205-222 din Tratatul privind funcționarea Uniunii Europene (TFUE),</w:t>
      </w:r>
    </w:p>
    <w:p w14:paraId="59E4F748" w14:textId="77777777" w:rsidR="00C250A1" w:rsidRPr="006A5AEB" w:rsidRDefault="00C250A1" w:rsidP="00C250A1">
      <w:pPr>
        <w:pStyle w:val="NormalHanging"/>
      </w:pPr>
      <w:r w:rsidRPr="006A5AEB">
        <w:t>–</w:t>
      </w:r>
      <w:r w:rsidRPr="006A5AEB">
        <w:tab/>
        <w:t>având în vedere rezoluțiile sale anterioare referitoare la Arabia Saudită, în special cea din 25 octombrie 2018 referitoare la uciderea jurnalistului Jamal Khashoggi în consulatul saudit din Istanbul</w:t>
      </w:r>
      <w:r w:rsidRPr="006A5AEB">
        <w:rPr>
          <w:rStyle w:val="FootnoteReference"/>
        </w:rPr>
        <w:footnoteReference w:customMarkFollows="1" w:id="1"/>
        <w:t>1</w:t>
      </w:r>
      <w:r w:rsidRPr="006A5AEB">
        <w:t>, cea din 11 februarie 2021 referitoare la situația umanitară și politică din Yemen</w:t>
      </w:r>
      <w:r w:rsidRPr="006A5AEB">
        <w:rPr>
          <w:rStyle w:val="FootnoteReference"/>
        </w:rPr>
        <w:footnoteReference w:customMarkFollows="1" w:id="2"/>
        <w:t>2</w:t>
      </w:r>
      <w:r w:rsidRPr="006A5AEB">
        <w:t xml:space="preserve"> și cea din 8 iulie 2021 referitoare la pedeapsa cu moartea în Arabia Saudită, în special cazul lui Mustafa Hașem al-Darwish și al lui Abdullah al-Howaiti</w:t>
      </w:r>
      <w:r w:rsidRPr="006A5AEB">
        <w:rPr>
          <w:rStyle w:val="FootnoteReference"/>
        </w:rPr>
        <w:footnoteReference w:customMarkFollows="1" w:id="3"/>
        <w:t>3</w:t>
      </w:r>
      <w:r w:rsidRPr="006A5AEB">
        <w:t>,</w:t>
      </w:r>
    </w:p>
    <w:p w14:paraId="3FEF7579" w14:textId="77777777" w:rsidR="00C250A1" w:rsidRPr="006A5AEB" w:rsidRDefault="00C250A1" w:rsidP="00C250A1">
      <w:pPr>
        <w:pStyle w:val="NormalHanging"/>
      </w:pPr>
      <w:r w:rsidRPr="006A5AEB">
        <w:t>–</w:t>
      </w:r>
      <w:r w:rsidRPr="006A5AEB">
        <w:tab/>
        <w:t>având în vedere Comunicarea comună a Comisiei și a Înaltului Reprezentant al Uniunii pentru afaceri externe și politica de securitate din 18 mai 2022 privind un parteneriat strategic cu Golful (JOIN(2022)0013), precum și concluziile Consiliului din 20 iunie 2022 pe această temă,</w:t>
      </w:r>
    </w:p>
    <w:p w14:paraId="607A8782" w14:textId="77777777" w:rsidR="00C250A1" w:rsidRPr="006A5AEB" w:rsidRDefault="00C250A1" w:rsidP="00C250A1">
      <w:pPr>
        <w:pStyle w:val="NormalHanging"/>
      </w:pPr>
      <w:r w:rsidRPr="006A5AEB">
        <w:t>–</w:t>
      </w:r>
      <w:r w:rsidRPr="006A5AEB">
        <w:tab/>
        <w:t>având în vedere mandatul Consiliului de a deschide negocieri pentru a încheia acorduri individuale de parteneriat strategic (APS) cu țările Consiliului de Cooperare pentru Statele Arabe din Golf [Consiliul de Cooperare al Golfului (CCG)], și respectiv Regatul Bahrain, Statul Kuweit, Sultanatul Oman, Statul Qatar, Regatul Arabiei Saudite și Emiratele Arabe Unite,</w:t>
      </w:r>
    </w:p>
    <w:p w14:paraId="57AD7D49" w14:textId="77777777" w:rsidR="00C250A1" w:rsidRPr="006A5AEB" w:rsidRDefault="00C250A1" w:rsidP="00C250A1">
      <w:pPr>
        <w:pStyle w:val="NormalHanging"/>
      </w:pPr>
      <w:r w:rsidRPr="006A5AEB">
        <w:t>–</w:t>
      </w:r>
      <w:r w:rsidRPr="006A5AEB">
        <w:tab/>
        <w:t>având în vedere declarația comună a primei reuniuni la nivel înalt UE-CCG din 16 octombrie 2024,</w:t>
      </w:r>
    </w:p>
    <w:p w14:paraId="35AC4B69" w14:textId="77777777" w:rsidR="00C250A1" w:rsidRPr="006A5AEB" w:rsidRDefault="00C250A1" w:rsidP="00C250A1">
      <w:pPr>
        <w:pStyle w:val="NormalHanging"/>
      </w:pPr>
      <w:r w:rsidRPr="006A5AEB">
        <w:t>–</w:t>
      </w:r>
      <w:r w:rsidRPr="006A5AEB">
        <w:tab/>
        <w:t>având în vedere declarația comună a celei de a 29-a reuniuni la nivelul Consiliului mixt și la nivel ministerial CCG-UE din 6 octombrie 2025,</w:t>
      </w:r>
    </w:p>
    <w:p w14:paraId="2DD5D895" w14:textId="138523FC" w:rsidR="00C250A1" w:rsidRPr="006A5AEB" w:rsidRDefault="00C250A1" w:rsidP="00C250A1">
      <w:pPr>
        <w:pStyle w:val="NormalHanging"/>
      </w:pPr>
      <w:r w:rsidRPr="006A5AEB">
        <w:t>–</w:t>
      </w:r>
      <w:r w:rsidRPr="006A5AEB">
        <w:tab/>
        <w:t xml:space="preserve">având în vedere recomandarea de decizie a Consiliului privind noi directive de negociere pentru un acord regional de liber schimb și acorduri bilaterale de liber schimb cu țările Consiliului de Cooperare pentru Statele Arabe din Golf, respectiv Regatul </w:t>
      </w:r>
      <w:r w:rsidRPr="006A5AEB">
        <w:lastRenderedPageBreak/>
        <w:t>Bahrain, Statul Kuweit, Sultanatul Oman, Statul Qatar, Regatul Arabiei Saudite și Emiratele Arabe Unite (</w:t>
      </w:r>
      <w:r w:rsidR="006D71FC" w:rsidRPr="006A5AEB">
        <w:t>COM(2025)0194</w:t>
      </w:r>
      <w:r w:rsidRPr="006A5AEB">
        <w:t>),</w:t>
      </w:r>
    </w:p>
    <w:p w14:paraId="7FE29302" w14:textId="77777777" w:rsidR="00C250A1" w:rsidRPr="006A5AEB" w:rsidRDefault="00C250A1" w:rsidP="00C250A1">
      <w:pPr>
        <w:pStyle w:val="NormalHanging"/>
      </w:pPr>
      <w:r w:rsidRPr="006A5AEB">
        <w:t>–</w:t>
      </w:r>
      <w:r w:rsidRPr="006A5AEB">
        <w:tab/>
        <w:t>având în vedere acordul de cooperare între Serviciul European de Acțiune Externă și Ministerul Afacerilor Externe al Regatului Arabiei Saudite, semnat la 3 octombrie 2021,</w:t>
      </w:r>
    </w:p>
    <w:p w14:paraId="0910BF71" w14:textId="77777777" w:rsidR="00024E76" w:rsidRPr="006A5AEB" w:rsidRDefault="00C250A1" w:rsidP="00C250A1">
      <w:pPr>
        <w:pStyle w:val="NormalHanging"/>
      </w:pPr>
      <w:r w:rsidRPr="006A5AEB">
        <w:t>–</w:t>
      </w:r>
      <w:r w:rsidRPr="006A5AEB">
        <w:tab/>
        <w:t>având în vedere cea de a patra rundă a Dialogului UE-Regatul Arabiei Saudite pe tema drepturilor omului, desfășurată la Riad la 20 decembrie 2024,</w:t>
      </w:r>
    </w:p>
    <w:p w14:paraId="43C24E54" w14:textId="065BC13C" w:rsidR="00C250A1" w:rsidRPr="006A5AEB" w:rsidRDefault="00C250A1" w:rsidP="00C250A1">
      <w:pPr>
        <w:pStyle w:val="NormalHanging"/>
      </w:pPr>
      <w:r w:rsidRPr="006A5AEB">
        <w:t>–</w:t>
      </w:r>
      <w:r w:rsidRPr="006A5AEB">
        <w:tab/>
        <w:t>având în vedere regimul mondial de sancțiuni al UE în materie de drepturi ale omului, instituit în decembrie 2020,</w:t>
      </w:r>
    </w:p>
    <w:p w14:paraId="1043D605" w14:textId="77777777" w:rsidR="00C250A1" w:rsidRPr="006A5AEB" w:rsidRDefault="00C250A1" w:rsidP="00C250A1">
      <w:pPr>
        <w:pStyle w:val="NormalHanging"/>
      </w:pPr>
      <w:r w:rsidRPr="006A5AEB">
        <w:t>–</w:t>
      </w:r>
      <w:r w:rsidRPr="006A5AEB">
        <w:tab/>
        <w:t>având în vedere Orientările Uniunii Europene cu privire la apărătorii drepturilor omului, adoptate în 2004 și revizuite în 2008,</w:t>
      </w:r>
    </w:p>
    <w:p w14:paraId="157627B4" w14:textId="77777777" w:rsidR="00C250A1" w:rsidRPr="006A5AEB" w:rsidRDefault="00C250A1" w:rsidP="00C250A1">
      <w:pPr>
        <w:pStyle w:val="NormalHanging"/>
      </w:pPr>
      <w:r w:rsidRPr="006A5AEB">
        <w:t>–</w:t>
      </w:r>
      <w:r w:rsidRPr="006A5AEB">
        <w:tab/>
        <w:t>având în vedere raportul Grupului de experți al Organizației Națiunilor Unite pentru denumiri geografice din 8 aprilie 2025 privind Regatul Arabiei Saudite (2025/169/CRP.169),</w:t>
      </w:r>
    </w:p>
    <w:p w14:paraId="70DDEC78" w14:textId="77777777" w:rsidR="00C250A1" w:rsidRPr="006A5AEB" w:rsidRDefault="00C250A1" w:rsidP="00C250A1">
      <w:pPr>
        <w:pStyle w:val="NormalHanging"/>
      </w:pPr>
      <w:r w:rsidRPr="006A5AEB">
        <w:t>–</w:t>
      </w:r>
      <w:r w:rsidRPr="006A5AEB">
        <w:tab/>
        <w:t>având în vedere Convenția ONU din 18 decembrie 1979 asupra eliminării tuturor formelor de discriminare față de femei,</w:t>
      </w:r>
    </w:p>
    <w:p w14:paraId="0CC5ADC2" w14:textId="77777777" w:rsidR="00C250A1" w:rsidRPr="006A5AEB" w:rsidRDefault="00C250A1" w:rsidP="00C250A1">
      <w:pPr>
        <w:pStyle w:val="NormalHanging"/>
      </w:pPr>
      <w:r w:rsidRPr="006A5AEB">
        <w:t>–</w:t>
      </w:r>
      <w:r w:rsidRPr="006A5AEB">
        <w:tab/>
        <w:t>având în vedere articolul 55 din Regulamentul său de procedură,</w:t>
      </w:r>
    </w:p>
    <w:p w14:paraId="16A7B030" w14:textId="77777777" w:rsidR="00C250A1" w:rsidRPr="006A5AEB" w:rsidRDefault="00C250A1" w:rsidP="00C250A1">
      <w:pPr>
        <w:pStyle w:val="NormalHanging"/>
      </w:pPr>
      <w:r w:rsidRPr="006A5AEB">
        <w:t>–</w:t>
      </w:r>
      <w:r w:rsidRPr="006A5AEB">
        <w:tab/>
        <w:t>având în vedere raportul Comisiei pentru afaceri externe (A10-0230/2025),</w:t>
      </w:r>
    </w:p>
    <w:p w14:paraId="3A1EEA91" w14:textId="77777777" w:rsidR="00C250A1" w:rsidRPr="006A5AEB" w:rsidRDefault="00C250A1" w:rsidP="00C250A1">
      <w:pPr>
        <w:pStyle w:val="NormalHanging"/>
      </w:pPr>
      <w:r w:rsidRPr="006A5AEB">
        <w:t>A.</w:t>
      </w:r>
      <w:r w:rsidRPr="006A5AEB">
        <w:tab/>
        <w:t>întrucât Arabia Saudită reprezintă un partener bilateral și regional esențial pentru UE; întrucât este important să aprofundăm această cooperare pentru a dezvolta un parteneriat strategic care să vizeze consolidarea relațiilor bilaterale și promovarea cooperării în diferite sectoare, inclusiv în domeniul apărării, culturii și inovării, dar mai ales în cel al energiei;</w:t>
      </w:r>
    </w:p>
    <w:p w14:paraId="6A79F982" w14:textId="77777777" w:rsidR="00024E76" w:rsidRPr="006A5AEB" w:rsidRDefault="00C250A1" w:rsidP="00C250A1">
      <w:pPr>
        <w:pStyle w:val="NormalHanging"/>
      </w:pPr>
      <w:r w:rsidRPr="006A5AEB">
        <w:t>B.</w:t>
      </w:r>
      <w:r w:rsidRPr="006A5AEB">
        <w:tab/>
        <w:t>întrucât Arabia Saudită este al 17-lea partener comercial al UE, ca mărime, la nivel mondial, iar UE este cel mai mare investitor străin în Arabia Saudită;</w:t>
      </w:r>
    </w:p>
    <w:p w14:paraId="254E0501" w14:textId="57A4DB32" w:rsidR="00C250A1" w:rsidRPr="006A5AEB" w:rsidRDefault="00C250A1" w:rsidP="00C250A1">
      <w:pPr>
        <w:pStyle w:val="NormalHanging"/>
      </w:pPr>
      <w:r w:rsidRPr="006A5AEB">
        <w:t>C.</w:t>
      </w:r>
      <w:r w:rsidRPr="006A5AEB">
        <w:tab/>
        <w:t>întrucât, în ultimul deceniu, Arabia Saudită și China și-au aprofundat legăturile în cadrul proiectului „Viziunea 2030” al Arabiei Saudite, iar Arabia Saudită a devenit cel mai mare beneficiar al investițiilor Chinei în inițiativa „O centură, un drum”, inclusiv al investițiilor în infrastructura strategică, cum ar fi porturile și rețelele digitale; întrucât China este principalul cumpărător de țiței din Arabia Saudită începând din 2019; întrucât Arabia Saudită și China și-au consolidat cooperarea în domeniile politicii externe, securității, energiei, comerțului și tehnologiei prin înființarea, în 2016, a unui Comitet mixt la nivel înalt (HLJC), precum și a unor subcomitete;</w:t>
      </w:r>
    </w:p>
    <w:p w14:paraId="3D22BEC5" w14:textId="77777777" w:rsidR="00C250A1" w:rsidRPr="006A5AEB" w:rsidRDefault="00C250A1" w:rsidP="00C250A1">
      <w:pPr>
        <w:pStyle w:val="NormalHanging"/>
      </w:pPr>
      <w:r w:rsidRPr="006A5AEB">
        <w:t>D.</w:t>
      </w:r>
      <w:r w:rsidRPr="006A5AEB">
        <w:tab/>
        <w:t>întrucât Arabia Saudită își consolidează relațiile cu India, în special prin proiectul coridorului economic India-Orientul Mijlociu – Europa (IMEC), care vizează îmbunătățirea conectivității dintre Asia și Europa prin Peninsula Arabică;</w:t>
      </w:r>
    </w:p>
    <w:p w14:paraId="78FD6960" w14:textId="77777777" w:rsidR="00C250A1" w:rsidRPr="006A5AEB" w:rsidRDefault="00C250A1" w:rsidP="00C250A1">
      <w:pPr>
        <w:pStyle w:val="NormalHanging"/>
      </w:pPr>
      <w:r w:rsidRPr="006A5AEB">
        <w:t>E.</w:t>
      </w:r>
      <w:r w:rsidRPr="006A5AEB">
        <w:tab/>
        <w:t>întrucât Arabia Saudită își consolidează și mai mult statutul de mediator regional de încredere și de actor-cheie la nivel mondial și este esențial să facă acest lucru prin respectarea deplină și promovarea drepturilor omului și a dreptului internațional;</w:t>
      </w:r>
    </w:p>
    <w:p w14:paraId="2CC0719A" w14:textId="77777777" w:rsidR="00C250A1" w:rsidRPr="006A5AEB" w:rsidRDefault="00C250A1" w:rsidP="00C250A1">
      <w:pPr>
        <w:pStyle w:val="NormalHanging"/>
      </w:pPr>
      <w:r w:rsidRPr="006A5AEB">
        <w:lastRenderedPageBreak/>
        <w:t>F.</w:t>
      </w:r>
      <w:r w:rsidRPr="006A5AEB">
        <w:tab/>
        <w:t>întrucât, în fața Curții Internaționale de Justiție (CIJ), este în prezent pendinte cauza referitoare la aplicarea Convenției pentru prevenirea și reprimarea crimei de genocid în Fâșia Gaza (Africa de Sud/Israel), introdusă de Africa de Sud la 29 decembrie 2023;</w:t>
      </w:r>
    </w:p>
    <w:p w14:paraId="6DD2DFCF" w14:textId="77777777" w:rsidR="00C250A1" w:rsidRPr="006A5AEB" w:rsidRDefault="00C250A1" w:rsidP="00C250A1">
      <w:pPr>
        <w:pStyle w:val="NormalHanging"/>
      </w:pPr>
      <w:r w:rsidRPr="006A5AEB">
        <w:t>G.</w:t>
      </w:r>
      <w:r w:rsidRPr="006A5AEB">
        <w:tab/>
        <w:t>întrucât Arabia Saudită consolidează dialogul și cooperarea cu UE în domeniul drepturilor omului;</w:t>
      </w:r>
    </w:p>
    <w:p w14:paraId="4DE0F140" w14:textId="77777777" w:rsidR="00C250A1" w:rsidRPr="006A5AEB" w:rsidRDefault="00C250A1" w:rsidP="00C250A1">
      <w:pPr>
        <w:pStyle w:val="NormalHanging"/>
      </w:pPr>
      <w:r w:rsidRPr="006A5AEB">
        <w:t>H.</w:t>
      </w:r>
      <w:r w:rsidRPr="006A5AEB">
        <w:tab/>
        <w:t>întrucât promovarea respectării drepturilor omului și a dreptului internațional în politica externă, inclusiv în comerț, este o obligație a UE prevăzută în tratat, consacrată la articolele 3 și 21 din Tratatul privind Uniunea Europeană;</w:t>
      </w:r>
    </w:p>
    <w:p w14:paraId="4993F133" w14:textId="77777777" w:rsidR="00C250A1" w:rsidRPr="006A5AEB" w:rsidRDefault="00C250A1" w:rsidP="00C250A1">
      <w:pPr>
        <w:pStyle w:val="NormalHanging"/>
      </w:pPr>
      <w:r w:rsidRPr="006A5AEB">
        <w:t>I.</w:t>
      </w:r>
      <w:r w:rsidRPr="006A5AEB">
        <w:tab/>
        <w:t>întrucât Comitetul ONU pentru eliminarea discriminării împotriva femeilor și-a exprimat, în constatările sale din octombrie 2024 privind Arabia Saudită, îngrijorarea cu privire la practicile discriminatorii înrădăcinate, hărțuirea activistelor și impactul mai larg al măsurilor punitive, inclusiv utilizarea pedepsei cu moartea;</w:t>
      </w:r>
    </w:p>
    <w:p w14:paraId="4B992045" w14:textId="77777777" w:rsidR="00C250A1" w:rsidRPr="006A5AEB" w:rsidRDefault="00C250A1" w:rsidP="00C250A1">
      <w:pPr>
        <w:pStyle w:val="NormalHanging"/>
      </w:pPr>
      <w:r w:rsidRPr="006A5AEB">
        <w:t>J.</w:t>
      </w:r>
      <w:r w:rsidRPr="006A5AEB">
        <w:tab/>
        <w:t>întrucât următorul summit UE-CCG, care urmează să aibă loc la Riad în 2026, va fi esențial pentru extinderea în continuare a domeniului de aplicare al relațiilor UE-Arabia Saudită și pentru consolidarea cooperării pe teme esențiale de interes reciproc,</w:t>
      </w:r>
    </w:p>
    <w:p w14:paraId="4C77E2BD" w14:textId="77777777" w:rsidR="00C250A1" w:rsidRPr="006A5AEB" w:rsidRDefault="00C250A1" w:rsidP="00C250A1">
      <w:pPr>
        <w:pStyle w:val="Normal12a"/>
      </w:pPr>
      <w:r w:rsidRPr="006A5AEB">
        <w:rPr>
          <w:b/>
          <w:i/>
        </w:rPr>
        <w:t>Relațiile bilaterale UE-Arabia Saudită</w:t>
      </w:r>
    </w:p>
    <w:p w14:paraId="2E42472D" w14:textId="77777777" w:rsidR="00C250A1" w:rsidRPr="006A5AEB" w:rsidRDefault="00C250A1" w:rsidP="00C250A1">
      <w:pPr>
        <w:pStyle w:val="NormalHanging12a"/>
      </w:pPr>
      <w:r w:rsidRPr="006A5AEB">
        <w:t>1.</w:t>
      </w:r>
      <w:r w:rsidRPr="006A5AEB">
        <w:tab/>
        <w:t>subliniază angajamentul pozitiv dintre UE și CCG, ca doi dintre principalii actori din zona extinsă a Mediteranei, în timpul primului summit UE-CCG din 2024; afirmă că UE urmărește să consolideze legăturile bilaterale cu fiecare partener din CCG prin intermediul APS, care ar aborda lipsa actuală a unui cadru obligatoriu din punct de vedere juridic pentru relațiile bilaterale dintre UE și Arabia Saudită, deblocând potențialul unei cooperări mai aprofundate și mai ample în domenii precum politica externă și de securitate, justiția și asigurarea respectării legii, comerțul și investițiile, energia și clima, transformarea digitală, mediul, cercetarea și inovarea, inteligența artificială, conectivitatea, guvernanța digitală, educația, cultura, cercetarea, tineretul și contactele interpersonale și pentru a asigura reforme în materie de drepturile omului și drepturile lucrătorilor în țările CCG;</w:t>
      </w:r>
    </w:p>
    <w:p w14:paraId="3FB14D02" w14:textId="77777777" w:rsidR="00C250A1" w:rsidRPr="006A5AEB" w:rsidRDefault="00C250A1" w:rsidP="00C250A1">
      <w:pPr>
        <w:pStyle w:val="NormalHanging12a"/>
      </w:pPr>
      <w:r w:rsidRPr="006A5AEB">
        <w:t>2.</w:t>
      </w:r>
      <w:r w:rsidRPr="006A5AEB">
        <w:tab/>
        <w:t>salută alinierea și cooperarea dintre Arabia Saudită și UE în domeniul politicii externe și de securitate;</w:t>
      </w:r>
    </w:p>
    <w:p w14:paraId="0FE42065" w14:textId="77777777" w:rsidR="00C250A1" w:rsidRPr="006A5AEB" w:rsidRDefault="00C250A1" w:rsidP="00C250A1">
      <w:pPr>
        <w:pStyle w:val="NormalHanging12a"/>
      </w:pPr>
      <w:r w:rsidRPr="006A5AEB">
        <w:t>3.</w:t>
      </w:r>
      <w:r w:rsidRPr="006A5AEB">
        <w:tab/>
        <w:t>subliniază potențialul de continuare a colaborării economice dintre UE și Arabia Saudită în domeniul energiei sustenabile, al materiilor prime critice, al tehnologiei informației și al antreprenoriatului, observând că cooperarea economică dintre UE și Arabia Saudită este piatra de temelie a relației bilaterale; solicită intensificarea cooperării UE-Arabia Saudită în aceste domenii; sprijină respectarea de către Arabia Saudită a legislației UE privind diligența necesară atunci când se angajează în tranzacții economice sau comerciale care implică întreprinderi deținute de Fondul de investiții publice al Arabiei Saudite sau afiliate acestuia;</w:t>
      </w:r>
    </w:p>
    <w:p w14:paraId="3DBB6DED" w14:textId="77777777" w:rsidR="00C250A1" w:rsidRPr="006A5AEB" w:rsidRDefault="00C250A1" w:rsidP="00C250A1">
      <w:pPr>
        <w:pStyle w:val="NormalHanging12a"/>
      </w:pPr>
      <w:r w:rsidRPr="006A5AEB">
        <w:t>4.</w:t>
      </w:r>
      <w:r w:rsidRPr="006A5AEB">
        <w:tab/>
        <w:t xml:space="preserve">subliniază că aprofundarea cooperării dintre UE și Arabia Saudită în domeniul energiei și al comerțului ar trebui să consolideze autonomia strategică a UE prin diversificarea, pe termen scurt, a surselor fiabile de aprovizionare cu energie; subliniază că, deși Arabia Saudită rămâne un actor mondial esențial pe piețele energiei fosile, ea s-a angajat, de asemenea, pe o traiectorie de diversificare și sustenabilitate, cu investiții în </w:t>
      </w:r>
      <w:r w:rsidRPr="006A5AEB">
        <w:lastRenderedPageBreak/>
        <w:t>energia din surse regenerabile, în special în proiecte la scară largă în domeniul energiei solare și al hidrogenului; constată că Arabia Saudită se numără, în prezent, printre primele 10 piețe de stocare a energiei din lume, dezvoltându-și în continuare poziția de lider în domeniul energiei din surse regenerabile; subliniază că prin valorificarea vastului potențial solar al Arabiei Saudite, împreună cu tehnologiile avansate din domeniul energiei din surse regenerabile ale UE, se pot crea inițiative comune în domeniul hidrogenului verde, al combustibililor sustenabili și al infrastructurii energetice de nouă generație;</w:t>
      </w:r>
    </w:p>
    <w:p w14:paraId="5A74EF84" w14:textId="77777777" w:rsidR="00C250A1" w:rsidRPr="006A5AEB" w:rsidRDefault="00C250A1" w:rsidP="00C250A1">
      <w:pPr>
        <w:pStyle w:val="NormalHanging12a"/>
      </w:pPr>
      <w:r w:rsidRPr="006A5AEB">
        <w:t>5.</w:t>
      </w:r>
      <w:r w:rsidRPr="006A5AEB">
        <w:tab/>
        <w:t>reafirmă că UE s-a angajat să sprijine eforturile de diversificare și reformă socioeconomică ale Arabiei Saudite, inclusiv promovarea dezvoltării durabile;</w:t>
      </w:r>
    </w:p>
    <w:p w14:paraId="531593A9" w14:textId="77777777" w:rsidR="00C250A1" w:rsidRPr="006A5AEB" w:rsidRDefault="00C250A1" w:rsidP="00C250A1">
      <w:pPr>
        <w:pStyle w:val="NormalHanging12a"/>
      </w:pPr>
      <w:r w:rsidRPr="006A5AEB">
        <w:t>6.</w:t>
      </w:r>
      <w:r w:rsidRPr="006A5AEB">
        <w:tab/>
        <w:t>reafirmă că UE își menține angajamentul de a promova un regim de călătorie fără viză sigur și reciproc avantajos cu cele cinci țări CCG rămase, astfel încât să se asigure tratamentul egal al acestora; această chestiune ar putea fi evaluată în contextul noii Strategii a UE privind vizele; observă importanța economică semnificativă a turiștilor din Arabia Saudită pentru statele membre ale UE, în special pentru sprijinirea sectoarelor-cheie, cum ar fi industria ospitalității, comerțul cu amănuntul și industriile culturale; subliniază că cetățenii saudiți nu reprezintă o sursă de presiune a migrației neregulamentare</w:t>
      </w:r>
      <w:r w:rsidRPr="006A5AEB">
        <w:rPr>
          <w:rStyle w:val="FootnoteReference"/>
        </w:rPr>
        <w:footnoteReference w:customMarkFollows="1" w:id="4"/>
        <w:t>4</w:t>
      </w:r>
      <w:r w:rsidRPr="006A5AEB">
        <w:t xml:space="preserve"> și, prin urmare, invită Comisia și statele membre să ia în considerare introducerea unei exonerări de obligația de a deține viză Schengen după acordarea mecanismului în cascadă, pentru a facilita turismul, a intensifica schimburile interpersonale și a consolida și mai mult legăturile economice și culturale dintre UE și Regatul Arabiei Saudite;</w:t>
      </w:r>
    </w:p>
    <w:p w14:paraId="7DCEAC22" w14:textId="77777777" w:rsidR="00C250A1" w:rsidRPr="006A5AEB" w:rsidRDefault="00C250A1" w:rsidP="00C250A1">
      <w:pPr>
        <w:pStyle w:val="NormalHanging12a"/>
      </w:pPr>
      <w:r w:rsidRPr="006A5AEB">
        <w:t>7.</w:t>
      </w:r>
      <w:r w:rsidRPr="006A5AEB">
        <w:tab/>
        <w:t>solicită UE să faciliteze în continuare cooperarea în materie de reglementare, ceea ce va ajuta Arabia Saudită să stabilească norme și proceduri pentru o diversificare energetică și o reformă socioeconomică de succes; încurajează parteneriate mai puternice între entitățile educaționale și de cercetare din UE și cele din Arabia Saudită, inclusiv prin programe ca Erasmus Mundus și Orizont Europa; subliniază importanța creării condițiilor necesare pentru creșterea mobilității studenților; evidențiază că mai multe ocazii de schimb între tineri vor contribui semnificativ la consolidarea relației dintre UE, Arabia Saudită și regiunea Golfului în ansamblu;</w:t>
      </w:r>
    </w:p>
    <w:p w14:paraId="7CAE8A36" w14:textId="77777777" w:rsidR="00C250A1" w:rsidRPr="006A5AEB" w:rsidRDefault="00C250A1" w:rsidP="00C250A1">
      <w:pPr>
        <w:pStyle w:val="Normal12a"/>
      </w:pPr>
      <w:r w:rsidRPr="006A5AEB">
        <w:rPr>
          <w:b/>
          <w:i/>
        </w:rPr>
        <w:t>Prioritățile de politică externă ale Arabiei Saudite și oportunitățile pentru UE</w:t>
      </w:r>
    </w:p>
    <w:p w14:paraId="4EF92F2E" w14:textId="77777777" w:rsidR="00C250A1" w:rsidRPr="006A5AEB" w:rsidRDefault="00C250A1" w:rsidP="00C250A1">
      <w:pPr>
        <w:pStyle w:val="NormalHanging12a"/>
      </w:pPr>
      <w:r w:rsidRPr="006A5AEB">
        <w:t>8.</w:t>
      </w:r>
      <w:r w:rsidRPr="006A5AEB">
        <w:tab/>
        <w:t>salută importanța crescândă a Arabiei Saudite ca actor diplomatic și contribuția sa importantă la stabilitatea regională și mondială, în special în contextul operațiunilor militare israeliene din Gaza precum și având în vedere evoluțiile recente din Siria, Liban, Yemen, Marea Roșie și Sudan;</w:t>
      </w:r>
    </w:p>
    <w:p w14:paraId="4893D166" w14:textId="77777777" w:rsidR="00C250A1" w:rsidRPr="006A5AEB" w:rsidRDefault="00C250A1" w:rsidP="00C250A1">
      <w:pPr>
        <w:pStyle w:val="NormalHanging12a"/>
      </w:pPr>
      <w:r w:rsidRPr="006A5AEB">
        <w:t>9.</w:t>
      </w:r>
      <w:r w:rsidRPr="006A5AEB">
        <w:tab/>
        <w:t xml:space="preserve">solicită o cooperare externă și de securitate mai strânsă, având în vedere escaladările regionale; subliniază că atât comunicarea comună privind un parteneriat strategic cu Golful, cât și viitoarele APS au solicitat o cooperare mai strânsă în domeniul politic și de securitate; subliniază că o astfel de cooperare trebuie să se bazeze pe un angajament comun față de respectarea dreptului internațional, inclusiv a drepturilor omului, a </w:t>
      </w:r>
      <w:r w:rsidRPr="006A5AEB">
        <w:lastRenderedPageBreak/>
        <w:t>dreptului internațional umanitar și a Cartei ONU; își exprimă sprijinul pentru decizia Consiliului din iulie 2025 de autorizare a Comisiei și a Înaltei Reprezentante a Uniunii pentru afaceri externe și politica de securitate să înceapă negocierile privind instituirea unui APS cu Regatul Arabiei Saudite; recunoaște că această inițiativă reprezintă o ocazie esențială de a promova interesele strategice ale UE, de a promova stabilitatea regională și de a consolida cooperarea în domeniul energiei și al securității; solicită implicarea robustă și activă a ambelor părți pe tot parcursul procesului de negociere, pentru a asigura încheierea rapidă și în timp util a acestuia; subliniază că o cooperare consolidată a UE cu Arabia Saudită ar trebui, de asemenea, să servească la consolidarea angajamentelor comune față de pace și stabilitate și la protejarea sistemului multilateral bazat pe norme;</w:t>
      </w:r>
    </w:p>
    <w:p w14:paraId="69D52027" w14:textId="77777777" w:rsidR="00C250A1" w:rsidRPr="006A5AEB" w:rsidRDefault="00C250A1" w:rsidP="00C250A1">
      <w:pPr>
        <w:pStyle w:val="NormalHanging12a"/>
      </w:pPr>
      <w:r w:rsidRPr="006A5AEB">
        <w:t>10.</w:t>
      </w:r>
      <w:r w:rsidRPr="006A5AEB">
        <w:tab/>
        <w:t>subliniază rolul diplomatic important al Arabiei Saudite, în special în ceea ce privește sprijinirea detensionării situației din Yemen, consolidarea securității maritime în Marea Roșie, găzduirea discuțiilor privind Ucraina și facilitarea dialogului privind Sudanul, contribuind astfel constructiv la stabilitatea regională și internațională;</w:t>
      </w:r>
    </w:p>
    <w:p w14:paraId="303F59CD" w14:textId="77777777" w:rsidR="00C250A1" w:rsidRPr="006A5AEB" w:rsidRDefault="00C250A1" w:rsidP="00C250A1">
      <w:pPr>
        <w:pStyle w:val="NormalHanging12a"/>
      </w:pPr>
      <w:r w:rsidRPr="006A5AEB">
        <w:t>11.</w:t>
      </w:r>
      <w:r w:rsidRPr="006A5AEB">
        <w:tab/>
        <w:t>invită Arabia Saudită să continue cooperarea UE-Arabia Saudită în ceea ce privește combaterea terorismului și prevenirea radicalizării, care trebuie să se desfășoare în conformitate cu standardele internaționale în domeniul drepturilor omului; subliniază importanța unei alinieri ample între UE și Arabia Saudită în aceste domenii;</w:t>
      </w:r>
    </w:p>
    <w:p w14:paraId="0964DAF4" w14:textId="77777777" w:rsidR="00C250A1" w:rsidRPr="006A5AEB" w:rsidRDefault="00C250A1" w:rsidP="00C250A1">
      <w:pPr>
        <w:pStyle w:val="NormalHanging12a"/>
      </w:pPr>
      <w:r w:rsidRPr="006A5AEB">
        <w:t>12.</w:t>
      </w:r>
      <w:r w:rsidRPr="006A5AEB">
        <w:tab/>
        <w:t>recunoaște eforturile Arabiei Saudite de a încuraja detensionarea situației în ceea ce privește operațiunile militare ale Israelului în Gaza; reamintește poziția sa exprimată în rezoluția sa din 11 septembrie 2025 referitoare la Gaza într-un punct critic: acțiuni ale UE împotriva foametei, nevoia urgentă de a elibera ostaticii și de a avansa înspre soluția cu două state</w:t>
      </w:r>
      <w:r w:rsidRPr="006A5AEB">
        <w:rPr>
          <w:rStyle w:val="FootnoteReference"/>
        </w:rPr>
        <w:footnoteReference w:customMarkFollows="1" w:id="5"/>
        <w:t>5</w:t>
      </w:r>
      <w:r w:rsidRPr="006A5AEB">
        <w:t xml:space="preserve"> și salută Declarația de la New York din 29 iulie 2025 privind soluționarea pașnică a chestiunii legate de Palestina și punerea în aplicare a soluției bazate pe coexistența a două state, precum și aprobarea acesteia de către Adunarea Generală a ONU la 12 septembrie 2025;</w:t>
      </w:r>
    </w:p>
    <w:p w14:paraId="7D306F12" w14:textId="77777777" w:rsidR="00C250A1" w:rsidRPr="006A5AEB" w:rsidRDefault="00C250A1" w:rsidP="00C250A1">
      <w:pPr>
        <w:pStyle w:val="NormalHanging12a"/>
      </w:pPr>
      <w:r w:rsidRPr="006A5AEB">
        <w:t>13.</w:t>
      </w:r>
      <w:r w:rsidRPr="006A5AEB">
        <w:tab/>
        <w:t>recunoaște eforturile depuse de Arabia Saudită și de anumite state arabe pentru normalizarea relațiilor diplomatice cu Israelul în cadrul Acordurilor Avraam din 2020; invită UE să sprijine inițiativele menite să asigure un sprijin regional și internațional larg pentru un viitor mai bun în relațiile arabo-israeliene în cadrul UE al soluției acceptate bazate pe coexistența a două state, pentru a promova stabilitatea regională;</w:t>
      </w:r>
    </w:p>
    <w:p w14:paraId="4621FABA" w14:textId="77777777" w:rsidR="00C250A1" w:rsidRPr="006A5AEB" w:rsidRDefault="00C250A1" w:rsidP="00C250A1">
      <w:pPr>
        <w:pStyle w:val="NormalHanging12a"/>
      </w:pPr>
      <w:r w:rsidRPr="006A5AEB">
        <w:t>14.</w:t>
      </w:r>
      <w:r w:rsidRPr="006A5AEB">
        <w:tab/>
        <w:t>salută implicarea diplomatică și financiară substanțială a Arabiei Saudite în Siria, inclusiv prin consultări regionale, precum și prin eforturi mai ample de stabilizare și reconstrucție; invită Arabia Saudită și partenerii săi din regiune să sprijine guvernul sirian de tranziție în vederea creării unei arhitecturi politice și de securitate durabile și incluzive; subliniază că este important să se mențină suveranitatea și integritatea teritorială a Siriei, precum și participarea și protecția minorităților siriene; solicită o cooperare consolidată între UE și Arabia Saudită pentru a contribui la o tranziție pașnică și incluzivă în Siria și pentru a proteja creștinii și toate comunitățile din Siria, garantându-le siguranța, libertatea religioasă și protecția patrimoniului lor cultural;</w:t>
      </w:r>
    </w:p>
    <w:p w14:paraId="209C8EB5" w14:textId="77777777" w:rsidR="00C250A1" w:rsidRPr="006A5AEB" w:rsidRDefault="00C250A1" w:rsidP="00C250A1">
      <w:pPr>
        <w:pStyle w:val="NormalHanging12a"/>
      </w:pPr>
      <w:r w:rsidRPr="006A5AEB">
        <w:t>15.</w:t>
      </w:r>
      <w:r w:rsidRPr="006A5AEB">
        <w:tab/>
        <w:t xml:space="preserve">reafirmă sprijinul UE pentru reconstrucția politică și socioeconomică a Libanului și subliniază importanța cooperării UE-Arabia Saudită în punerea în aplicare a Rezoluției </w:t>
      </w:r>
      <w:r w:rsidRPr="006A5AEB">
        <w:lastRenderedPageBreak/>
        <w:t>1701 (2006) a Consiliului de Securitate al ONU și sprijinirea forțelor armate libaneze; salută eforturile guvernului libanez și solicită dezarmarea Hezbollah; reiterează că este important ca toate țările din regiune să respecte suveranitatea și integritatea teritorială a Libanului, solicitând, în același timp, tuturor părților să protejeze forțele de menținere a păcii ale Forței interimare a ONU în Liban (UNIFIL);</w:t>
      </w:r>
    </w:p>
    <w:p w14:paraId="311B8721" w14:textId="77777777" w:rsidR="00C250A1" w:rsidRPr="006A5AEB" w:rsidRDefault="00C250A1" w:rsidP="00C250A1">
      <w:pPr>
        <w:pStyle w:val="NormalHanging12a"/>
      </w:pPr>
      <w:r w:rsidRPr="006A5AEB">
        <w:t>16.</w:t>
      </w:r>
      <w:r w:rsidRPr="006A5AEB">
        <w:tab/>
        <w:t>recunoaște rolul constructiv al Arabiei Saudite în mijlocul tensiunilor regionale actuale, cooperarea sporită dintre Arabia Saudită și Emiratele Arabe Unite și normalizarea diplomatică treptată cu Iranul; subliniază alinierea UE-Arabia Saudită în ceea ce privește limitarea interpușilor iranieni și oprirea dezvoltării în continuare a programului nuclear al Iranului;</w:t>
      </w:r>
    </w:p>
    <w:p w14:paraId="081BBA82" w14:textId="77777777" w:rsidR="00C250A1" w:rsidRPr="006A5AEB" w:rsidRDefault="00C250A1" w:rsidP="00C250A1">
      <w:pPr>
        <w:pStyle w:val="NormalHanging12a"/>
      </w:pPr>
      <w:r w:rsidRPr="006A5AEB">
        <w:t>17.</w:t>
      </w:r>
      <w:r w:rsidRPr="006A5AEB">
        <w:tab/>
        <w:t>subliniază prioritatea comună UE-Arabia Saudită de a institui o pace durabilă în Yemen și salută angajamentul continuu al Arabiei Saudite de a ajunge la o soluție politică incluzivă în Yemen; invită Arabia Saudită să sprijine un mecanism internațional independent de anchetă privind încălcările dreptului internațional umanitar în Yemen în perioada 2015-2022; încurajează creșterea ajutorului umanitar acordat de UE și de Arabia Saudită Yemenului și eforturile comune de contracarare a atacurilor vizând personalul umanitar;</w:t>
      </w:r>
    </w:p>
    <w:p w14:paraId="2ACEC593" w14:textId="77777777" w:rsidR="00C250A1" w:rsidRPr="006A5AEB" w:rsidRDefault="00C250A1" w:rsidP="00C250A1">
      <w:pPr>
        <w:pStyle w:val="NormalHanging12a"/>
      </w:pPr>
      <w:r w:rsidRPr="006A5AEB">
        <w:t>18.</w:t>
      </w:r>
      <w:r w:rsidRPr="006A5AEB">
        <w:tab/>
        <w:t>salută discuțiile mediate de ONU care au avut loc la Riad în ianuarie 2025 vizând stabilirea unei foi de parcurs pentru o pace incluzivă în Yemen, care au condus la progrese în ceea ce privește calendarele de dezarmare ale forțelor houthi; constată că acestea sunt în continuare condiționate de asistența economică acordată de Arabia Saudită;</w:t>
      </w:r>
    </w:p>
    <w:p w14:paraId="597E62A8" w14:textId="77777777" w:rsidR="00C250A1" w:rsidRPr="006A5AEB" w:rsidRDefault="00C250A1" w:rsidP="00C250A1">
      <w:pPr>
        <w:pStyle w:val="NormalHanging12a"/>
      </w:pPr>
      <w:r w:rsidRPr="006A5AEB">
        <w:t>19.</w:t>
      </w:r>
      <w:r w:rsidRPr="006A5AEB">
        <w:tab/>
        <w:t>subliniază angajamentul ferm al UE de a asigura protecția rutelor maritime și a drepturilor de navigație internațională în Marea Roșie; subliniază angajamentul Arabiei Saudite față de securitatea maritimă și solicită o mai strânsă cooperare politică și în domeniul informațiilor cu operațiunea forțelor navale ale UE Aspides și cu statele membre ale UE în sens mai larg;</w:t>
      </w:r>
    </w:p>
    <w:p w14:paraId="609BA118" w14:textId="77777777" w:rsidR="00C250A1" w:rsidRPr="006A5AEB" w:rsidRDefault="00C250A1" w:rsidP="00C250A1">
      <w:pPr>
        <w:pStyle w:val="NormalHanging12a"/>
      </w:pPr>
      <w:r w:rsidRPr="006A5AEB">
        <w:t>20.</w:t>
      </w:r>
      <w:r w:rsidRPr="006A5AEB">
        <w:tab/>
        <w:t>salută implicarea Arabiei Saudite în găzduirea negocierilor de încetare a focului în Ucraina; îndeamnă Arabia Saudită să coopereze mai strâns cu partenerii săi pentru a sprijini sancțiunile împotriva Federației Ruse și să ia măsuri pentru a contribui la încetarea activităților flotei fantomă ruse;</w:t>
      </w:r>
    </w:p>
    <w:p w14:paraId="4D7FFC4C" w14:textId="77777777" w:rsidR="00C250A1" w:rsidRPr="006A5AEB" w:rsidRDefault="00C250A1" w:rsidP="00C250A1">
      <w:pPr>
        <w:pStyle w:val="NormalHanging12a"/>
      </w:pPr>
      <w:r w:rsidRPr="006A5AEB">
        <w:t>21.</w:t>
      </w:r>
      <w:r w:rsidRPr="006A5AEB">
        <w:tab/>
        <w:t>ia act de angajamentul Arabiei Saudite de a investi 600 de miliarde USD în Statele Unite, incluzând un acord în domeniul apărării și cooperare strategică în domeniul tehnologiilor emergente;</w:t>
      </w:r>
    </w:p>
    <w:p w14:paraId="41FEBCA3" w14:textId="77777777" w:rsidR="00C250A1" w:rsidRPr="006A5AEB" w:rsidRDefault="00C250A1" w:rsidP="00C250A1">
      <w:pPr>
        <w:pStyle w:val="NormalHanging12a"/>
      </w:pPr>
      <w:r w:rsidRPr="006A5AEB">
        <w:t>22.</w:t>
      </w:r>
      <w:r w:rsidRPr="006A5AEB">
        <w:tab/>
        <w:t>recunoaște rolul Arabiei Saudite în promovarea cooperării multilaterale, inclusiv prin implicarea sa tot mai mare în Africa, în special în Sahel, și în Asia; solicită o coordonare mai strânsă între UE și Arabia Saudită în ceea ce privește cooperarea în domeniul energiei, dezvoltarea infrastructurii transregionale, consolidarea capacităților, dezvoltarea capitalului uman, instrumentele financiare și mecanismele de investiții pe întregul continent african; subliniază importanța integrării proiectelor conduse de Arabia Saudită în cadrele UE, inclusiv în inițiativa „Global Gateway”;</w:t>
      </w:r>
    </w:p>
    <w:p w14:paraId="64978890" w14:textId="77777777" w:rsidR="00C250A1" w:rsidRPr="006A5AEB" w:rsidRDefault="00C250A1" w:rsidP="00C250A1">
      <w:pPr>
        <w:pStyle w:val="NormalHanging12a"/>
      </w:pPr>
      <w:r w:rsidRPr="006A5AEB">
        <w:t>23.</w:t>
      </w:r>
      <w:r w:rsidRPr="006A5AEB">
        <w:tab/>
        <w:t xml:space="preserve">constată că Arabia Saudită a fost invitată oficial să devină membru al grupului de țări BRICS; observă că implicarea Arabiei Saudite în BRICS reflectă o tendință către alianțe </w:t>
      </w:r>
      <w:r w:rsidRPr="006A5AEB">
        <w:lastRenderedPageBreak/>
        <w:t>diversificate; solicită UE să colaboreze în mod constructiv cu Arabia Saudită în forurile multilaterale pentru a proteja interesele comerciale și de investiții reciproce;</w:t>
      </w:r>
    </w:p>
    <w:p w14:paraId="245EE3DE" w14:textId="77777777" w:rsidR="00C250A1" w:rsidRPr="006A5AEB" w:rsidRDefault="00C250A1" w:rsidP="00C250A1">
      <w:pPr>
        <w:pStyle w:val="NormalHanging12a"/>
      </w:pPr>
      <w:r w:rsidRPr="006A5AEB">
        <w:t>24.</w:t>
      </w:r>
      <w:r w:rsidRPr="006A5AEB">
        <w:tab/>
        <w:t>ia act de consolidarea relațiilor bilaterale dintre Arabia Saudită și Turcia, în special în domeniile securității și apărării; îndemnă Arabia Saudită să utilizeze această relație pentru a convinge Turcia să contribuie în mod constructiv la procesul de pace din Orientul Mijlociu, recunoscând Hamasul ca organizație teroristă și încetând sprijinul politic, economic și logistic acordat acestuia;</w:t>
      </w:r>
    </w:p>
    <w:p w14:paraId="6758702C" w14:textId="77777777" w:rsidR="00C250A1" w:rsidRPr="006A5AEB" w:rsidRDefault="00C250A1" w:rsidP="00C250A1">
      <w:pPr>
        <w:pStyle w:val="NormalHanging12a"/>
      </w:pPr>
      <w:r w:rsidRPr="006A5AEB">
        <w:t>25.</w:t>
      </w:r>
      <w:r w:rsidRPr="006A5AEB">
        <w:tab/>
        <w:t>salută poziția coerentă a Arabiei Saudite față de clasificarea Frăției Musulmane ca organizație teroristă și invită UE și statele sale membre să urmeze exemplul și să recunoască Frăția Musulmană ca organizație teroristă;</w:t>
      </w:r>
    </w:p>
    <w:p w14:paraId="46D42E7C" w14:textId="77777777" w:rsidR="00C250A1" w:rsidRPr="006A5AEB" w:rsidRDefault="00C250A1" w:rsidP="00C250A1">
      <w:pPr>
        <w:pStyle w:val="Normal12a"/>
      </w:pPr>
      <w:r w:rsidRPr="006A5AEB">
        <w:rPr>
          <w:b/>
          <w:i/>
        </w:rPr>
        <w:t>Transformarea socioeconomică a Arabiei Saudite și oportunitățile pentru UE</w:t>
      </w:r>
    </w:p>
    <w:p w14:paraId="55083778" w14:textId="77777777" w:rsidR="00C250A1" w:rsidRPr="006A5AEB" w:rsidRDefault="00C250A1" w:rsidP="00C250A1">
      <w:pPr>
        <w:pStyle w:val="NormalHanging12a"/>
      </w:pPr>
      <w:r w:rsidRPr="006A5AEB">
        <w:t>26.</w:t>
      </w:r>
      <w:r w:rsidRPr="006A5AEB">
        <w:tab/>
        <w:t>salută planurile ambițioase ale Arabiei Saudite din „Viziunea pentru 2030”, în care este descrisă o reformă socioeconomică importantă vizând modernizarea țării și a instituțiilor sale, precum și diversificarea economiei;</w:t>
      </w:r>
    </w:p>
    <w:p w14:paraId="3744CA11" w14:textId="77777777" w:rsidR="00C250A1" w:rsidRPr="006A5AEB" w:rsidRDefault="00C250A1" w:rsidP="00C250A1">
      <w:pPr>
        <w:pStyle w:val="NormalHanging12a"/>
      </w:pPr>
      <w:r w:rsidRPr="006A5AEB">
        <w:t>27.</w:t>
      </w:r>
      <w:r w:rsidRPr="006A5AEB">
        <w:tab/>
        <w:t>solicită Arabiei Saudite să-și remodeleze peisajul energetic și să facă tranziția către energia din surse regenerabile și hidrogenul verde, ca parte a planurilor sale din „Viziunea pentru 2030”; invită Arabia Saudită să își respecte angajamentele asumate în temeiul Acordului de la Paris și în conformitate cu avizul experților ONU; observă că UE este pregătită să colaboreze cu omologii săi din Arabia Saudită la proiecte care promovează obiectivele de mediu ale ambelor regiuni; evidențiază implicarea Regatului Arabiei Saudite privind tranziția energetică, reamintind angajamentul său de a atinge zero emisii nete până în 2060 și de a produce 50 % din energia sa electrică din surse regenerabile până în 2030; salută, în acest context, proiectul emblematic al Arabiei Saudite de a produce patru milioane de tone de hidrogen curat anual până în 2030;</w:t>
      </w:r>
    </w:p>
    <w:p w14:paraId="6508AEFD" w14:textId="77777777" w:rsidR="00C250A1" w:rsidRPr="006A5AEB" w:rsidRDefault="00C250A1" w:rsidP="00C250A1">
      <w:pPr>
        <w:pStyle w:val="NormalHanging12a"/>
      </w:pPr>
      <w:r w:rsidRPr="006A5AEB">
        <w:t>28.</w:t>
      </w:r>
      <w:r w:rsidRPr="006A5AEB">
        <w:tab/>
        <w:t>subliniază rolul Arabiei Saudite ca actor din ce în ce mai important în lanțurile de aprovizionare cu minerale și eforturile sale de a se alinia la cele mai bune practici internaționale; subliniază că extinderea domeniului de aplicare al cooperării UE-Arabia Saudită în acest domeniu va fi esențială pentru consolidarea în continuare a strategiei UE de reducere a riscurilor în acest sens și a eforturilor sale de a-și diversifica aprovizionarea cu materii prime;</w:t>
      </w:r>
    </w:p>
    <w:p w14:paraId="192DFE53" w14:textId="77777777" w:rsidR="00C250A1" w:rsidRPr="006A5AEB" w:rsidRDefault="00C250A1" w:rsidP="00C250A1">
      <w:pPr>
        <w:pStyle w:val="NormalHanging12a"/>
      </w:pPr>
      <w:r w:rsidRPr="006A5AEB">
        <w:t>29.</w:t>
      </w:r>
      <w:r w:rsidRPr="006A5AEB">
        <w:tab/>
        <w:t>recunoaște că Arabia Saudită a înregistrat progrese în combaterea ratei ridicate a șomajului în rândul tinerilor, scăzând-o de la 35,01 % în 2006 la 16 % în 2023; recomandă Arabiei Saudite să acorde în continuare prioritate acestei chestiuni;</w:t>
      </w:r>
    </w:p>
    <w:p w14:paraId="14826489" w14:textId="77777777" w:rsidR="00C250A1" w:rsidRPr="006A5AEB" w:rsidRDefault="00C250A1" w:rsidP="00C250A1">
      <w:pPr>
        <w:pStyle w:val="NormalHanging12a"/>
      </w:pPr>
      <w:r w:rsidRPr="006A5AEB">
        <w:t>30.</w:t>
      </w:r>
      <w:r w:rsidRPr="006A5AEB">
        <w:tab/>
        <w:t>salută abordarea autorităților din Arabia Saudită de a adopta o atitudine mai tolerantă și de a renunța la politicile religioase restrictive; ia act de legătura directă dintre toleranță și creșterea economică sustenabilă, subliniind că deschiderea și includerea favorizează condițiile pentru inovare, investiții și progres social; salută reformele pozitive ale programelor școlare realizate în Arabia Saudită, inclusiv, în special, eliminarea conținutului religios discriminatoriu și încurajând, în același timp, realizarea de progrese suplimentare în acest sens; încurajează Arabia Saudită să continue aceste reforme;</w:t>
      </w:r>
    </w:p>
    <w:p w14:paraId="69579FF4" w14:textId="77777777" w:rsidR="00C250A1" w:rsidRPr="006A5AEB" w:rsidRDefault="00C250A1" w:rsidP="00C250A1">
      <w:pPr>
        <w:pStyle w:val="NormalHanging12a"/>
      </w:pPr>
      <w:r w:rsidRPr="006A5AEB">
        <w:t>31.</w:t>
      </w:r>
      <w:r w:rsidRPr="006A5AEB">
        <w:tab/>
        <w:t>subliniază progresele importante înregistrate de Arabia Saudită în ceea ce privește participarea femeilor la forța de muncă, care a crescut la 36 %, și faptul că femeilor li s-</w:t>
      </w:r>
      <w:r w:rsidRPr="006A5AEB">
        <w:lastRenderedPageBreak/>
        <w:t>a acordat dreptul de a conduce autovehicule și de a călători fără tutelă masculină; subliniază că participarea femeilor la forța de muncă în Arabia Saudită a crescut de peste două ori din 2017; constată că femeile din Arabia Saudită dețin în prezent 45 % din întreprinderile mici și mijlocii și 17 % din totalul întreprinderilor; consideră că aceste evoluții reflectă impactul reformelor juridice introduse începând din 2018, inclusiv ridicarea interdicției de a conduce autovehicule</w:t>
      </w:r>
      <w:r w:rsidRPr="006A5AEB">
        <w:rPr>
          <w:rStyle w:val="FootnoteReference"/>
        </w:rPr>
        <w:footnoteReference w:customMarkFollows="1" w:id="6"/>
        <w:t>6</w:t>
      </w:r>
      <w:r w:rsidRPr="006A5AEB">
        <w:t>, adoptarea unei legi de combatere a hărțuirii și noi reglementări privind statutul personal, ridicând vârsta minimă de căsătorie la 18 ani și întărind autonomia femeilor; subliniază aceste realizări și încurajează continuarea reformelor menite să promoveze în continuare drepturile femeilor și participarea lor la viața publică, femeile reprezentând în prezent 41 % din administrația publică – inclusiv posturile diplomatice de rang înalt – 20 % din membrii Consiliului Shura și prima femeie musulmană arabă care călătorește în spațiu; constată că, în pofida progreselor înregistrate, există în continuare provocări, inclusiv în ceea ce privește Legea privind statutul personal și inegalitatea dintre bărbați și femei în ceea ce privește căsătoria, divorțul, custodia copiilor, moștenirea și drepturile de proprietate;</w:t>
      </w:r>
    </w:p>
    <w:p w14:paraId="61A038B8" w14:textId="77777777" w:rsidR="00C250A1" w:rsidRPr="006A5AEB" w:rsidRDefault="00C250A1" w:rsidP="00C250A1">
      <w:pPr>
        <w:pStyle w:val="NormalHanging12a"/>
      </w:pPr>
      <w:r w:rsidRPr="006A5AEB">
        <w:t>32.</w:t>
      </w:r>
      <w:r w:rsidRPr="006A5AEB">
        <w:tab/>
        <w:t xml:space="preserve">constată că Arabia Saudită a lansat o serie de proiecte ambițioase de infrastructură înainte de găzduirea EXPO 2030 și a Campionatului Mondial FIFA din 2034; se bazează pe capacitatea guvernului Arabiei Saudite de a garanta drepturile lucrătorilor la libera asociere și subliniază că există în continuare preocupări cu privire la tratamentul și drepturile lucrătorilor, precum și cu privire la rata mortalității migranților în accidentele de muncă din Arabia Saudită; recunoaște reformele introduse în cadrul Inițiativei de reformă a muncii din Arabia Saudită, solicitând în același timp Arabiei Saudite să asigure punerea în aplicare deplină a abolirii în 2025 a sistemului de sponsorizare </w:t>
      </w:r>
      <w:r w:rsidRPr="006A5AEB">
        <w:rPr>
          <w:i/>
        </w:rPr>
        <w:t>Kafala</w:t>
      </w:r>
      <w:r w:rsidRPr="006A5AEB">
        <w:t xml:space="preserve"> și să garanteze drepturile lucrătorilor la grevă și la negociere colectivă; se așteaptă ca Arabia Saudită să profite de ocazia oferită de Campionatul Mondial FIFA din 2034 și să continue punerea în aplicare a reformelor până atunci; îndeamnă Arabia Saudită să respecte legislația UE privind diligența necesară și monitorizarea întreprinderilor ce fac angajări pentru a se asigura că acestea acoperă toate costurile și taxele legate de recrutarea lucrătorilor și să introducă măsuri pentru rambursarea taxelor de recrutare ilegale plătite de lucrători;</w:t>
      </w:r>
    </w:p>
    <w:p w14:paraId="5AACC5F5" w14:textId="77777777" w:rsidR="00C250A1" w:rsidRPr="006A5AEB" w:rsidRDefault="00C250A1" w:rsidP="00C250A1">
      <w:pPr>
        <w:pStyle w:val="NormalHanging12a"/>
      </w:pPr>
      <w:r w:rsidRPr="006A5AEB">
        <w:t>33.</w:t>
      </w:r>
      <w:r w:rsidRPr="006A5AEB">
        <w:tab/>
        <w:t xml:space="preserve">recunoaște oportunitățile oferite de colaborarea UE-Arabia Saudită și interesele convergente servite de aceasta în cadrul parteneriatului strategic UE-CCG și prin intermediul inițiativei „Global Gateway” a UE privind IMEC, care se preconizează că va aduce investiții în cabluri electrice, în cabluri submarine de telecomunicații și de date, precum și în conducte pentru hidrogen verde; evaluează potențialul său de a conecta UE prin legături de transport multimodal; ia act de participarea Statelor Unite; îndeamnă ferm la abordarea deficitului de finanțare al IMEC prin investiții din UE, SUA și Golf și promovarea dezvoltării sustenabile a infrastructurii; subliniază importanța strategică a IMEC ca motor transformator al conectivității regionale, al integrării economice și al cooperării geopolitice; ia act de potențialul de a extinde colaborarea în ceea ce privește infrastructura digitală strategică, inclusiv rute de date diversificate și securizate care leagă Golful și Europa cu obiectivul comun de a consolida reziliența digitală a Europei, securitatea datelor și conectivitatea cu Asia și Africa; recunoaște eforturile depuse în prezent de Camera Europeană de Comerț în Regatul Arabiei Saudite (ECCKSA) pentru a încuraja colaborarea dintre întreprinderile </w:t>
      </w:r>
      <w:r w:rsidRPr="006A5AEB">
        <w:lastRenderedPageBreak/>
        <w:t>europene și Arabia Saudită în ceea ce privește infrastructura de transport și logistică, cu respectarea legislației UE privind diligența necesară;</w:t>
      </w:r>
    </w:p>
    <w:p w14:paraId="31331D0C" w14:textId="77777777" w:rsidR="00C250A1" w:rsidRPr="006A5AEB" w:rsidRDefault="00C250A1" w:rsidP="00C250A1">
      <w:pPr>
        <w:pStyle w:val="Normal12a"/>
      </w:pPr>
      <w:r w:rsidRPr="006A5AEB">
        <w:rPr>
          <w:b/>
          <w:i/>
        </w:rPr>
        <w:t>Drepturile omului</w:t>
      </w:r>
      <w:r w:rsidRPr="006A5AEB">
        <w:rPr>
          <w:i/>
        </w:rPr>
        <w:t xml:space="preserve"> </w:t>
      </w:r>
    </w:p>
    <w:p w14:paraId="10EE356C" w14:textId="77777777" w:rsidR="00C250A1" w:rsidRPr="006A5AEB" w:rsidRDefault="00C250A1" w:rsidP="00C250A1">
      <w:pPr>
        <w:pStyle w:val="NormalHanging12a"/>
      </w:pPr>
      <w:r w:rsidRPr="006A5AEB">
        <w:t>34.</w:t>
      </w:r>
      <w:r w:rsidRPr="006A5AEB">
        <w:tab/>
        <w:t>solicită o cooperare mai strânsă între UE și Arabia Saudită în domeniul drepturilor omului; salută dialogurile UE-Regatul Arabiei Saudite privind drepturile omului, conduse de Comisia pentru drepturile omului din Arabia Saudită și de Reprezentantul special al UE pentru drepturile omului, cel de-al patrulea dialog pe tema drepturilor omului având loc la Riad în decembrie 2024; ia act de faptul că discuțiile au vizat o gamă largă de aspecte legate de drepturile omului, inclusiv drepturile femeilor și drepturile grupurilor vulnerabile, statul de drept, dreptul la un proces echitabil, pedeapsa capitală, libertatea de exprimare, de întrunire și de asociere, traficul de persoane, drepturile economice, sociale și culturale, precum și cooperarea și activitățile bilaterale UE-Regatul Arabiei Saudite în cadrul forurilor multilaterale din domeniul drepturilor omului; subliniază că dialogurile privind drepturile omului oferă o platformă esențială pentru schimbul de perspective privind drepturile internaționale ale omului și pentru întărirea cooperării multilaterale și că acesta și toate celelalte dialoguri privind drepturile omului pe care le organizează UE ar trebui să vizeze asigurarea unor progrese concrete, măsurabile și încadrate în timp în domeniul drepturilor omului, inclusiv reforme în domeniul drepturilor omului, stoparea politicilor abuzive, asigurarea tragerii la răspundere pentru abuzuri și eliberarea persoanelor închise pe nedrept; solicită instituirea unui mecanism structurat de monitorizare al UE, cu criterii de referință și calendare clare, inclusiv măsuri de monitorizare pentru a încuraja realizarea de progrese suplimentare în ceea ce privește reformele în domeniul drepturilor omului; îndeamnă UE și statele sale membre să convină reciproc asupra unor condiții privind drepturile omului cu Arabia Saudită în timpul negocierilor pentru un acord bilateral de parteneriat, inclusiv, dar fără a se limita la ratificarea de către Arabia Saudită a convențiilor fundamentale privind drepturile omului și drepturile lucrătorilor, precum și eliberarea persoanelor închise pe nedrept;</w:t>
      </w:r>
    </w:p>
    <w:p w14:paraId="1D841E78" w14:textId="77777777" w:rsidR="00C250A1" w:rsidRPr="006A5AEB" w:rsidRDefault="00C250A1" w:rsidP="00C250A1">
      <w:pPr>
        <w:pStyle w:val="NormalHanging12a"/>
      </w:pPr>
      <w:r w:rsidRPr="006A5AEB">
        <w:t>35.</w:t>
      </w:r>
      <w:r w:rsidRPr="006A5AEB">
        <w:tab/>
        <w:t xml:space="preserve">recunoaște reformele sociale puse în aplicare de Arabia Saudită, cum ar fi noua Lege privind tranzacțiile civile, progresele în ce privește capacitarea femeilor, lucrările la elaborarea unui Cod penal, reformarea sistemului </w:t>
      </w:r>
      <w:r w:rsidRPr="006A5AEB">
        <w:rPr>
          <w:i/>
        </w:rPr>
        <w:t>Kafala</w:t>
      </w:r>
      <w:r w:rsidRPr="006A5AEB">
        <w:t xml:space="preserve"> de sponsorizare a muncii pentru migranți și implementarea unor noi reglementări în domeniul muncii; constată, cu toate acestea, că sistemul juridic al Arabiei Saudite se confruntă cu provocări, din cauza absenței unui drept penal codificat și a faptului că se bazează pe o legislație definită în sens larg, în ceea ce privește asigurarea faptului că anumite drepturi nu fac obiectul incriminării;</w:t>
      </w:r>
    </w:p>
    <w:p w14:paraId="709197D7" w14:textId="77777777" w:rsidR="00C250A1" w:rsidRPr="006A5AEB" w:rsidRDefault="00C250A1" w:rsidP="00C250A1">
      <w:pPr>
        <w:pStyle w:val="NormalHanging12a"/>
      </w:pPr>
      <w:r w:rsidRPr="006A5AEB">
        <w:t>36.</w:t>
      </w:r>
      <w:r w:rsidRPr="006A5AEB">
        <w:tab/>
        <w:t xml:space="preserve">recunoaște participarea tot mai mare a societății civile în Arabia Saudită, existând peste 5 400 de asociații și organizații înregistrate, și solicită măsuri suplimentare pentru a sprijini și a susține această tendință pozitivă; își exprimă îngrijorarea cu privire la creșterea numărului de arestări ale activiștilor, militanților societății civile, intelectualilor și apărătorilor drepturilor omului care își exercită dreptul, în conformitate cu dreptul internațional al drepturilor omului, la libertatea de exprimare, atât online, cât și offline; încurajează Arabia Saudită să își revizuiască definiția terorismului, în conformitate cu standardele internaționale; solicită eliberarea imediată a persoanelor deținute pentru exercitarea pașnică a drepturilor lor, în special a activiștilor de marcă, a apărătorilor drepturilor omului, a criticilor pașnici, a cadrelor universitare și a clericilor, și solicită ridicarea interdicțiilor de călătorie pentru persoanele care au fost eliberate; </w:t>
      </w:r>
      <w:r w:rsidRPr="006A5AEB">
        <w:lastRenderedPageBreak/>
        <w:t>reamintește că Parlamentul a acordat Premiul Saharov 2015 bloggerului din Arabia Saudită Raif Badawi; îndeamnă Arabia Saudită să extindă accesul și vizitele de țară la o gamă mai largă de organizații pentru drepturile omului;</w:t>
      </w:r>
    </w:p>
    <w:p w14:paraId="1C7B006E" w14:textId="77777777" w:rsidR="00C250A1" w:rsidRPr="006A5AEB" w:rsidRDefault="00C250A1" w:rsidP="00C250A1">
      <w:pPr>
        <w:pStyle w:val="NormalHanging12a"/>
      </w:pPr>
      <w:r w:rsidRPr="006A5AEB">
        <w:t>37.</w:t>
      </w:r>
      <w:r w:rsidRPr="006A5AEB">
        <w:tab/>
        <w:t>ia act de strategia Arabiei Saudite în domeniul drepturilor omului în contextul Campionatului Mondial FIFA din 2034; reafirmă disponibilitatea UE de a sprijini reformele în curs ale Arabiei Saudite în domeniul drepturilor omului, al muncii și al legislației; solicită consolidarea cooperării cu ONU și cu Organizația Internațională a Muncii în domeniul drepturilor lucrătorilor migranți, în vederea continuării reformelor cuprinzătoare și incluzive în domeniul muncii, în conformitate cu standardele internaționale, în special înainte de EXPO 2030 și de Campionatul Mondial din 2034, pentru a se asigura că toate decesele și accidentele lucrătorilor migranți, indiferent de cauza percepută, de timp și de loc, sunt investigate în mod corespunzător, iar familiile lucrătorilor decedați primesc despăgubiri echitabile și în timp util;</w:t>
      </w:r>
    </w:p>
    <w:p w14:paraId="35CC3009" w14:textId="77777777" w:rsidR="00C250A1" w:rsidRPr="006A5AEB" w:rsidRDefault="00C250A1" w:rsidP="00C250A1">
      <w:pPr>
        <w:pStyle w:val="NormalHanging12a"/>
      </w:pPr>
      <w:r w:rsidRPr="006A5AEB">
        <w:t>38.</w:t>
      </w:r>
      <w:r w:rsidRPr="006A5AEB">
        <w:tab/>
        <w:t>reafirmă angajamentul UE față de abolirea pedepsei cu moartea indiferent de circumstanțe și reafirmă angajamentul principial al UE de a colabora cu Arabia Saudită în acest scop; își exprimă îngrijorarea cu privire la multiplicarea execuțiilor în Arabia Saudită, ajungându-se la numărul fără precedent de peste 345 în 2024; invită Arabia Saudită să instituie un moratoriu privind execuțiile; condamnă utilizarea în continuare a pedepsei cu moartea pentru infracțiuni neletale, în special infracțiuni legate de droguri – constituind astfel o încălcare a dreptului internațional al drepturilor omului, care limitează aplicarea pedepsei cu moartea doar la „cele mai grave infracțiuni” – și faptul că peste jumătate din toate execuțiile din 2025 au vizat cetățeni străini, adesea în urma unor procese care nu au respectat standardele internaționale privind un proces echitabil; solicită dezincriminarea activității sexuale între persoane de același sex;</w:t>
      </w:r>
    </w:p>
    <w:p w14:paraId="3EBD4FF0" w14:textId="7DCCF4AC" w:rsidR="00C57EA0" w:rsidRPr="006A5AEB" w:rsidRDefault="00C250A1" w:rsidP="00C57EA0">
      <w:pPr>
        <w:pStyle w:val="NormalHanging12a"/>
      </w:pPr>
      <w:r w:rsidRPr="006A5AEB">
        <w:t>39.</w:t>
      </w:r>
      <w:r w:rsidRPr="006A5AEB">
        <w:tab/>
        <w:t>deplânge detenția continuă a persoanelor condamnate la moarte pentru infracțiuni comise atunci când erau copii, și invită autoritățile saudite să revoce aceste sentințe de condamnare la moarte, în conformitate cu obligațiile Arabiei Saudite în temeiul dreptului internațional și al decretului regal din aprilie 2020; invită Arabia Saudită să elibereze imediat și necondiționat toate persoanele reținute pentru că și-au exercitat în mod pașnic drepturile omului;</w:t>
      </w:r>
    </w:p>
    <w:p w14:paraId="58EECAEF" w14:textId="77777777" w:rsidR="00C250A1" w:rsidRPr="006A5AEB" w:rsidRDefault="00C250A1" w:rsidP="00C250A1">
      <w:pPr>
        <w:pStyle w:val="NormalHanging12a"/>
      </w:pPr>
      <w:r w:rsidRPr="006A5AEB">
        <w:t>40.</w:t>
      </w:r>
      <w:r w:rsidRPr="006A5AEB">
        <w:tab/>
        <w:t>invită Arabia Saudită să ratifice toate convențiile internaționale fundamentale privind drepturile omului și drepturile lucrătorilor; încurajează Arabia Saudită să se asigure că întreaga legislație existentă și cea nouă, inclusiv Codul penal, respectă standardele internaționale privind drepturile omului și subliniază importanța unei cooperări strânse cu ONU și cu organizațiile independente ale societății civile în acest sens;</w:t>
      </w:r>
    </w:p>
    <w:p w14:paraId="5BEC2A7C" w14:textId="77777777" w:rsidR="00C250A1" w:rsidRPr="006A5AEB" w:rsidRDefault="00C250A1" w:rsidP="00C250A1">
      <w:pPr>
        <w:pStyle w:val="NormalCenter12a"/>
      </w:pPr>
      <w:r w:rsidRPr="006A5AEB">
        <w:t>°</w:t>
      </w:r>
    </w:p>
    <w:p w14:paraId="0E26B3F6" w14:textId="77777777" w:rsidR="00C250A1" w:rsidRPr="006A5AEB" w:rsidRDefault="00C250A1" w:rsidP="00C250A1">
      <w:pPr>
        <w:pStyle w:val="NormalCenter12a"/>
      </w:pPr>
      <w:r w:rsidRPr="006A5AEB">
        <w:t>°</w:t>
      </w:r>
      <w:r w:rsidRPr="006A5AEB">
        <w:tab/>
        <w:t>°</w:t>
      </w:r>
    </w:p>
    <w:p w14:paraId="7DD2A0D5" w14:textId="328B1D16" w:rsidR="00E33A41" w:rsidRPr="006A5AEB" w:rsidRDefault="00C250A1" w:rsidP="00E33A41">
      <w:pPr>
        <w:pStyle w:val="NormalHanging12a"/>
      </w:pPr>
      <w:r w:rsidRPr="006A5AEB">
        <w:t>41.</w:t>
      </w:r>
      <w:r w:rsidRPr="006A5AEB">
        <w:tab/>
        <w:t>încredințează Președintei sarcina de a transmite prezenta rezoluție Consiliului, Comisiei, Vicepreședintei Comisiei/Înaltei Reprezentante a Uniunii pentru afaceri externe și politica de securitate, Majestății Sale Regele Salman bin Abdulaziz Al Saud, prințului moștenitor Mohammad Bin Salman Al Saud, guvernului Regatului Arabiei Saudite și Consiliului Shura; solicită traducerea prezentei rezoluții în limba arabă.</w:t>
      </w:r>
    </w:p>
    <w:p w14:paraId="3DD5E6F0" w14:textId="689BCA42" w:rsidR="00E365E1" w:rsidRPr="006A5AEB" w:rsidRDefault="00E365E1" w:rsidP="00BA2617"/>
    <w:sectPr w:rsidR="00E365E1" w:rsidRPr="006A5AEB" w:rsidSect="00E33A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237CD" w14:textId="77777777" w:rsidR="00BA2617" w:rsidRPr="00E33A41" w:rsidRDefault="00BA2617">
      <w:r w:rsidRPr="00E33A41">
        <w:separator/>
      </w:r>
    </w:p>
  </w:endnote>
  <w:endnote w:type="continuationSeparator" w:id="0">
    <w:p w14:paraId="24A35046" w14:textId="77777777" w:rsidR="00BA2617" w:rsidRPr="00E33A41" w:rsidRDefault="00BA2617">
      <w:r w:rsidRPr="00E33A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BE00B" w14:textId="77777777" w:rsidR="00064002" w:rsidRPr="00E33A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71D5D" w14:textId="77777777" w:rsidR="00064002" w:rsidRPr="00E33A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CA193" w14:textId="77777777" w:rsidR="00064002" w:rsidRPr="00E33A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49BAF" w14:textId="77777777" w:rsidR="00BA2617" w:rsidRPr="00E33A41" w:rsidRDefault="00BA2617">
      <w:r w:rsidRPr="00E33A41">
        <w:separator/>
      </w:r>
    </w:p>
  </w:footnote>
  <w:footnote w:type="continuationSeparator" w:id="0">
    <w:p w14:paraId="2DE2E6AA" w14:textId="77777777" w:rsidR="00BA2617" w:rsidRPr="00E33A41" w:rsidRDefault="00BA2617">
      <w:r w:rsidRPr="00E33A41">
        <w:continuationSeparator/>
      </w:r>
    </w:p>
  </w:footnote>
  <w:footnote w:id="1">
    <w:p w14:paraId="4D71E07F" w14:textId="4792624F" w:rsidR="00C250A1" w:rsidRPr="00E33A41" w:rsidRDefault="00C250A1" w:rsidP="00E33A41">
      <w:pPr>
        <w:pStyle w:val="FootnoteText"/>
        <w:ind w:left="567" w:hanging="567"/>
        <w:rPr>
          <w:sz w:val="24"/>
          <w:lang w:val="ro-RO"/>
        </w:rPr>
      </w:pPr>
      <w:r w:rsidRPr="00E33A41">
        <w:rPr>
          <w:sz w:val="24"/>
          <w:vertAlign w:val="superscript"/>
          <w:lang w:val="ro-RO"/>
        </w:rPr>
        <w:t>1</w:t>
      </w:r>
      <w:r w:rsidR="00E33A41" w:rsidRPr="00E33A41">
        <w:rPr>
          <w:sz w:val="24"/>
          <w:vertAlign w:val="superscript"/>
          <w:lang w:val="ro-RO"/>
        </w:rPr>
        <w:t xml:space="preserve"> </w:t>
      </w:r>
      <w:r w:rsidR="00E33A41" w:rsidRPr="00E33A41">
        <w:rPr>
          <w:sz w:val="24"/>
          <w:vertAlign w:val="superscript"/>
          <w:lang w:val="ro-RO"/>
        </w:rPr>
        <w:tab/>
      </w:r>
      <w:r w:rsidRPr="00E33A41">
        <w:rPr>
          <w:sz w:val="24"/>
          <w:lang w:val="ro-RO"/>
        </w:rPr>
        <w:t>JO C 345, 16.10.2020, p. 67.</w:t>
      </w:r>
    </w:p>
  </w:footnote>
  <w:footnote w:id="2">
    <w:p w14:paraId="24BE4AE5" w14:textId="7E79EDB3" w:rsidR="00C250A1" w:rsidRPr="00E33A41" w:rsidRDefault="00C250A1" w:rsidP="00E33A41">
      <w:pPr>
        <w:pStyle w:val="FootnoteText"/>
        <w:ind w:left="567" w:hanging="567"/>
        <w:rPr>
          <w:sz w:val="24"/>
          <w:lang w:val="ro-RO"/>
        </w:rPr>
      </w:pPr>
      <w:r w:rsidRPr="00E33A41">
        <w:rPr>
          <w:sz w:val="24"/>
          <w:vertAlign w:val="superscript"/>
          <w:lang w:val="ro-RO"/>
        </w:rPr>
        <w:t>2</w:t>
      </w:r>
      <w:r w:rsidR="00E33A41" w:rsidRPr="00E33A41">
        <w:rPr>
          <w:sz w:val="24"/>
          <w:vertAlign w:val="superscript"/>
          <w:lang w:val="ro-RO"/>
        </w:rPr>
        <w:t xml:space="preserve"> </w:t>
      </w:r>
      <w:r w:rsidR="00E33A41" w:rsidRPr="00E33A41">
        <w:rPr>
          <w:sz w:val="24"/>
          <w:vertAlign w:val="superscript"/>
          <w:lang w:val="ro-RO"/>
        </w:rPr>
        <w:tab/>
      </w:r>
      <w:r w:rsidRPr="00E33A41">
        <w:rPr>
          <w:sz w:val="24"/>
          <w:lang w:val="ro-RO"/>
        </w:rPr>
        <w:t>JO C 465, 17.11.2021, p. 126.</w:t>
      </w:r>
    </w:p>
  </w:footnote>
  <w:footnote w:id="3">
    <w:p w14:paraId="334BF61A" w14:textId="05D5ADB8" w:rsidR="00C250A1" w:rsidRPr="00E33A41" w:rsidRDefault="00C250A1" w:rsidP="00E33A41">
      <w:pPr>
        <w:pStyle w:val="FootnoteText"/>
        <w:ind w:left="567" w:hanging="567"/>
        <w:rPr>
          <w:sz w:val="24"/>
          <w:lang w:val="ro-RO"/>
        </w:rPr>
      </w:pPr>
      <w:r w:rsidRPr="00E33A41">
        <w:rPr>
          <w:sz w:val="24"/>
          <w:vertAlign w:val="superscript"/>
          <w:lang w:val="ro-RO"/>
        </w:rPr>
        <w:t>3</w:t>
      </w:r>
      <w:r w:rsidR="00E33A41" w:rsidRPr="00E33A41">
        <w:rPr>
          <w:sz w:val="24"/>
          <w:vertAlign w:val="superscript"/>
          <w:lang w:val="ro-RO"/>
        </w:rPr>
        <w:t xml:space="preserve"> </w:t>
      </w:r>
      <w:r w:rsidR="00E33A41" w:rsidRPr="00E33A41">
        <w:rPr>
          <w:sz w:val="24"/>
          <w:vertAlign w:val="superscript"/>
          <w:lang w:val="ro-RO"/>
        </w:rPr>
        <w:tab/>
      </w:r>
      <w:r w:rsidRPr="00E33A41">
        <w:rPr>
          <w:sz w:val="24"/>
          <w:lang w:val="ro-RO"/>
        </w:rPr>
        <w:t>JO C 99, 1.3.2022, p. 185.</w:t>
      </w:r>
    </w:p>
  </w:footnote>
  <w:footnote w:id="4">
    <w:p w14:paraId="042D2528" w14:textId="646BE298" w:rsidR="00C250A1" w:rsidRPr="00E33A41" w:rsidRDefault="00C250A1" w:rsidP="00E33A41">
      <w:pPr>
        <w:pStyle w:val="FootnoteText"/>
        <w:ind w:left="567" w:hanging="567"/>
        <w:rPr>
          <w:sz w:val="24"/>
          <w:lang w:val="ro-RO"/>
        </w:rPr>
      </w:pPr>
      <w:r w:rsidRPr="00E33A41">
        <w:rPr>
          <w:sz w:val="24"/>
          <w:vertAlign w:val="superscript"/>
          <w:lang w:val="ro-RO"/>
        </w:rPr>
        <w:t>4</w:t>
      </w:r>
      <w:r w:rsidR="00E33A41" w:rsidRPr="00E33A41">
        <w:rPr>
          <w:sz w:val="24"/>
          <w:vertAlign w:val="superscript"/>
          <w:lang w:val="ro-RO"/>
        </w:rPr>
        <w:t xml:space="preserve"> </w:t>
      </w:r>
      <w:r w:rsidR="00E33A41" w:rsidRPr="00E33A41">
        <w:rPr>
          <w:sz w:val="24"/>
          <w:vertAlign w:val="superscript"/>
          <w:lang w:val="ro-RO"/>
        </w:rPr>
        <w:tab/>
      </w:r>
      <w:r w:rsidRPr="00E33A41">
        <w:rPr>
          <w:sz w:val="24"/>
          <w:lang w:val="ro-RO"/>
        </w:rPr>
        <w:t>Decizia de punere în aplicare a Comisiei din 22 aprilie 2024 de stabilire a unor norme adaptate privind eliberarea vizelor cu intrări multiple pentru resortisanții saudiți care își au reședința în Arabia Saudită și care solicită în Arabia Saudită vize de scurtă ședere și de abrogare a Deciziei de punere în aplicare C(2022)8007 a Comisiei (C(2024)2689).</w:t>
      </w:r>
    </w:p>
  </w:footnote>
  <w:footnote w:id="5">
    <w:p w14:paraId="52F71D9C" w14:textId="3532730B" w:rsidR="00C250A1" w:rsidRPr="00E33A41" w:rsidRDefault="00C250A1" w:rsidP="00E33A41">
      <w:pPr>
        <w:pStyle w:val="FootnoteText"/>
        <w:ind w:left="567" w:hanging="567"/>
        <w:rPr>
          <w:sz w:val="24"/>
          <w:lang w:val="ro-RO"/>
        </w:rPr>
      </w:pPr>
      <w:r w:rsidRPr="00E33A41">
        <w:rPr>
          <w:sz w:val="24"/>
          <w:vertAlign w:val="superscript"/>
          <w:lang w:val="ro-RO"/>
        </w:rPr>
        <w:t>5</w:t>
      </w:r>
      <w:r w:rsidR="00E33A41" w:rsidRPr="00E33A41">
        <w:rPr>
          <w:sz w:val="24"/>
          <w:vertAlign w:val="superscript"/>
          <w:lang w:val="ro-RO"/>
        </w:rPr>
        <w:t xml:space="preserve"> </w:t>
      </w:r>
      <w:r w:rsidR="00E33A41" w:rsidRPr="00E33A41">
        <w:rPr>
          <w:sz w:val="24"/>
          <w:vertAlign w:val="superscript"/>
          <w:lang w:val="ro-RO"/>
        </w:rPr>
        <w:tab/>
      </w:r>
      <w:r w:rsidRPr="00E33A41">
        <w:rPr>
          <w:sz w:val="24"/>
          <w:lang w:val="ro-RO"/>
        </w:rPr>
        <w:t>Texte adoptate, P10_TA(2025)0199.</w:t>
      </w:r>
    </w:p>
  </w:footnote>
  <w:footnote w:id="6">
    <w:p w14:paraId="6D37DEB5" w14:textId="62E03EAD" w:rsidR="00C250A1" w:rsidRPr="00E33A41" w:rsidRDefault="00C250A1" w:rsidP="00E33A41">
      <w:pPr>
        <w:pStyle w:val="FootnoteText"/>
        <w:ind w:left="567" w:hanging="567"/>
        <w:rPr>
          <w:sz w:val="24"/>
          <w:lang w:val="ro-RO"/>
        </w:rPr>
      </w:pPr>
      <w:r w:rsidRPr="00E33A41">
        <w:rPr>
          <w:sz w:val="24"/>
          <w:vertAlign w:val="superscript"/>
          <w:lang w:val="ro-RO"/>
        </w:rPr>
        <w:t>6</w:t>
      </w:r>
      <w:r w:rsidR="00E33A41" w:rsidRPr="00E33A41">
        <w:rPr>
          <w:sz w:val="24"/>
          <w:vertAlign w:val="superscript"/>
          <w:lang w:val="ro-RO"/>
        </w:rPr>
        <w:t xml:space="preserve"> </w:t>
      </w:r>
      <w:r w:rsidR="00E33A41" w:rsidRPr="00E33A41">
        <w:rPr>
          <w:sz w:val="24"/>
          <w:vertAlign w:val="superscript"/>
          <w:lang w:val="ro-RO"/>
        </w:rPr>
        <w:tab/>
      </w:r>
      <w:r w:rsidRPr="00E33A41">
        <w:rPr>
          <w:sz w:val="24"/>
          <w:lang w:val="ro-RO"/>
        </w:rPr>
        <w:t>Forumul Economic Mondial, „Saudi women are now legally allowed to drive” (Femeile saudite au acum dreptul legal de a conduce autovehicule), 25 iunie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D0C7" w14:textId="77777777" w:rsidR="00064002" w:rsidRPr="00E33A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483E" w14:textId="77777777" w:rsidR="00064002" w:rsidRPr="00E33A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6B8F9" w14:textId="77777777" w:rsidR="00064002" w:rsidRPr="00E33A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850407">
    <w:abstractNumId w:val="9"/>
  </w:num>
  <w:num w:numId="2" w16cid:durableId="184639773">
    <w:abstractNumId w:val="9"/>
  </w:num>
  <w:num w:numId="3" w16cid:durableId="837311414">
    <w:abstractNumId w:val="7"/>
  </w:num>
  <w:num w:numId="4" w16cid:durableId="992369314">
    <w:abstractNumId w:val="7"/>
  </w:num>
  <w:num w:numId="5" w16cid:durableId="1727952331">
    <w:abstractNumId w:val="6"/>
  </w:num>
  <w:num w:numId="6" w16cid:durableId="1005985448">
    <w:abstractNumId w:val="6"/>
  </w:num>
  <w:num w:numId="7" w16cid:durableId="260382573">
    <w:abstractNumId w:val="5"/>
  </w:num>
  <w:num w:numId="8" w16cid:durableId="1795827087">
    <w:abstractNumId w:val="5"/>
  </w:num>
  <w:num w:numId="9" w16cid:durableId="210309782">
    <w:abstractNumId w:val="4"/>
  </w:num>
  <w:num w:numId="10" w16cid:durableId="454758163">
    <w:abstractNumId w:val="4"/>
  </w:num>
  <w:num w:numId="11" w16cid:durableId="995186783">
    <w:abstractNumId w:val="8"/>
  </w:num>
  <w:num w:numId="12" w16cid:durableId="1824006311">
    <w:abstractNumId w:val="8"/>
  </w:num>
  <w:num w:numId="13" w16cid:durableId="1583374575">
    <w:abstractNumId w:val="3"/>
  </w:num>
  <w:num w:numId="14" w16cid:durableId="260376599">
    <w:abstractNumId w:val="3"/>
  </w:num>
  <w:num w:numId="15" w16cid:durableId="181820986">
    <w:abstractNumId w:val="2"/>
  </w:num>
  <w:num w:numId="16" w16cid:durableId="1775662418">
    <w:abstractNumId w:val="2"/>
  </w:num>
  <w:num w:numId="17" w16cid:durableId="44062266">
    <w:abstractNumId w:val="1"/>
  </w:num>
  <w:num w:numId="18" w16cid:durableId="337582119">
    <w:abstractNumId w:val="1"/>
  </w:num>
  <w:num w:numId="19" w16cid:durableId="1255093056">
    <w:abstractNumId w:val="0"/>
  </w:num>
  <w:num w:numId="20" w16cid:durableId="757097213">
    <w:abstractNumId w:val="0"/>
  </w:num>
  <w:num w:numId="21" w16cid:durableId="1620406404">
    <w:abstractNumId w:val="9"/>
  </w:num>
  <w:num w:numId="22" w16cid:durableId="2130657817">
    <w:abstractNumId w:val="7"/>
  </w:num>
  <w:num w:numId="23" w16cid:durableId="348218472">
    <w:abstractNumId w:val="6"/>
  </w:num>
  <w:num w:numId="24" w16cid:durableId="2069915624">
    <w:abstractNumId w:val="5"/>
  </w:num>
  <w:num w:numId="25" w16cid:durableId="2093812161">
    <w:abstractNumId w:val="4"/>
  </w:num>
  <w:num w:numId="26" w16cid:durableId="413749301">
    <w:abstractNumId w:val="8"/>
  </w:num>
  <w:num w:numId="27" w16cid:durableId="396974436">
    <w:abstractNumId w:val="3"/>
  </w:num>
  <w:num w:numId="28" w16cid:durableId="567110582">
    <w:abstractNumId w:val="2"/>
  </w:num>
  <w:num w:numId="29" w16cid:durableId="300228669">
    <w:abstractNumId w:val="1"/>
  </w:num>
  <w:num w:numId="30" w16cid:durableId="1656302563">
    <w:abstractNumId w:val="0"/>
  </w:num>
  <w:num w:numId="31" w16cid:durableId="1459759631">
    <w:abstractNumId w:val="9"/>
  </w:num>
  <w:num w:numId="32" w16cid:durableId="422605632">
    <w:abstractNumId w:val="7"/>
  </w:num>
  <w:num w:numId="33" w16cid:durableId="797719799">
    <w:abstractNumId w:val="6"/>
  </w:num>
  <w:num w:numId="34" w16cid:durableId="1225484067">
    <w:abstractNumId w:val="5"/>
  </w:num>
  <w:num w:numId="35" w16cid:durableId="455418426">
    <w:abstractNumId w:val="4"/>
  </w:num>
  <w:num w:numId="36" w16cid:durableId="671876547">
    <w:abstractNumId w:val="8"/>
  </w:num>
  <w:num w:numId="37" w16cid:durableId="259873093">
    <w:abstractNumId w:val="3"/>
  </w:num>
  <w:num w:numId="38" w16cid:durableId="2147240215">
    <w:abstractNumId w:val="2"/>
  </w:num>
  <w:num w:numId="39" w16cid:durableId="307561104">
    <w:abstractNumId w:val="1"/>
  </w:num>
  <w:num w:numId="40" w16cid:durableId="4676732">
    <w:abstractNumId w:val="0"/>
  </w:num>
  <w:num w:numId="41" w16cid:durableId="1936133908">
    <w:abstractNumId w:val="10"/>
  </w:num>
  <w:num w:numId="42" w16cid:durableId="329453398">
    <w:abstractNumId w:val="10"/>
  </w:num>
  <w:num w:numId="43" w16cid:durableId="475294506">
    <w:abstractNumId w:val="10"/>
  </w:num>
  <w:num w:numId="44" w16cid:durableId="419562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RO"/>
    <w:docVar w:name="dvnumam" w:val="0"/>
    <w:docVar w:name="dvpe" w:val="775.425"/>
    <w:docVar w:name="dvrapporteur" w:val="Raportoare: "/>
    <w:docVar w:name="dvtitre" w:val="Rezoluția Parlamentului European din ... decembrie 2025 referitoare la relațiile dintre UE și Arabia Saudită(2025/2082(INI))"/>
  </w:docVars>
  <w:rsids>
    <w:rsidRoot w:val="00BA2617"/>
    <w:rsid w:val="00002272"/>
    <w:rsid w:val="00024E7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5AEB"/>
    <w:rsid w:val="006D71FC"/>
    <w:rsid w:val="006F74FA"/>
    <w:rsid w:val="00731ADD"/>
    <w:rsid w:val="00734777"/>
    <w:rsid w:val="00747932"/>
    <w:rsid w:val="00751A4A"/>
    <w:rsid w:val="00756632"/>
    <w:rsid w:val="00762C74"/>
    <w:rsid w:val="00786EC0"/>
    <w:rsid w:val="007D1690"/>
    <w:rsid w:val="007D5733"/>
    <w:rsid w:val="007E22AD"/>
    <w:rsid w:val="00817416"/>
    <w:rsid w:val="00842779"/>
    <w:rsid w:val="00865F67"/>
    <w:rsid w:val="00881A7B"/>
    <w:rsid w:val="008840E5"/>
    <w:rsid w:val="00887B3E"/>
    <w:rsid w:val="008C2AC6"/>
    <w:rsid w:val="0090133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923"/>
    <w:rsid w:val="00B558F0"/>
    <w:rsid w:val="00BA2617"/>
    <w:rsid w:val="00BD48FE"/>
    <w:rsid w:val="00BD7BD8"/>
    <w:rsid w:val="00BE6ADC"/>
    <w:rsid w:val="00C05BFE"/>
    <w:rsid w:val="00C23CD4"/>
    <w:rsid w:val="00C250A1"/>
    <w:rsid w:val="00C57EA0"/>
    <w:rsid w:val="00C61C0C"/>
    <w:rsid w:val="00C941CB"/>
    <w:rsid w:val="00CC2357"/>
    <w:rsid w:val="00CF071A"/>
    <w:rsid w:val="00D058B8"/>
    <w:rsid w:val="00D47AE2"/>
    <w:rsid w:val="00D56C11"/>
    <w:rsid w:val="00D834A0"/>
    <w:rsid w:val="00D872DF"/>
    <w:rsid w:val="00D91E21"/>
    <w:rsid w:val="00DA7FCD"/>
    <w:rsid w:val="00E33A4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F920B"/>
  <w15:chartTrackingRefBased/>
  <w15:docId w15:val="{E2F98DAB-D738-40FE-83CA-62E57B02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250A1"/>
    <w:pPr>
      <w:widowControl/>
      <w:spacing w:after="240"/>
    </w:pPr>
    <w:rPr>
      <w:szCs w:val="24"/>
      <w:lang w:eastAsia="en-US"/>
    </w:rPr>
  </w:style>
  <w:style w:type="paragraph" w:customStyle="1" w:styleId="NormalHanging12a">
    <w:name w:val="NormalHanging12a"/>
    <w:basedOn w:val="Normal"/>
    <w:rsid w:val="00C250A1"/>
    <w:pPr>
      <w:widowControl/>
      <w:spacing w:after="240"/>
      <w:ind w:left="566" w:hanging="566"/>
    </w:pPr>
    <w:rPr>
      <w:szCs w:val="24"/>
      <w:lang w:eastAsia="en-US"/>
    </w:rPr>
  </w:style>
  <w:style w:type="paragraph" w:customStyle="1" w:styleId="Normal12">
    <w:name w:val="Normal12"/>
    <w:basedOn w:val="Normal"/>
    <w:rsid w:val="00C250A1"/>
    <w:pPr>
      <w:widowControl/>
      <w:spacing w:after="240"/>
    </w:pPr>
    <w:rPr>
      <w:szCs w:val="24"/>
      <w:lang w:eastAsia="en-US"/>
    </w:rPr>
  </w:style>
  <w:style w:type="paragraph" w:customStyle="1" w:styleId="NormalHanging">
    <w:name w:val="NormalHanging"/>
    <w:basedOn w:val="Normal"/>
    <w:rsid w:val="00C250A1"/>
    <w:pPr>
      <w:widowControl/>
      <w:spacing w:after="240"/>
      <w:ind w:left="566" w:hanging="566"/>
    </w:pPr>
    <w:rPr>
      <w:szCs w:val="24"/>
      <w:lang w:eastAsia="en-US"/>
    </w:rPr>
  </w:style>
  <w:style w:type="paragraph" w:customStyle="1" w:styleId="NormalBold12a">
    <w:name w:val="NormalBold12a"/>
    <w:basedOn w:val="Normal"/>
    <w:rsid w:val="00C250A1"/>
    <w:pPr>
      <w:widowControl/>
      <w:spacing w:after="240"/>
    </w:pPr>
    <w:rPr>
      <w:b/>
      <w:szCs w:val="24"/>
      <w:lang w:eastAsia="en-US"/>
    </w:rPr>
  </w:style>
  <w:style w:type="paragraph" w:customStyle="1" w:styleId="NormalCenter12a">
    <w:name w:val="NormalCenter12a"/>
    <w:basedOn w:val="Normal"/>
    <w:rsid w:val="00C250A1"/>
    <w:pPr>
      <w:widowControl/>
      <w:spacing w:after="240"/>
      <w:jc w:val="center"/>
    </w:pPr>
    <w:rPr>
      <w:szCs w:val="24"/>
      <w:lang w:eastAsia="en-US"/>
    </w:rPr>
  </w:style>
  <w:style w:type="character" w:styleId="Hyperlink">
    <w:name w:val="Hyperlink"/>
    <w:basedOn w:val="DefaultParagraphFont"/>
    <w:rsid w:val="00C250A1"/>
    <w:rPr>
      <w:color w:val="0000FF"/>
      <w:u w:val="single"/>
    </w:rPr>
  </w:style>
  <w:style w:type="paragraph" w:styleId="Revision">
    <w:name w:val="Revision"/>
    <w:hidden/>
    <w:uiPriority w:val="99"/>
    <w:semiHidden/>
    <w:rsid w:val="006D71FC"/>
    <w:rPr>
      <w:sz w:val="24"/>
      <w:lang w:val="ro-RO"/>
    </w:rPr>
  </w:style>
  <w:style w:type="character" w:styleId="CommentReference">
    <w:name w:val="annotation reference"/>
    <w:basedOn w:val="DefaultParagraphFont"/>
    <w:rsid w:val="006D71FC"/>
    <w:rPr>
      <w:sz w:val="16"/>
      <w:szCs w:val="16"/>
    </w:rPr>
  </w:style>
  <w:style w:type="paragraph" w:styleId="CommentText">
    <w:name w:val="annotation text"/>
    <w:basedOn w:val="Normal"/>
    <w:link w:val="CommentTextChar"/>
    <w:rsid w:val="006D71FC"/>
    <w:rPr>
      <w:sz w:val="20"/>
    </w:rPr>
  </w:style>
  <w:style w:type="character" w:customStyle="1" w:styleId="CommentTextChar">
    <w:name w:val="Comment Text Char"/>
    <w:basedOn w:val="DefaultParagraphFont"/>
    <w:link w:val="CommentText"/>
    <w:rsid w:val="006D71FC"/>
    <w:rPr>
      <w:lang w:val="ro-RO"/>
    </w:rPr>
  </w:style>
  <w:style w:type="paragraph" w:styleId="CommentSubject">
    <w:name w:val="annotation subject"/>
    <w:basedOn w:val="CommentText"/>
    <w:next w:val="CommentText"/>
    <w:link w:val="CommentSubjectChar"/>
    <w:rsid w:val="006D71FC"/>
    <w:rPr>
      <w:b/>
      <w:bCs/>
    </w:rPr>
  </w:style>
  <w:style w:type="character" w:customStyle="1" w:styleId="CommentSubjectChar">
    <w:name w:val="Comment Subject Char"/>
    <w:basedOn w:val="CommentTextChar"/>
    <w:link w:val="CommentSubject"/>
    <w:rsid w:val="006D71FC"/>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4670</Words>
  <Characters>28303</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2026-02-03T09:49:00Z</dcterms:created>
  <dcterms:modified xsi:type="dcterms:W3CDTF">2026-02-03T09:49:00Z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A10-0230/2025</vt:lpwstr>
  </property>
  <property fmtid="{D5CDD505-2E9C-101B-9397-08002B2CF9AE}" pid="4" name="&lt;Type&gt;">
    <vt:lpwstr>RR</vt:lpwstr>
  </property>
</Properties>
</file>