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1F48" w14:paraId="2915E8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13E62C" w14:textId="77777777" w:rsidR="00751A4A" w:rsidRPr="00451F48" w:rsidRDefault="00362CDD" w:rsidP="0010095E">
            <w:pPr>
              <w:pStyle w:val="EPName"/>
            </w:pPr>
            <w:r w:rsidRPr="00451F48">
              <w:t>Európsky parlament</w:t>
            </w:r>
          </w:p>
          <w:p w14:paraId="547202AB" w14:textId="77777777" w:rsidR="00751A4A" w:rsidRPr="00451F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1F48">
              <w:t>2024</w:t>
            </w:r>
            <w:r w:rsidR="00817416" w:rsidRPr="00451F48">
              <w:t>-202</w:t>
            </w:r>
            <w:r w:rsidRPr="00451F48">
              <w:t>9</w:t>
            </w:r>
          </w:p>
        </w:tc>
        <w:tc>
          <w:tcPr>
            <w:tcW w:w="2268" w:type="dxa"/>
            <w:shd w:val="clear" w:color="auto" w:fill="auto"/>
          </w:tcPr>
          <w:p w14:paraId="34DD4E69" w14:textId="77777777" w:rsidR="00751A4A" w:rsidRPr="00451F48" w:rsidRDefault="00187494" w:rsidP="0010095E">
            <w:pPr>
              <w:pStyle w:val="EPLogo"/>
            </w:pPr>
            <w:r w:rsidRPr="00451F48">
              <w:rPr>
                <w:noProof/>
                <w:lang w:eastAsia="ja-JP"/>
              </w:rPr>
              <w:drawing>
                <wp:inline distT="0" distB="0" distL="0" distR="0" wp14:anchorId="2EDFBF54" wp14:editId="58BBBE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80FA6D" w14:textId="77777777" w:rsidR="00D058B8" w:rsidRPr="00451F48" w:rsidRDefault="00D058B8" w:rsidP="004C5D52">
      <w:pPr>
        <w:pStyle w:val="LineTop"/>
      </w:pPr>
    </w:p>
    <w:p w14:paraId="171406FC" w14:textId="77777777" w:rsidR="00680577" w:rsidRPr="00451F48" w:rsidRDefault="00362CDD" w:rsidP="00680577">
      <w:pPr>
        <w:pStyle w:val="EPBodyTA1"/>
      </w:pPr>
      <w:r w:rsidRPr="00451F48">
        <w:t>PRIJATÉ TEXTY</w:t>
      </w:r>
    </w:p>
    <w:p w14:paraId="765CADC9" w14:textId="77777777" w:rsidR="00D058B8" w:rsidRPr="00451F48" w:rsidRDefault="00D058B8" w:rsidP="00D058B8">
      <w:pPr>
        <w:pStyle w:val="LineBottom"/>
      </w:pPr>
    </w:p>
    <w:p w14:paraId="5C83F9B8" w14:textId="415E64EE" w:rsidR="00362CDD" w:rsidRPr="00451F48" w:rsidRDefault="00362CDD" w:rsidP="00362CDD">
      <w:pPr>
        <w:pStyle w:val="ATHeading1"/>
      </w:pPr>
      <w:bookmarkStart w:id="0" w:name="TANumber"/>
      <w:r w:rsidRPr="00451F48">
        <w:t>P10_TA(2025)0</w:t>
      </w:r>
      <w:r w:rsidR="00451F48" w:rsidRPr="00451F48">
        <w:t>326</w:t>
      </w:r>
      <w:bookmarkEnd w:id="0"/>
    </w:p>
    <w:p w14:paraId="4E0FF1DE" w14:textId="77777777" w:rsidR="00362CDD" w:rsidRPr="00451F48" w:rsidRDefault="00362CDD" w:rsidP="00362CDD">
      <w:pPr>
        <w:pStyle w:val="ATHeading2"/>
      </w:pPr>
      <w:bookmarkStart w:id="1" w:name="title"/>
      <w:r w:rsidRPr="00451F48">
        <w:t>Vzťahy medzi EÚ a Saudskou Arábiou</w:t>
      </w:r>
      <w:bookmarkEnd w:id="1"/>
    </w:p>
    <w:p w14:paraId="54BEAC50" w14:textId="77777777" w:rsidR="00362CDD" w:rsidRPr="00451F48" w:rsidRDefault="00362CDD" w:rsidP="00362CDD">
      <w:pPr>
        <w:rPr>
          <w:i/>
          <w:vanish/>
        </w:rPr>
      </w:pPr>
      <w:r w:rsidRPr="00451F48">
        <w:rPr>
          <w:i/>
        </w:rPr>
        <w:fldChar w:fldCharType="begin"/>
      </w:r>
      <w:r w:rsidRPr="00451F48">
        <w:rPr>
          <w:i/>
        </w:rPr>
        <w:instrText xml:space="preserve"> TC"(</w:instrText>
      </w:r>
      <w:bookmarkStart w:id="2" w:name="DocNumber"/>
      <w:r w:rsidRPr="00451F48">
        <w:rPr>
          <w:i/>
        </w:rPr>
        <w:instrText>A10-0230/2025</w:instrText>
      </w:r>
      <w:bookmarkEnd w:id="2"/>
      <w:r w:rsidRPr="00451F48">
        <w:rPr>
          <w:i/>
        </w:rPr>
        <w:instrText xml:space="preserve"> - Spravodajkyňa: Hana </w:instrText>
      </w:r>
      <w:proofErr w:type="spellStart"/>
      <w:r w:rsidRPr="00451F48">
        <w:rPr>
          <w:i/>
        </w:rPr>
        <w:instrText>Jalloul</w:instrText>
      </w:r>
      <w:proofErr w:type="spellEnd"/>
      <w:r w:rsidRPr="00451F48">
        <w:rPr>
          <w:i/>
        </w:rPr>
        <w:instrText xml:space="preserve"> </w:instrText>
      </w:r>
      <w:proofErr w:type="spellStart"/>
      <w:r w:rsidRPr="00451F48">
        <w:rPr>
          <w:i/>
        </w:rPr>
        <w:instrText>Muro</w:instrText>
      </w:r>
      <w:proofErr w:type="spellEnd"/>
      <w:r w:rsidRPr="00451F48">
        <w:rPr>
          <w:i/>
        </w:rPr>
        <w:instrText xml:space="preserve">)"\l3 \n&gt; \* MERGEFORMAT </w:instrText>
      </w:r>
      <w:r w:rsidRPr="00451F48">
        <w:rPr>
          <w:i/>
        </w:rPr>
        <w:fldChar w:fldCharType="end"/>
      </w:r>
    </w:p>
    <w:p w14:paraId="31E54AA9" w14:textId="77777777" w:rsidR="00362CDD" w:rsidRPr="00451F48" w:rsidRDefault="00362CDD" w:rsidP="00362CDD">
      <w:pPr>
        <w:rPr>
          <w:vanish/>
        </w:rPr>
      </w:pPr>
      <w:bookmarkStart w:id="3" w:name="Commission"/>
      <w:r w:rsidRPr="00451F48">
        <w:rPr>
          <w:vanish/>
        </w:rPr>
        <w:t>Výbor pre zahraničné veci</w:t>
      </w:r>
      <w:bookmarkEnd w:id="3"/>
    </w:p>
    <w:p w14:paraId="446E07D1" w14:textId="77777777" w:rsidR="00362CDD" w:rsidRPr="00451F48" w:rsidRDefault="00362CDD" w:rsidP="00362CDD">
      <w:pPr>
        <w:rPr>
          <w:vanish/>
        </w:rPr>
      </w:pPr>
      <w:bookmarkStart w:id="4" w:name="PE"/>
      <w:r w:rsidRPr="00451F48">
        <w:rPr>
          <w:vanish/>
        </w:rPr>
        <w:t>PE775.425</w:t>
      </w:r>
      <w:bookmarkEnd w:id="4"/>
    </w:p>
    <w:p w14:paraId="4C2EAF46" w14:textId="74D6A86B" w:rsidR="00362CDD" w:rsidRPr="00451F48" w:rsidRDefault="00362CDD" w:rsidP="00362CDD">
      <w:pPr>
        <w:pStyle w:val="ATHeading3"/>
      </w:pPr>
      <w:bookmarkStart w:id="5" w:name="Sujet"/>
      <w:r w:rsidRPr="00451F48">
        <w:t>Uznesenie Európskeho parlamentu z</w:t>
      </w:r>
      <w:r w:rsidR="00451F48" w:rsidRPr="00451F48">
        <w:t>o</w:t>
      </w:r>
      <w:r w:rsidRPr="00451F48">
        <w:t xml:space="preserve"> </w:t>
      </w:r>
      <w:r w:rsidR="00451F48" w:rsidRPr="00451F48">
        <w:t>16</w:t>
      </w:r>
      <w:r w:rsidRPr="00451F48">
        <w:t>. decembra 2025 o vzťahoch medzi EÚ a Saudskou Arábiou</w:t>
      </w:r>
      <w:bookmarkEnd w:id="5"/>
      <w:r w:rsidRPr="00451F48">
        <w:t xml:space="preserve"> </w:t>
      </w:r>
      <w:bookmarkStart w:id="6" w:name="References"/>
      <w:r w:rsidRPr="00451F48">
        <w:t>(2025/2082(INI))</w:t>
      </w:r>
      <w:bookmarkEnd w:id="6"/>
    </w:p>
    <w:p w14:paraId="26BF98DD" w14:textId="77777777" w:rsidR="00070544" w:rsidRPr="00451F48" w:rsidRDefault="00070544" w:rsidP="00070544">
      <w:pPr>
        <w:pStyle w:val="Normal12"/>
      </w:pPr>
      <w:r w:rsidRPr="00451F48">
        <w:rPr>
          <w:i/>
        </w:rPr>
        <w:t>Európsky parlament</w:t>
      </w:r>
      <w:r w:rsidRPr="00451F48">
        <w:t>,</w:t>
      </w:r>
    </w:p>
    <w:p w14:paraId="1F58299C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články 205 až 222 Zmluvy o fungovaní Európskej únie (ZFEÚ),</w:t>
      </w:r>
    </w:p>
    <w:p w14:paraId="1440F88D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 xml:space="preserve">so zreteľom na svoje predchádzajúce uznesenia o Saudskej Arábii, najmä na uznesenie z 25. októbra 2018 o vražde novinára </w:t>
      </w:r>
      <w:proofErr w:type="spellStart"/>
      <w:r w:rsidRPr="00451F48">
        <w:t>Džamála</w:t>
      </w:r>
      <w:proofErr w:type="spellEnd"/>
      <w:r w:rsidRPr="00451F48">
        <w:t xml:space="preserve"> </w:t>
      </w:r>
      <w:proofErr w:type="spellStart"/>
      <w:r w:rsidRPr="00451F48">
        <w:t>Chášúkdžího</w:t>
      </w:r>
      <w:proofErr w:type="spellEnd"/>
      <w:r w:rsidRPr="00451F48">
        <w:t xml:space="preserve"> na saudskoarabskom konzuláte v Istanbule</w:t>
      </w:r>
      <w:r w:rsidRPr="00451F48">
        <w:rPr>
          <w:rStyle w:val="FootnoteReference"/>
        </w:rPr>
        <w:footnoteReference w:customMarkFollows="1" w:id="1"/>
        <w:t>1</w:t>
      </w:r>
      <w:r w:rsidRPr="00451F48">
        <w:t>, uznesenie z 11. februára 2021 o humanitárnej a politickej situácii v Jemene</w:t>
      </w:r>
      <w:r w:rsidRPr="00451F48">
        <w:rPr>
          <w:rStyle w:val="FootnoteReference"/>
        </w:rPr>
        <w:footnoteReference w:customMarkFollows="1" w:id="2"/>
        <w:t>2</w:t>
      </w:r>
      <w:r w:rsidRPr="00451F48">
        <w:t xml:space="preserve"> a uznesenie z 8. júla 2021 o treste smrti v Saudskej Arábii, najmä o prípadoch </w:t>
      </w:r>
      <w:proofErr w:type="spellStart"/>
      <w:r w:rsidRPr="00451F48">
        <w:t>Mustafu</w:t>
      </w:r>
      <w:proofErr w:type="spellEnd"/>
      <w:r w:rsidRPr="00451F48">
        <w:t xml:space="preserve"> </w:t>
      </w:r>
      <w:proofErr w:type="spellStart"/>
      <w:r w:rsidRPr="00451F48">
        <w:t>Hashema</w:t>
      </w:r>
      <w:proofErr w:type="spellEnd"/>
      <w:r w:rsidRPr="00451F48">
        <w:t xml:space="preserve"> </w:t>
      </w:r>
      <w:proofErr w:type="spellStart"/>
      <w:r w:rsidRPr="00451F48">
        <w:t>al-Darwisha</w:t>
      </w:r>
      <w:proofErr w:type="spellEnd"/>
      <w:r w:rsidRPr="00451F48">
        <w:t xml:space="preserve"> a </w:t>
      </w:r>
      <w:proofErr w:type="spellStart"/>
      <w:r w:rsidRPr="00451F48">
        <w:t>Abdullaha</w:t>
      </w:r>
      <w:proofErr w:type="spellEnd"/>
      <w:r w:rsidRPr="00451F48">
        <w:t xml:space="preserve"> al-Howaitiho</w:t>
      </w:r>
      <w:r w:rsidRPr="00451F48">
        <w:rPr>
          <w:rStyle w:val="FootnoteReference"/>
        </w:rPr>
        <w:footnoteReference w:customMarkFollows="1" w:id="3"/>
        <w:t>3</w:t>
      </w:r>
      <w:r w:rsidRPr="00451F48">
        <w:t>,</w:t>
      </w:r>
    </w:p>
    <w:p w14:paraId="1B8BF984" w14:textId="2E10B0BA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 xml:space="preserve">so zreteľom na spoločné oznámenie Komisie a vysokého predstaviteľa Únie pre zahraničné veci a bezpečnostnú politiku z 18. mája 2022 o strategickom partnerstve s krajinami Perzského zálivu </w:t>
      </w:r>
      <w:r w:rsidR="00633A86" w:rsidRPr="00451F48">
        <w:t>(</w:t>
      </w:r>
      <w:r w:rsidRPr="00451F48">
        <w:t>JOIN(2022)0013</w:t>
      </w:r>
      <w:r w:rsidR="00633A86" w:rsidRPr="00451F48">
        <w:t>)</w:t>
      </w:r>
      <w:r w:rsidRPr="00451F48">
        <w:t xml:space="preserve"> a na príslušné závery Rady z 20. júna 2022,</w:t>
      </w:r>
    </w:p>
    <w:p w14:paraId="63EFEA95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mandát Rady na začatie rokovaní o individuálnych dohodách o strategickom partnerstve s krajinami Rady pre spoluprácu v Perzskom zálive (GCC), konkrétne s Bahrajnským kráľovstvom, Kuvajtským štátom, Ománskym sultanátom, Katarským štátom, so Saudskoarabským kráľovstvom a Spojenými arabskými emirátmi,</w:t>
      </w:r>
    </w:p>
    <w:p w14:paraId="060747B9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spoločné vyhlásenie z prvého samitu EÚ – GCC zo 16. októbra 2024,</w:t>
      </w:r>
    </w:p>
    <w:p w14:paraId="605745C5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spoločné vyhlásenie z 29. zasadnutia spoločnej rady EÚ – GCC a zasadnutia ministrov, ktoré sa konalo 6. októbra 2025,</w:t>
      </w:r>
    </w:p>
    <w:p w14:paraId="0F1C6DF0" w14:textId="5158A91C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 xml:space="preserve">so zreteľom na odporúčanie na rozhodnutie Rady o nových smerniciach na rokovania o regionálnej dohode o voľnom obchode a o bilaterálnych dohodách o voľnom obchode s krajinami Rady pre spoluprácu v Perzskom zálive, konkrétne s Bahrajnským </w:t>
      </w:r>
      <w:r w:rsidRPr="00451F48">
        <w:lastRenderedPageBreak/>
        <w:t>kráľovstvom, Kuvajtským štátom, Ománskym sultanátom, Katarským štátom, so Saudskoarabským kráľovstvom a Spojenými arabskými emirátmi (</w:t>
      </w:r>
      <w:r w:rsidR="00633A86" w:rsidRPr="00451F48">
        <w:t>COM(2025)0194</w:t>
      </w:r>
      <w:r w:rsidRPr="00451F48">
        <w:t>),</w:t>
      </w:r>
    </w:p>
    <w:p w14:paraId="50B23BB8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dohodu o spolupráci medzi Európskou službou pre vonkajšiu činnosť a Ministerstvom zahraničných vecí Saudskoarabského kráľovstva, ktorá bola podpísaná 3. októbra 2021,</w:t>
      </w:r>
    </w:p>
    <w:p w14:paraId="60A9F023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štvrtý dialóg EÚ a Saudskoarabského kráľovstva o ľudských právach, ktorý sa konal 20. decembra 2024 v Rijáde,</w:t>
      </w:r>
    </w:p>
    <w:p w14:paraId="726E56F0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globálny sankčný režim EÚ v oblasti ľudských práv, ktorý bol zavedený v decembri 2020,</w:t>
      </w:r>
    </w:p>
    <w:p w14:paraId="0E0A286E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usmernenia EÚ o obhajcoch ľudských práv, ktoré boli prijaté v roku 2004 a revidované v roku 2008,</w:t>
      </w:r>
    </w:p>
    <w:p w14:paraId="36BDC586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správu Skupiny expertov OSN pre geografické názvoslovie o Saudskoarabskom kráľovstve z 8. apríla 2025 (2025/169/CRP.169),</w:t>
      </w:r>
    </w:p>
    <w:p w14:paraId="294F7D0C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Dohovor OSN o odstránení všetkých foriem diskriminácie žien z 18. decembra 1979,</w:t>
      </w:r>
    </w:p>
    <w:p w14:paraId="697D0741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článok 55 rokovacieho poriadku,</w:t>
      </w:r>
    </w:p>
    <w:p w14:paraId="7C8C36E8" w14:textId="77777777" w:rsidR="00070544" w:rsidRPr="00451F48" w:rsidRDefault="00070544" w:rsidP="00070544">
      <w:pPr>
        <w:pStyle w:val="NormalHanging"/>
      </w:pPr>
      <w:r w:rsidRPr="00451F48">
        <w:t>–</w:t>
      </w:r>
      <w:r w:rsidRPr="00451F48">
        <w:tab/>
        <w:t>so zreteľom na správu Výboru pre zahraničné veci (A10-0230/2025),</w:t>
      </w:r>
    </w:p>
    <w:p w14:paraId="2A234A82" w14:textId="77777777" w:rsidR="00070544" w:rsidRPr="00451F48" w:rsidRDefault="00070544" w:rsidP="00070544">
      <w:pPr>
        <w:pStyle w:val="NormalHanging"/>
      </w:pPr>
      <w:r w:rsidRPr="00451F48">
        <w:t>A.</w:t>
      </w:r>
      <w:r w:rsidRPr="00451F48">
        <w:tab/>
        <w:t>keďže Saudská Arábia je kľúčovým bilaterálnym a regionálnym partnerom EÚ; keďže je dôležité prehĺbiť našu spoluprácu smerom k strategickému partnerstvu, ktorého cieľom je posilniť dvojstranné vzťahy a podporovať spoluprácu v rôznych odvetviach vrátane obrany, kultúry a inovácií, ale predovšetkým v energetike;</w:t>
      </w:r>
    </w:p>
    <w:p w14:paraId="26EE2A2E" w14:textId="77777777" w:rsidR="00070544" w:rsidRPr="00451F48" w:rsidRDefault="00070544" w:rsidP="00070544">
      <w:pPr>
        <w:pStyle w:val="NormalHanging"/>
      </w:pPr>
      <w:r w:rsidRPr="00451F48">
        <w:t>B.</w:t>
      </w:r>
      <w:r w:rsidRPr="00451F48">
        <w:tab/>
        <w:t>keďže Saudská Arábia je 17. najväčším obchodným partnerom EÚ na svete a EÚ je najväčším zahraničným investorom Saudskej Arábie;</w:t>
      </w:r>
    </w:p>
    <w:p w14:paraId="19D4EF18" w14:textId="77777777" w:rsidR="00070544" w:rsidRPr="00451F48" w:rsidRDefault="00070544" w:rsidP="00070544">
      <w:pPr>
        <w:pStyle w:val="NormalHanging"/>
      </w:pPr>
      <w:r w:rsidRPr="00451F48">
        <w:t>C.</w:t>
      </w:r>
      <w:r w:rsidRPr="00451F48">
        <w:tab/>
        <w:t>keďže v poslednom desaťročí Saudská Arábia a Čína prehĺbili svoje väzby v rámci saudskoarabského projektu Vízia 2030 a Saudská Arábia sa stala najväčším príjemcom investícií v rámci čínskej iniciatívy Jedno pásmo, jedna cesta, a to i pokiaľ ide o investície do strategickej infraštruktúry, ako sú prístavy a digitálne siete; keďže Čína je od roku 2019 hlavným nákupcom saudskoarabskej surovej ropy; keďže Saudská Arábia a Čína posilnili spoluprácu v oblasti zahraničnej politiky, bezpečnosti, energetiky, obchodu a technológií tým, že v roku 2016 zriadili spoločný výbor na vysokej úrovni a podvýbory;</w:t>
      </w:r>
    </w:p>
    <w:p w14:paraId="18E53108" w14:textId="77777777" w:rsidR="00070544" w:rsidRPr="00451F48" w:rsidRDefault="00070544" w:rsidP="00070544">
      <w:pPr>
        <w:pStyle w:val="NormalHanging"/>
      </w:pPr>
      <w:r w:rsidRPr="00451F48">
        <w:t>D.</w:t>
      </w:r>
      <w:r w:rsidRPr="00451F48">
        <w:tab/>
        <w:t>keďže Saudská Arábia posilňuje svoje vzťahy s Indiou, najmä prostredníctvom projektu nazvaného Hospodársky koridor India – Blízky východ – Európa (IMEC), ktorý je zameraný na zlepšenie prepojenia medzi Áziou a Európou cez Arabský polostrov;</w:t>
      </w:r>
    </w:p>
    <w:p w14:paraId="2B96B40F" w14:textId="77777777" w:rsidR="00070544" w:rsidRPr="00451F48" w:rsidRDefault="00070544" w:rsidP="00070544">
      <w:pPr>
        <w:pStyle w:val="NormalHanging"/>
      </w:pPr>
      <w:r w:rsidRPr="00451F48">
        <w:t>E.</w:t>
      </w:r>
      <w:r w:rsidRPr="00451F48">
        <w:tab/>
        <w:t>keďže Saudská Arábia ďalej upevňuje svoje postavenie dôveryhodného regionálneho sprostredkovateľa a kľúčového globálneho aktéra a je zásadne dôležité, aby pritom plne dodržiavala a presadzovala ľudské práva a medzinárodné právo;</w:t>
      </w:r>
    </w:p>
    <w:p w14:paraId="4F86671C" w14:textId="77777777" w:rsidR="00070544" w:rsidRPr="00451F48" w:rsidRDefault="00070544" w:rsidP="00070544">
      <w:pPr>
        <w:pStyle w:val="NormalHanging"/>
      </w:pPr>
      <w:r w:rsidRPr="00451F48">
        <w:lastRenderedPageBreak/>
        <w:t>F.</w:t>
      </w:r>
      <w:r w:rsidRPr="00451F48">
        <w:tab/>
        <w:t xml:space="preserve">keďže na Medzinárodnom súdnom dvore (MSD) prebieha konanie o uplatňovaní Dohovoru o zabránení a trestaní zločinu </w:t>
      </w:r>
      <w:proofErr w:type="spellStart"/>
      <w:r w:rsidRPr="00451F48">
        <w:t>genocídia</w:t>
      </w:r>
      <w:proofErr w:type="spellEnd"/>
      <w:r w:rsidRPr="00451F48">
        <w:t xml:space="preserve"> v Pásme Gazy (</w:t>
      </w:r>
      <w:r w:rsidRPr="00451F48">
        <w:rPr>
          <w:i/>
        </w:rPr>
        <w:t>Južná Afrika</w:t>
      </w:r>
      <w:r w:rsidRPr="00451F48">
        <w:t>/</w:t>
      </w:r>
      <w:r w:rsidRPr="00451F48">
        <w:rPr>
          <w:i/>
        </w:rPr>
        <w:t>Izrael</w:t>
      </w:r>
      <w:r w:rsidRPr="00451F48">
        <w:t>), ktoré iniciovala Južná Afrika 29. decembra 2023;</w:t>
      </w:r>
    </w:p>
    <w:p w14:paraId="722E77D5" w14:textId="77777777" w:rsidR="00070544" w:rsidRPr="00451F48" w:rsidRDefault="00070544" w:rsidP="00070544">
      <w:pPr>
        <w:pStyle w:val="NormalHanging"/>
      </w:pPr>
      <w:r w:rsidRPr="00451F48">
        <w:t>G.</w:t>
      </w:r>
      <w:r w:rsidRPr="00451F48">
        <w:tab/>
        <w:t>keďže Saudská Arábia posilňuje dialóg a spoluprácu s EÚ v oblasti ľudských práv;</w:t>
      </w:r>
    </w:p>
    <w:p w14:paraId="7BB81E56" w14:textId="77777777" w:rsidR="00070544" w:rsidRPr="00451F48" w:rsidRDefault="00070544" w:rsidP="00070544">
      <w:pPr>
        <w:pStyle w:val="NormalHanging"/>
      </w:pPr>
      <w:r w:rsidRPr="00451F48">
        <w:t>H.</w:t>
      </w:r>
      <w:r w:rsidRPr="00451F48">
        <w:tab/>
        <w:t>keďže podpora dodržiavania ľudských práv a medzinárodného práva v zahraničnej politike vrátane obchodu je zmluvnou povinnosťou EÚ zakotvenou v článkoch 3 a 21 Zmluvy o Európskej únii;</w:t>
      </w:r>
    </w:p>
    <w:p w14:paraId="6170C21A" w14:textId="77777777" w:rsidR="00070544" w:rsidRPr="00451F48" w:rsidRDefault="00070544" w:rsidP="00070544">
      <w:pPr>
        <w:pStyle w:val="NormalHanging"/>
      </w:pPr>
      <w:r w:rsidRPr="00451F48">
        <w:t>I.</w:t>
      </w:r>
      <w:r w:rsidRPr="00451F48">
        <w:tab/>
        <w:t>keďže Výbor OSN pre odstránenie diskriminácie žien vyjadril vo svojich zisteniach z októbra 2024 týkajúcich sa Saudskej Arábie obavy súvisiace so zakorenenými diskriminačnými praktikami, obťažovaním aktivistiek a širším vplyvom represívnych opatrení vrátane uplatňovania trestu smrti;</w:t>
      </w:r>
    </w:p>
    <w:p w14:paraId="3DD338D6" w14:textId="77777777" w:rsidR="00070544" w:rsidRPr="00451F48" w:rsidRDefault="00070544" w:rsidP="00070544">
      <w:pPr>
        <w:pStyle w:val="NormalHanging"/>
      </w:pPr>
      <w:r w:rsidRPr="00451F48">
        <w:t>J.</w:t>
      </w:r>
      <w:r w:rsidRPr="00451F48">
        <w:tab/>
        <w:t>keďže ďalší samit EÚ – GCC, ktorý sa má konať v roku 2026 v Rijáde, bude rozhodujúci pre ďalšie rozšírenie rozsahu vzťahov medzi EÚ a Saudskou Arábiou a posilnenie spolupráce v kľúčových otázkach spoločného záujmu;</w:t>
      </w:r>
    </w:p>
    <w:p w14:paraId="6B3837F7" w14:textId="77777777" w:rsidR="00070544" w:rsidRPr="00451F48" w:rsidRDefault="00070544" w:rsidP="00070544">
      <w:pPr>
        <w:pStyle w:val="Normal12a"/>
      </w:pPr>
      <w:r w:rsidRPr="00451F48">
        <w:rPr>
          <w:b/>
          <w:i/>
        </w:rPr>
        <w:t>Dvojstranné vzťahy medzi EÚ</w:t>
      </w:r>
      <w:r w:rsidRPr="00451F48">
        <w:t xml:space="preserve"> </w:t>
      </w:r>
      <w:r w:rsidRPr="00451F48">
        <w:rPr>
          <w:b/>
          <w:i/>
        </w:rPr>
        <w:t>a Saudskou Arábiou</w:t>
      </w:r>
    </w:p>
    <w:p w14:paraId="66C7F0D8" w14:textId="77777777" w:rsidR="00070544" w:rsidRPr="00451F48" w:rsidRDefault="00070544" w:rsidP="00070544">
      <w:pPr>
        <w:pStyle w:val="NormalHanging12a"/>
      </w:pPr>
      <w:r w:rsidRPr="00451F48">
        <w:t>1.</w:t>
      </w:r>
      <w:r w:rsidRPr="00451F48">
        <w:tab/>
        <w:t xml:space="preserve">vyzdvihuje vzájomnú pozitívnu angažovanosť, ktorú prejavili EÚ a GCC ako dvaja hlavní aktéri v rozšírenom Stredozemí počas prvého samitu EÚ – GCC v roku 2024; potvrdzuje, že cieľom EÚ je posilniť dvojstranné väzby s každou krajinou GCC prostredníctvom dohôd o strategickom partnerstve, ktoré by riešili v súčasnosti chýbajúci právne záväzný rámec pre dvojstranné vzťahy medzi EÚ a Saudskou Arábiou, čím by sa uvoľnil potenciál pre oblasti hlbšej a širšej spolupráce, ako sú zahraničná a bezpečnostná politika, spravodlivosť a presadzovanie práva, obchod a investície, energetika a klíma, digitálna transformácia, životné prostredie, výskum a inovácie, umelá inteligencia, </w:t>
      </w:r>
      <w:proofErr w:type="spellStart"/>
      <w:r w:rsidRPr="00451F48">
        <w:t>pripojiteľnosť</w:t>
      </w:r>
      <w:proofErr w:type="spellEnd"/>
      <w:r w:rsidRPr="00451F48">
        <w:t xml:space="preserve">, digitálna verejná správa, vzdelávanie, kultúra, výskum, mládež a medziľudské kontakty, ako aj potenciál v oblasti zaručenia </w:t>
      </w:r>
      <w:proofErr w:type="spellStart"/>
      <w:r w:rsidRPr="00451F48">
        <w:t>ľudskoprávnych</w:t>
      </w:r>
      <w:proofErr w:type="spellEnd"/>
      <w:r w:rsidRPr="00451F48">
        <w:t xml:space="preserve"> a pracovnoprávnych reforiem v krajinách GCC;</w:t>
      </w:r>
    </w:p>
    <w:p w14:paraId="1F6F80E3" w14:textId="77777777" w:rsidR="00070544" w:rsidRPr="00451F48" w:rsidRDefault="00070544" w:rsidP="00070544">
      <w:pPr>
        <w:pStyle w:val="NormalHanging12a"/>
      </w:pPr>
      <w:r w:rsidRPr="00451F48">
        <w:t>2.</w:t>
      </w:r>
      <w:r w:rsidRPr="00451F48">
        <w:tab/>
        <w:t>víta zosúladenie a spoluprácu medzi Saudskou Arábiou a EÚ v oblasti zahraničnej a bezpečnostnej politiky;</w:t>
      </w:r>
    </w:p>
    <w:p w14:paraId="13B045F5" w14:textId="77777777" w:rsidR="00070544" w:rsidRPr="00451F48" w:rsidRDefault="00070544" w:rsidP="00070544">
      <w:pPr>
        <w:pStyle w:val="NormalHanging12a"/>
      </w:pPr>
      <w:r w:rsidRPr="00451F48">
        <w:t>3.</w:t>
      </w:r>
      <w:r w:rsidRPr="00451F48">
        <w:tab/>
        <w:t>vyzdvihuje potenciál ďalšej hospodárskej spolupráce medzi EÚ a Saudskou Arábiou v oblasti udržateľnej energie, kritických surovín, informačných technológií a podnikania, pričom poznamenáva, že hospodárska spolupráca EÚ a Saudskej Arábie je základným kameňom dvojstranných vzťahov; vyzýva na intenzívnejšiu spoluprácu medzi EÚ a Saudskou Arábiou v týchto oblastiach; podporuje dodržiavanie právnych predpisov EÚ o náležitej starostlivosti v Saudskej Arábii, keď sa uzatvárajú hospodárske alebo obchodné dohody týkajúce sa spoločností vo vlastníctve verejného investičného fondu Saudskej Arábie alebo spoločností pridružených k tomuto fondu;</w:t>
      </w:r>
    </w:p>
    <w:p w14:paraId="6C787209" w14:textId="77777777" w:rsidR="00070544" w:rsidRPr="00451F48" w:rsidRDefault="00070544" w:rsidP="00070544">
      <w:pPr>
        <w:pStyle w:val="NormalHanging12a"/>
      </w:pPr>
      <w:r w:rsidRPr="00451F48">
        <w:t>4.</w:t>
      </w:r>
      <w:r w:rsidRPr="00451F48">
        <w:tab/>
        <w:t xml:space="preserve">zdôrazňuje, že prehĺbenie spolupráce medzi EÚ a Saudskou Arábiou v oblasti energetiky a obchodu by malo posilniť strategickú autonómiu EÚ tým, že z krátkodobého hľadiska sa </w:t>
      </w:r>
      <w:proofErr w:type="spellStart"/>
      <w:r w:rsidRPr="00451F48">
        <w:t>diverzifikujú</w:t>
      </w:r>
      <w:proofErr w:type="spellEnd"/>
      <w:r w:rsidRPr="00451F48">
        <w:t xml:space="preserve"> spoľahlivé zdroje dodávok energie; zdôrazňuje, že hoci Saudská Arábia zostáva kľúčovým globálnym aktérom na trhoch s fosílnou energiou, vydala sa aj na cestu diverzifikácie a udržateľnosti s investíciami do energie z obnoviteľných zdrojov, najmä do rozsiahlych projektov v oblasti slnečnej energie a </w:t>
      </w:r>
      <w:r w:rsidRPr="00451F48">
        <w:lastRenderedPageBreak/>
        <w:t>vodíka; konštatuje, že Saudská Arábia sa v súčasnosti radí medzi 10 najväčších svetových trhov s uskladňovaním energie, čím ďalej posilňuje svoje vedúce postavenie v oblasti energie z obnoviteľných zdrojov; zdôrazňuje, že využitie rozsiahleho potenciálu Saudskej Arábie v oblasti solárnej energie spolu s pokročilými technológiami EÚ v oblasti obnoviteľných zdrojov môže umožniť spoločné iniciatívy v oblasti čistého vodíka, udržateľných palív a energetickej infraštruktúry novej generácie;</w:t>
      </w:r>
    </w:p>
    <w:p w14:paraId="63BBBFA6" w14:textId="77777777" w:rsidR="00070544" w:rsidRPr="00451F48" w:rsidRDefault="00070544" w:rsidP="00070544">
      <w:pPr>
        <w:pStyle w:val="NormalHanging12a"/>
      </w:pPr>
      <w:r w:rsidRPr="00451F48">
        <w:t>5.</w:t>
      </w:r>
      <w:r w:rsidRPr="00451F48">
        <w:tab/>
        <w:t>znovu potvrdzuje, že EÚ je odhodlaná podporovať úsilie Saudskej Arábie o sociálno-ekonomickú diverzifikáciu a reformu vrátane podpory udržateľného rozvoja;</w:t>
      </w:r>
    </w:p>
    <w:p w14:paraId="34B4313A" w14:textId="77777777" w:rsidR="00070544" w:rsidRPr="00451F48" w:rsidRDefault="00070544" w:rsidP="00070544">
      <w:pPr>
        <w:pStyle w:val="NormalHanging12a"/>
      </w:pPr>
      <w:r w:rsidRPr="00451F48">
        <w:t>6.</w:t>
      </w:r>
      <w:r w:rsidRPr="00451F48">
        <w:tab/>
        <w:t>znovu potvrdzuje, že EÚ je naďalej odhodlaná presadzovať bezpečný a vzájomne prospešný bezvízový styk s piatimi ostatnými krajinami GCC s cieľom zabezpečiť im rovnaké zaobchádzanie, pričom tento prístup by sa mohol posúdiť v kontexte novej stratégie EÚ v oblasti víz; berie na vedomie značný hospodársky význam saudskoarabských turistov pre členské štáty EÚ, najmä pokiaľ ide o podporu kľúčových odvetví, ako sú ubytovacie a stravovacie služby, maloobchod a kultúrny priemysel; zdôrazňuje, že saudskoarabskí občania nie sú zdrojom tlaku neoprávnenej migrácie</w:t>
      </w:r>
      <w:r w:rsidRPr="00451F48">
        <w:rPr>
          <w:rStyle w:val="FootnoteReference"/>
        </w:rPr>
        <w:footnoteReference w:customMarkFollows="1" w:id="4"/>
        <w:t>4</w:t>
      </w:r>
      <w:r w:rsidRPr="00451F48">
        <w:t>, a preto vyzýva Komisiu a členské štáty, aby zvážili oslobodenie od schengenskej vízovej povinnosti po uplatnení kaskádového mechanizmu s cieľom uľahčiť cestovný ruch, podporiť medziľudské výmeny a ďalej posilniť hospodárske a kultúrne väzby medzi EÚ a Saudskou Arábiou;</w:t>
      </w:r>
    </w:p>
    <w:p w14:paraId="7FD14373" w14:textId="77777777" w:rsidR="00070544" w:rsidRPr="00451F48" w:rsidRDefault="00070544" w:rsidP="00070544">
      <w:pPr>
        <w:pStyle w:val="NormalHanging12a"/>
      </w:pPr>
      <w:r w:rsidRPr="00451F48">
        <w:t>7.</w:t>
      </w:r>
      <w:r w:rsidRPr="00451F48">
        <w:tab/>
        <w:t xml:space="preserve">vyzýva EÚ, aby ďalej uľahčovala regulačnú spoluprácu, ktorá pomôže Saudskej Arábii v úsilí o stanovenie pravidiel a postupov pre úspešnú energetickú diverzifikáciu a sociálno-ekonomickú reformu; podporuje silnejšie partnerstvá medzi vzdelávacími a výskumnými subjektmi EÚ a Saudskej Arábie, a to aj prostredníctvom programov ako Erasmus </w:t>
      </w:r>
      <w:proofErr w:type="spellStart"/>
      <w:r w:rsidRPr="00451F48">
        <w:t>Mundus</w:t>
      </w:r>
      <w:proofErr w:type="spellEnd"/>
      <w:r w:rsidRPr="00451F48">
        <w:t xml:space="preserve"> a Horizont Európa; zdôrazňuje, že je dôležité vytvoriť podmienky potrebné na zvýšenie mobility študentov; poukazuje na to, že posilnenie príležitostí na výmeny pre mladých ľudí významne prispeje ku konsolidácii vzťahov medzi EÚ, Saudskou Arábiou a oblasťou Perzského zálivu ako celku;</w:t>
      </w:r>
    </w:p>
    <w:p w14:paraId="1A159AA0" w14:textId="77777777" w:rsidR="00070544" w:rsidRPr="00451F48" w:rsidRDefault="00070544" w:rsidP="00070544">
      <w:pPr>
        <w:pStyle w:val="Normal12a"/>
      </w:pPr>
      <w:r w:rsidRPr="00451F48">
        <w:rPr>
          <w:b/>
          <w:i/>
        </w:rPr>
        <w:t>Priority</w:t>
      </w:r>
      <w:r w:rsidRPr="00451F48">
        <w:t xml:space="preserve"> </w:t>
      </w:r>
      <w:r w:rsidRPr="00451F48">
        <w:rPr>
          <w:b/>
          <w:i/>
        </w:rPr>
        <w:t>zahraničnej politiky</w:t>
      </w:r>
      <w:r w:rsidRPr="00451F48">
        <w:t xml:space="preserve"> </w:t>
      </w:r>
      <w:r w:rsidRPr="00451F48">
        <w:rPr>
          <w:b/>
          <w:i/>
        </w:rPr>
        <w:t>Saudskej Arábie</w:t>
      </w:r>
      <w:r w:rsidRPr="00451F48">
        <w:t xml:space="preserve"> </w:t>
      </w:r>
      <w:r w:rsidRPr="00451F48">
        <w:rPr>
          <w:b/>
          <w:i/>
        </w:rPr>
        <w:t>a príležitosti pre EÚ</w:t>
      </w:r>
    </w:p>
    <w:p w14:paraId="49D9ABBD" w14:textId="77777777" w:rsidR="00070544" w:rsidRPr="00451F48" w:rsidRDefault="00070544" w:rsidP="00070544">
      <w:pPr>
        <w:pStyle w:val="NormalHanging12a"/>
      </w:pPr>
      <w:r w:rsidRPr="00451F48">
        <w:t>8.</w:t>
      </w:r>
      <w:r w:rsidRPr="00451F48">
        <w:tab/>
        <w:t>zdôrazňuje rastúci význam Saudskej Arábie ako diplomatického aktéra a jej zásadný prínos k regionálnej a globálnej stabilite, a to najmä v kontexte vojenských operácií Izraela v Pásme Gazy, ako aj s ohľadom na najnovší vývoj v Sýrii, Libanone, Jemene, Červenom mori a Sudáne;</w:t>
      </w:r>
    </w:p>
    <w:p w14:paraId="3E9E53AB" w14:textId="77777777" w:rsidR="00070544" w:rsidRPr="00451F48" w:rsidRDefault="00070544" w:rsidP="00070544">
      <w:pPr>
        <w:pStyle w:val="NormalHanging12a"/>
      </w:pPr>
      <w:r w:rsidRPr="00451F48">
        <w:t>9.</w:t>
      </w:r>
      <w:r w:rsidRPr="00451F48">
        <w:tab/>
        <w:t xml:space="preserve">vyzýva na intenzívnejšiu zahraničnú a bezpečnostnú spoluprácu vzhľadom na rastúce napätie v regióne; zdôrazňuje, že v spoločnom oznámení o strategickom partnerstve s krajinami Perzského zálivu, ako aj v budúcej dohode o strategickom partnerstve sa vyzýva na intenzívnejšiu spoluprácu v politickej a bezpečnostnej oblasti; zdôrazňuje, že takáto spolupráca musí byť založená na spoločnom záväzku dodržiavať medzinárodné právo vrátane ľudských práv, medzinárodného humanitárneho práva a Charty OSN; vyjadruje podporu rozhodnutiu Rady z júla 2025, ktorým sa Komisia a vysoká predstaviteľka Únie pre zahraničné veci a bezpečnostnú politiku poverujú začať </w:t>
      </w:r>
      <w:r w:rsidRPr="00451F48">
        <w:lastRenderedPageBreak/>
        <w:t>rokovania o ustanovení dohody o strategickom partnerstve so Saudskoarabským kráľovstvom; uznáva, že táto iniciatíva predstavuje kľúčovú príležitosť na presadzovanie strategických záujmov EÚ, posilnenie regionálnej stability a zlepšenie spolupráce v oblasti energetiky a bezpečnosti; vyzýva na intenzívnu a aktívnu angažovanosť oboch strán počas celého procesu rokovaní s cieľom zabezpečiť jeho rýchle a včasné ukončenie; zdôrazňuje, že posilnená spolupráca EÚ so Saudskou Arábiou by mala slúžiť aj na upevnenie spoločných záväzkov v oblasti mieru a stability a na ochranu multilaterálneho systému založeného na pravidlách;</w:t>
      </w:r>
    </w:p>
    <w:p w14:paraId="5AFC9113" w14:textId="77777777" w:rsidR="00070544" w:rsidRPr="00451F48" w:rsidRDefault="00070544" w:rsidP="00070544">
      <w:pPr>
        <w:pStyle w:val="NormalHanging12a"/>
      </w:pPr>
      <w:r w:rsidRPr="00451F48">
        <w:t>10.</w:t>
      </w:r>
      <w:r w:rsidRPr="00451F48">
        <w:tab/>
        <w:t>zdôrazňuje dôležitú diplomatickú úlohu Saudskej Arábie, najmä pri podpore zmierňovania napätia v Jemene, posilňovaní námornej bezpečnosti v Červenom mori, organizovaní rozhovorov o Ukrajine a uľahčovaní dialógu o Sudáne, čím konštruktívne prispieva k regionálnej a medzinárodnej stabilite;</w:t>
      </w:r>
    </w:p>
    <w:p w14:paraId="26566A75" w14:textId="77777777" w:rsidR="00070544" w:rsidRPr="00451F48" w:rsidRDefault="00070544" w:rsidP="00070544">
      <w:pPr>
        <w:pStyle w:val="NormalHanging12a"/>
      </w:pPr>
      <w:r w:rsidRPr="00451F48">
        <w:t>11.</w:t>
      </w:r>
      <w:r w:rsidRPr="00451F48">
        <w:tab/>
        <w:t xml:space="preserve">vyzýva Saudskú Arábiu, aby naďalej pokračovala v spolupráci s EÚ v oblasti boja proti terorizmu a predchádzania </w:t>
      </w:r>
      <w:proofErr w:type="spellStart"/>
      <w:r w:rsidRPr="00451F48">
        <w:t>radikalizácii</w:t>
      </w:r>
      <w:proofErr w:type="spellEnd"/>
      <w:r w:rsidRPr="00451F48">
        <w:t>, ktorá sa musí uskutočňovať v súlade s medzinárodnými normami v oblasti ľudských práv; zdôrazňuje význam rozsiahleho zosúladenia EÚ a Saudskej Arábie v týchto oblastiach;</w:t>
      </w:r>
    </w:p>
    <w:p w14:paraId="5C3EDB33" w14:textId="77777777" w:rsidR="00070544" w:rsidRPr="00451F48" w:rsidRDefault="00070544" w:rsidP="00070544">
      <w:pPr>
        <w:pStyle w:val="NormalHanging12a"/>
      </w:pPr>
      <w:r w:rsidRPr="00451F48">
        <w:t>12.</w:t>
      </w:r>
      <w:r w:rsidRPr="00451F48">
        <w:tab/>
        <w:t>uznáva úsilie Saudskej Arábie o podporu zmiernenia napätia v súvislosti s izraelskými vojenskými operáciami v Pásme Gazy; opakuje svoju pozíciu vyjadrenú v uznesení z 11. septembra 2025 o Pásme Gazy v kritickom bode: opatrenia EÚ na boj proti hladomoru a naliehavá potreba prepustiť rukojemníkov a pokročiť smerom k riešeniu založenému na existencii dvoch štátov</w:t>
      </w:r>
      <w:r w:rsidRPr="00451F48">
        <w:rPr>
          <w:rStyle w:val="FootnoteReference"/>
        </w:rPr>
        <w:footnoteReference w:customMarkFollows="1" w:id="5"/>
        <w:t>5</w:t>
      </w:r>
      <w:r w:rsidRPr="00451F48">
        <w:t xml:space="preserve"> a víta newyorské vyhlásenie o mierovom riešení palestínskej otázky a vykonávaní riešenia založeného na existencii dvoch štátov z 29. júla 2025 a jeho schválenie Valným zhromaždením OSN 12. septembra 2025;</w:t>
      </w:r>
    </w:p>
    <w:p w14:paraId="726C256A" w14:textId="77777777" w:rsidR="00070544" w:rsidRPr="00451F48" w:rsidRDefault="00070544" w:rsidP="00070544">
      <w:pPr>
        <w:pStyle w:val="NormalHanging12a"/>
      </w:pPr>
      <w:r w:rsidRPr="00451F48">
        <w:t>13.</w:t>
      </w:r>
      <w:r w:rsidRPr="00451F48">
        <w:tab/>
        <w:t>uznáva úsilie Saudskej Arábie a niektorých ďalších arabských štátov o normalizáciu diplomatických vzťahov s Izraelom v rámci Abrahámskych dohôd z roku 2020; žiada EÚ, aby v záujme lepšej budúcnosti arabsko-izraelských vzťahov podporovala iniciatívy zamerané na budovanie širokej regionálnej a medzinárodnej podpory v rámci Úniou prijímaného riešenia založeného na existencii dvoch štátov, aby sa tak podporila regionálna stabilita;</w:t>
      </w:r>
    </w:p>
    <w:p w14:paraId="39E4574F" w14:textId="77777777" w:rsidR="00070544" w:rsidRPr="00451F48" w:rsidRDefault="00070544" w:rsidP="00070544">
      <w:pPr>
        <w:pStyle w:val="NormalHanging12a"/>
      </w:pPr>
      <w:r w:rsidRPr="00451F48">
        <w:t>14.</w:t>
      </w:r>
      <w:r w:rsidRPr="00451F48">
        <w:tab/>
        <w:t>oceňuje značný diplomatický a finančný dosah Saudskej Arábie v Sýrii, a to aj prostredníctvom regionálnych konzultácií a širšieho úsilia o stabilizáciu a obnovu; vyzýva Saudskú Arábiu a jej partnerov v regióne, aby pomáhali dočasnej sýrskej vláde pri vytváraní trvalej a inkluzívnej politickej a bezpečnostnej štruktúry; zdôrazňuje význam zachovania zvrchovanosti a územnej celistvosti Sýrie, ako aj význam účasti a ochrany sýrskych menšín; vyzýva na posilnenú spoluprácu medzi EÚ a Saudskou Arábiou s cieľom pracovať na mierovej a inkluzívnej transformácii v Sýrii a chrániť kresťanov a všetky komunity v Sýrii, zaručiť ich bezpečnosť, náboženskú slobodu, ako aj ochranu ich kultúrneho dedičstva;</w:t>
      </w:r>
    </w:p>
    <w:p w14:paraId="07F638A9" w14:textId="77777777" w:rsidR="00070544" w:rsidRPr="00451F48" w:rsidRDefault="00070544" w:rsidP="00070544">
      <w:pPr>
        <w:pStyle w:val="NormalHanging12a"/>
      </w:pPr>
      <w:r w:rsidRPr="00451F48">
        <w:t>15.</w:t>
      </w:r>
      <w:r w:rsidRPr="00451F48">
        <w:tab/>
        <w:t xml:space="preserve">opätovne potvrdzuje, že EÚ podporuje politickú a sociálno-ekonomickú obnovu Libanonu, a zdôrazňuje význam spolupráce EÚ a Saudskej Arábie pri plnení rezolúcie Bezpečnostnej rady OSN č. 1701 (2006) a podpore libanonských ozbrojených síl; víta úsilie libanonskej vlády a požaduje odzbrojenie </w:t>
      </w:r>
      <w:proofErr w:type="spellStart"/>
      <w:r w:rsidRPr="00451F48">
        <w:t>Hizballáhu</w:t>
      </w:r>
      <w:proofErr w:type="spellEnd"/>
      <w:r w:rsidRPr="00451F48">
        <w:t xml:space="preserve">; opätovne zdôrazňuje, že je dôležité, aby všetky krajiny regiónu rešpektovali zvrchovanosť a územnú celistvosť </w:t>
      </w:r>
      <w:r w:rsidRPr="00451F48">
        <w:lastRenderedPageBreak/>
        <w:t>Libanonu, a zároveň vyzýva všetky strany, aby chránili príslušníkov mierových dočasných síl OSN v Libanone (UNIFIL);</w:t>
      </w:r>
    </w:p>
    <w:p w14:paraId="0BE85F66" w14:textId="77777777" w:rsidR="00070544" w:rsidRPr="00451F48" w:rsidRDefault="00070544" w:rsidP="00070544">
      <w:pPr>
        <w:pStyle w:val="NormalHanging12a"/>
      </w:pPr>
      <w:r w:rsidRPr="00451F48">
        <w:t>16.</w:t>
      </w:r>
      <w:r w:rsidRPr="00451F48">
        <w:tab/>
        <w:t>uznáva konštruktívnu úlohu Saudskej Arábie v kontexte súčasného regionálneho napätia, intenzívnejšiu spoluprácu medzi Saudskou Arábiou a Spojenými arabskými emirátmi a postupnú diplomatickú normalizáciu vzťahov s Iránom; vyzdvihuje zosúladenie EÚ a Saudskej Arábie, pokiaľ ide o obmedzenie vplyvu iránskych zástupných aktérov a zastavenie ďalšieho rozvoja jadrového programu Iránu;</w:t>
      </w:r>
    </w:p>
    <w:p w14:paraId="6CA081C7" w14:textId="77777777" w:rsidR="00070544" w:rsidRPr="00451F48" w:rsidRDefault="00070544" w:rsidP="00070544">
      <w:pPr>
        <w:pStyle w:val="NormalHanging12a"/>
      </w:pPr>
      <w:r w:rsidRPr="00451F48">
        <w:t>17.</w:t>
      </w:r>
      <w:r w:rsidRPr="00451F48">
        <w:tab/>
        <w:t>zdôrazňuje spoločnú prioritu EÚ a Saudskej Arábie, ktorou je nastolenie trvalého mieru v Jemene, a oceňuje pokračujúce odhodlanie Saudskej Arábie dosiahnuť inkluzívne politické riešenie v Jemene; vyzýva Saudskú Arábiu, aby podporovala nezávislý medzinárodný mechanizmus na vyšetrovanie porušovania medzinárodného humanitárneho práva v Jemene v rokoch 2015 až 2022; nabáda na zvýšenie humanitárnej pomoci EÚ a Saudskej Arábie pre Jemen a na spoločné úsilie oboch strán zamerané na boj proti útokom na humanitárnych pracovníkov;</w:t>
      </w:r>
    </w:p>
    <w:p w14:paraId="649F9232" w14:textId="77777777" w:rsidR="00070544" w:rsidRPr="00451F48" w:rsidRDefault="00070544" w:rsidP="00070544">
      <w:pPr>
        <w:pStyle w:val="NormalHanging12a"/>
      </w:pPr>
      <w:r w:rsidRPr="00451F48">
        <w:t>18.</w:t>
      </w:r>
      <w:r w:rsidRPr="00451F48">
        <w:tab/>
        <w:t xml:space="preserve">víta rozhovory zamerané na vypracovanie plánu inkluzívneho mieru v Jemene, ktoré sa pod vedením OSN uskutočnili v januári 2025 v Rijáde a ktoré priniesli pokrok, pokiaľ ide o harmonogram odzbrojenia </w:t>
      </w:r>
      <w:proofErr w:type="spellStart"/>
      <w:r w:rsidRPr="00451F48">
        <w:t>húthíov</w:t>
      </w:r>
      <w:proofErr w:type="spellEnd"/>
      <w:r w:rsidRPr="00451F48">
        <w:t>; konštatuje, že tieto opatrenia sú naďalej podmienené hospodárskou pomocou Saudskej Arábie;</w:t>
      </w:r>
    </w:p>
    <w:p w14:paraId="58B87F60" w14:textId="77777777" w:rsidR="00070544" w:rsidRPr="00451F48" w:rsidRDefault="00070544" w:rsidP="00070544">
      <w:pPr>
        <w:pStyle w:val="NormalHanging12a"/>
      </w:pPr>
      <w:r w:rsidRPr="00451F48">
        <w:t>19.</w:t>
      </w:r>
      <w:r w:rsidRPr="00451F48">
        <w:tab/>
        <w:t>zdôrazňuje neochvejný záväzok EÚ zabezpečiť ochranu námorných trás a medzinárodných plavebných práv v Červenom mori; poukazuje na záväzok Saudskej Arábie voči námornej bezpečnosti a požaduje užšiu politickú a spravodajskú spoluprácu s operáciou námorných síl EÚ ASPIDES a s členskými štátmi EÚ vo všeobecnosti;</w:t>
      </w:r>
    </w:p>
    <w:p w14:paraId="38FB5F57" w14:textId="77777777" w:rsidR="00070544" w:rsidRPr="00451F48" w:rsidRDefault="00070544" w:rsidP="00070544">
      <w:pPr>
        <w:pStyle w:val="NormalHanging12a"/>
      </w:pPr>
      <w:r w:rsidRPr="00451F48">
        <w:t>20.</w:t>
      </w:r>
      <w:r w:rsidRPr="00451F48">
        <w:tab/>
        <w:t>víta úsilie Saudskej Arábie o usporiadanie rokovaní o vojnovom prímerí na Ukrajine; naliehavo vyzýva Saudskú Arábiu, aby užšie spolupracovala so svojimi partnermi pri podpore sankcií voči Ruskej federácii a prijala opatrenia, ktoré pomôžu ukončiť činnosti ruskej tieňovej flotily;</w:t>
      </w:r>
    </w:p>
    <w:p w14:paraId="1E8561CD" w14:textId="77777777" w:rsidR="00070544" w:rsidRPr="00451F48" w:rsidRDefault="00070544" w:rsidP="00070544">
      <w:pPr>
        <w:pStyle w:val="NormalHanging12a"/>
      </w:pPr>
      <w:r w:rsidRPr="00451F48">
        <w:t>21.</w:t>
      </w:r>
      <w:r w:rsidRPr="00451F48">
        <w:tab/>
        <w:t>berie na vedomie záväzok Saudskej Arábie investovať 600 miliárd USD v Spojených štátoch vrátane dohody o obrane a strategickej spolupráce v oblasti vznikajúcich technológií;</w:t>
      </w:r>
    </w:p>
    <w:p w14:paraId="7E05BD1A" w14:textId="77777777" w:rsidR="00070544" w:rsidRPr="00451F48" w:rsidRDefault="00070544" w:rsidP="00070544">
      <w:pPr>
        <w:pStyle w:val="NormalHanging12a"/>
      </w:pPr>
      <w:r w:rsidRPr="00451F48">
        <w:t>22.</w:t>
      </w:r>
      <w:r w:rsidRPr="00451F48">
        <w:tab/>
        <w:t xml:space="preserve">uznáva úlohu Saudskej Arábie pri podpore mnohostrannej spolupráce, a to aj prostredníctvom jej rastúcej angažovanosti v Afrike, najmä v regióne Sahel, a v Ázii; požaduje užšiu koordináciu medzi EÚ a Saudskou Arábiou v oblasti energetickej spolupráce, rozvoja medziregionálnej infraštruktúry, budovania kapacít, rozvoja ľudského kapitálu, finančných nástrojov a investičných mechanizmov na celom africkom kontinente; zdôrazňuje význam integrácie projektov pod vedením Saudskej Arábie do rámcov EÚ vrátane iniciatívy </w:t>
      </w:r>
      <w:proofErr w:type="spellStart"/>
      <w:r w:rsidRPr="00451F48">
        <w:t>Global</w:t>
      </w:r>
      <w:proofErr w:type="spellEnd"/>
      <w:r w:rsidRPr="00451F48">
        <w:t xml:space="preserve"> </w:t>
      </w:r>
      <w:proofErr w:type="spellStart"/>
      <w:r w:rsidRPr="00451F48">
        <w:t>Gateway</w:t>
      </w:r>
      <w:proofErr w:type="spellEnd"/>
      <w:r w:rsidRPr="00451F48">
        <w:t>;</w:t>
      </w:r>
    </w:p>
    <w:p w14:paraId="3D348129" w14:textId="77777777" w:rsidR="00070544" w:rsidRPr="00451F48" w:rsidRDefault="00070544" w:rsidP="00070544">
      <w:pPr>
        <w:pStyle w:val="NormalHanging12a"/>
      </w:pPr>
      <w:r w:rsidRPr="00451F48">
        <w:t>23.</w:t>
      </w:r>
      <w:r w:rsidRPr="00451F48">
        <w:tab/>
        <w:t>poznamenáva, že Saudská Arábia bola formálne pozvaná, aby sa stala členom skupiny krajín BRICS; konštatuje, že úsilie Saudskej Arábie o prehĺbenie vzťahov s krajinami BRICS odráža trend smerujúci k diverzifikovaným alianciám; žiada EÚ, aby so Saudskou Arábiou konštruktívne spolupracovala na multilaterálnych fórach s cieľom chrániť vzájomné obchodné a investičné záujmy;</w:t>
      </w:r>
    </w:p>
    <w:p w14:paraId="224BDF55" w14:textId="77777777" w:rsidR="00070544" w:rsidRPr="00451F48" w:rsidRDefault="00070544" w:rsidP="00070544">
      <w:pPr>
        <w:pStyle w:val="NormalHanging12a"/>
      </w:pPr>
      <w:r w:rsidRPr="00451F48">
        <w:lastRenderedPageBreak/>
        <w:t>24.</w:t>
      </w:r>
      <w:r w:rsidRPr="00451F48">
        <w:tab/>
        <w:t xml:space="preserve">berie na vedomie posilnenie dvojstranných vzťahov medzi Saudskou Arábiou a Tureckom, najmä v oblasti bezpečnosti a obrany; vyzýva Saudskú Arábiu, aby využila tento vzťah na presvedčenie Turecka, aby konštruktívne prispelo k mierovému procesu na Blízkom východe tým, že uzná </w:t>
      </w:r>
      <w:proofErr w:type="spellStart"/>
      <w:r w:rsidRPr="00451F48">
        <w:t>Hamas</w:t>
      </w:r>
      <w:proofErr w:type="spellEnd"/>
      <w:r w:rsidRPr="00451F48">
        <w:t xml:space="preserve"> za teroristickú organizáciu a ukončí politickú, hospodársku a logistickú podporu;</w:t>
      </w:r>
    </w:p>
    <w:p w14:paraId="53C386C3" w14:textId="77777777" w:rsidR="00070544" w:rsidRPr="00451F48" w:rsidRDefault="00070544" w:rsidP="00070544">
      <w:pPr>
        <w:pStyle w:val="NormalHanging12a"/>
      </w:pPr>
      <w:r w:rsidRPr="00451F48">
        <w:t>25.</w:t>
      </w:r>
      <w:r w:rsidRPr="00451F48">
        <w:tab/>
        <w:t>víta konzistentný postoj Saudskej Arábie, pokiaľ ide o označenie Moslimského bratstva za teroristickú organizáciu, a žiada EÚ a jej členské štáty, aby nasledovali tento príklad a uznali Moslimské bratstvo za teroristickú organizáciu;</w:t>
      </w:r>
    </w:p>
    <w:p w14:paraId="0F15BA3D" w14:textId="77777777" w:rsidR="00070544" w:rsidRPr="00451F48" w:rsidRDefault="00070544" w:rsidP="00070544">
      <w:pPr>
        <w:pStyle w:val="Normal12a"/>
      </w:pPr>
      <w:r w:rsidRPr="00451F48">
        <w:rPr>
          <w:b/>
          <w:i/>
        </w:rPr>
        <w:t>Sociálno-ekonomická</w:t>
      </w:r>
      <w:r w:rsidRPr="00451F48">
        <w:t xml:space="preserve"> </w:t>
      </w:r>
      <w:r w:rsidRPr="00451F48">
        <w:rPr>
          <w:b/>
          <w:i/>
        </w:rPr>
        <w:t>transformácia Saudskej</w:t>
      </w:r>
      <w:r w:rsidRPr="00451F48">
        <w:t xml:space="preserve"> </w:t>
      </w:r>
      <w:r w:rsidRPr="00451F48">
        <w:rPr>
          <w:b/>
          <w:i/>
        </w:rPr>
        <w:t>Arábie a príležitosti pre EÚ</w:t>
      </w:r>
    </w:p>
    <w:p w14:paraId="4F967001" w14:textId="77777777" w:rsidR="00070544" w:rsidRPr="00451F48" w:rsidRDefault="00070544" w:rsidP="00070544">
      <w:pPr>
        <w:pStyle w:val="NormalHanging12a"/>
      </w:pPr>
      <w:r w:rsidRPr="00451F48">
        <w:t>26.</w:t>
      </w:r>
      <w:r w:rsidRPr="00451F48">
        <w:tab/>
        <w:t>víta ambiciózne plány Saudskej Arábie pod názvom Vízia 2030, ktoré načrtávajú významnú sociálno-ekonomickú reformu na modernizáciu krajiny a jej inštitúcií a na diverzifikáciu hospodárstva;</w:t>
      </w:r>
    </w:p>
    <w:p w14:paraId="5953B8E5" w14:textId="77777777" w:rsidR="00070544" w:rsidRPr="00451F48" w:rsidRDefault="00070544" w:rsidP="00070544">
      <w:pPr>
        <w:pStyle w:val="NormalHanging12a"/>
      </w:pPr>
      <w:r w:rsidRPr="00451F48">
        <w:t>27.</w:t>
      </w:r>
      <w:r w:rsidRPr="00451F48">
        <w:tab/>
        <w:t>vyzýva Saudskú Arábiu, aby v rámci plánov Vízie 2030 pretvorila svoje energetické prostredie a prešla na energiu z obnoviteľných zdrojov a čistý vodík; vyzýva Saudskú Arábiu, aby dodržiavala svoje záväzky vyplývajúce z Parížskej dohody v súlade s odborným stanoviskom OSN; konštatuje, že EÚ je pripravená spolupracovať so svojimi partnermi zo Saudskej Arábie na projektoch zameraných na podporu environmentálnych cieľov oboch regiónov; vyzdvihuje záväzok Saudskoarabského kráľovstva k energetickej transformácii a pripomína jeho prísľub dosiahnuť do roku 2060 nulovú bilanciu emisií a do roku 2030 vyrábať 50 % elektrickej energie z obnoviteľných zdrojov; v tejto súvislosti víta hlavný projekt Saudskej Arábie na výrobu štyroch miliónov ton čistého vodíka ročne do roku 2030;</w:t>
      </w:r>
    </w:p>
    <w:p w14:paraId="7BE8FD8F" w14:textId="77777777" w:rsidR="00070544" w:rsidRPr="00451F48" w:rsidRDefault="00070544" w:rsidP="00070544">
      <w:pPr>
        <w:pStyle w:val="NormalHanging12a"/>
      </w:pPr>
      <w:r w:rsidRPr="00451F48">
        <w:t>28.</w:t>
      </w:r>
      <w:r w:rsidRPr="00451F48">
        <w:tab/>
        <w:t>zdôrazňuje úlohu Saudskej Arábie ako čoraz dôležitejšieho aktéra v dodávateľských reťazcoch nerastných surovín a jej úsilie o zosúladenie s najlepšími medzinárodnými postupmi; zdôrazňuje, že rozšírenie rozsahu spolupráce medzi EÚ a Saudskou Arábiou v tejto oblasti bude kľúčové pre ďalšiu konsolidáciu stratégie znižovania rizika EÚ v tomto ohľade a pre jej snahy o diverzifikáciu dodávok surovín;</w:t>
      </w:r>
    </w:p>
    <w:p w14:paraId="34544505" w14:textId="77777777" w:rsidR="00070544" w:rsidRPr="00451F48" w:rsidRDefault="00070544" w:rsidP="00070544">
      <w:pPr>
        <w:pStyle w:val="NormalHanging12a"/>
      </w:pPr>
      <w:r w:rsidRPr="00451F48">
        <w:t>29.</w:t>
      </w:r>
      <w:r w:rsidRPr="00451F48">
        <w:tab/>
        <w:t>uznáva, že Saudská Arábia dosiahla pokrok pri riešení vysokej miery nezamestnanosti mladých ľudí, ktorá sa znížila z 35,01 % v roku 2006 na 16 % v roku 2023; odporúča, aby sa Saudská Arábia aj naďalej prioritne zaoberala touto otázkou;</w:t>
      </w:r>
    </w:p>
    <w:p w14:paraId="1FE8A437" w14:textId="77777777" w:rsidR="00070544" w:rsidRPr="00451F48" w:rsidRDefault="00070544" w:rsidP="00070544">
      <w:pPr>
        <w:pStyle w:val="NormalHanging12a"/>
      </w:pPr>
      <w:r w:rsidRPr="00451F48">
        <w:t>30.</w:t>
      </w:r>
      <w:r w:rsidRPr="00451F48">
        <w:tab/>
        <w:t xml:space="preserve">víta, že saudskoarabské orgány zaujali tolerantnejší prístup a odklonili sa od reštriktívnych náboženských politík; poukazuje na priame prepojenie medzi toleranciou a udržateľným hospodárskym rastom, pričom zdôrazňuje, že otvorenosť a </w:t>
      </w:r>
      <w:proofErr w:type="spellStart"/>
      <w:r w:rsidRPr="00451F48">
        <w:t>inkluzívnosť</w:t>
      </w:r>
      <w:proofErr w:type="spellEnd"/>
      <w:r w:rsidRPr="00451F48">
        <w:t xml:space="preserve"> podporujú podmienky pre inovácie, investície a sociálny pokrok; oceňuje pozitívne reformy učebných osnov v Saudskej Arábii, a to najmä pokiaľ ide o odstránenie diskriminačného náboženského obsahu, a zároveň podnecuje na dosiahnutie ďalšieho pokroku v tejto oblasti; nabáda Saudskú Arábiu, aby v týchto reformách pokračovala;</w:t>
      </w:r>
    </w:p>
    <w:p w14:paraId="3AF08BD3" w14:textId="77777777" w:rsidR="00070544" w:rsidRPr="00451F48" w:rsidRDefault="00070544" w:rsidP="00070544">
      <w:pPr>
        <w:pStyle w:val="NormalHanging12a"/>
      </w:pPr>
      <w:r w:rsidRPr="00451F48">
        <w:t>31.</w:t>
      </w:r>
      <w:r w:rsidRPr="00451F48">
        <w:tab/>
        <w:t xml:space="preserve">vyzdvihuje významný pokrok, ktorý Saudská Arábia dosiahla v súvislosti s účasťou žien na trhu práce, ktorá sa zvýšila na 36 %, a skutočnosť, že ženám bolo udelené právo viesť motorové vozidlo a cestovať bez mužského sprievodu; zdôrazňuje, že účasť žien na trhu práce v Saudskej Arábii sa od roku 2017 viac ako zdvojnásobila; konštatuje, že saudskoarabské ženy teraz vlastnia 45 % malých a stredných podnikov a 17 % všetkých podnikov; domnieva sa, že tento vývoj odráža vplyv právnych reforiem zavedených od </w:t>
      </w:r>
      <w:r w:rsidRPr="00451F48">
        <w:lastRenderedPageBreak/>
        <w:t>roku 2018 vrátane zrušenia zákazu viesť motorové vozidlo</w:t>
      </w:r>
      <w:r w:rsidRPr="00451F48">
        <w:rPr>
          <w:rStyle w:val="FootnoteReference"/>
        </w:rPr>
        <w:footnoteReference w:customMarkFollows="1" w:id="6"/>
        <w:t>6</w:t>
      </w:r>
      <w:r w:rsidRPr="00451F48">
        <w:t xml:space="preserve">, prijatia zákona proti obťažovaniu a nových predpisov o osobnom postavení, ktorými sa zvyšuje zákonný vek na uzavretie manželstva na 18 rokov a posilňuje autonómia žien; vyzdvihuje tieto úspechy a nabáda, aby sa pokračovalo v reformách zameraných na ďalšie presadzovanie práv žien a ich účasti na verejnom živote, pričom poznamenáva, že ženy v súčasnosti zastávajú 41 % pozícií v rámci verejnej služby (vrátane vyšších diplomatických postov) a 20 % pozícií v rámci rady </w:t>
      </w:r>
      <w:proofErr w:type="spellStart"/>
      <w:r w:rsidRPr="00451F48">
        <w:t>Šura</w:t>
      </w:r>
      <w:proofErr w:type="spellEnd"/>
      <w:r w:rsidRPr="00451F48">
        <w:t xml:space="preserve"> a že do vesmíru vycestovala prvá arabská moslimská žena; konštatuje, že napriek pokroku pretrvávajú problémy, a to i pokiaľ ide o zákon o osobnom stave a nerovnosť medzi mužmi a ženami v otázkach manželstva, rozvodu, starostlivosti o deti, dedičstva a majetkových práv;</w:t>
      </w:r>
    </w:p>
    <w:p w14:paraId="3931002F" w14:textId="77777777" w:rsidR="00070544" w:rsidRPr="00451F48" w:rsidRDefault="00070544" w:rsidP="00070544">
      <w:pPr>
        <w:pStyle w:val="NormalHanging12a"/>
      </w:pPr>
      <w:r w:rsidRPr="00451F48">
        <w:t>32.</w:t>
      </w:r>
      <w:r w:rsidRPr="00451F48">
        <w:tab/>
        <w:t xml:space="preserve">konštatuje, že Saudská Arábia spustila niekoľko ambicióznych projektov v oblasti infraštruktúry v rámci príprav na usporiadanie výstavy EXPO 2030 a majstrovstiev sveta FIFA 2034; spolieha sa na schopnosť saudskoarabskej vlády zaručiť práva pracovníkov na slobodné združovanie a zdôrazňuje, že pretrvávajú obavy, pokiaľ ide o zaobchádzanie s pracovníkmi a ich práva, ako aj o mieru úmrtnosti migrantov pri pracovných úrazoch v tejto krajine; berie na vedomie reformy zavedené v rámci iniciatívy Saudskej Arábie na reformu v oblasti práce, pričom Saudskú Arábiu vyzýva, aby zabezpečila definitívne zrušenie sponzorského systému </w:t>
      </w:r>
      <w:proofErr w:type="spellStart"/>
      <w:r w:rsidRPr="00451F48">
        <w:rPr>
          <w:i/>
        </w:rPr>
        <w:t>kafala</w:t>
      </w:r>
      <w:proofErr w:type="spellEnd"/>
      <w:r w:rsidRPr="00451F48">
        <w:t xml:space="preserve"> oznámené v roku 2025 a zaručila práva pracovníkov na štrajk a kolektívne vyjednávanie; očakáva, že Saudská Arábia využije príležitosť, ktorú ponúkajú majstrovstvá sveta FIFA v roku2034, a dovtedy bude pokračovať vo vykonávaní reforiem; naliehavo vyzýva Saudskú Arábiu, aby zabezpečila súlad s právnymi predpismi EÚ o náležitej starostlivosti a monitorovaní náborových spoločností s cieľom zaručiť, že pokryjú všetky náklady a poplatky súvisiace s náborom pracovníkov, a aby zaviedla opatrenia na úhradu nezákonných poplatkov zaplatených pracovníkmi za nábor;</w:t>
      </w:r>
    </w:p>
    <w:p w14:paraId="27E0DF72" w14:textId="77777777" w:rsidR="00070544" w:rsidRPr="00451F48" w:rsidRDefault="00070544" w:rsidP="00070544">
      <w:pPr>
        <w:pStyle w:val="NormalHanging12a"/>
      </w:pPr>
      <w:r w:rsidRPr="00451F48">
        <w:t>33.</w:t>
      </w:r>
      <w:r w:rsidRPr="00451F48">
        <w:tab/>
        <w:t xml:space="preserve">uznáva potenciál spolupráce medzi EÚ a Saudskou Arábiou a ich podobné záujmy v rámci strategického partnerstva EÚ – GCC a iniciatívy EÚ </w:t>
      </w:r>
      <w:proofErr w:type="spellStart"/>
      <w:r w:rsidRPr="00451F48">
        <w:t>Global</w:t>
      </w:r>
      <w:proofErr w:type="spellEnd"/>
      <w:r w:rsidRPr="00451F48">
        <w:t xml:space="preserve"> </w:t>
      </w:r>
      <w:proofErr w:type="spellStart"/>
      <w:r w:rsidRPr="00451F48">
        <w:t>Gateway</w:t>
      </w:r>
      <w:proofErr w:type="spellEnd"/>
      <w:r w:rsidRPr="00451F48">
        <w:t xml:space="preserve"> v súvislosti s hospodárskym koridorom India – Blízky východ – Európa, ktorá by mala podľa očakávaní stimulovať investície do elektrických káblov, podmorských telekomunikačných a dátových káblov, ako aj do potrubí na ekologický vodík, a uznáva aj ; posudzuje jej potenciál prepojiť EÚ prostredníctvom </w:t>
      </w:r>
      <w:proofErr w:type="spellStart"/>
      <w:r w:rsidRPr="00451F48">
        <w:t>multimodálnych</w:t>
      </w:r>
      <w:proofErr w:type="spellEnd"/>
      <w:r w:rsidRPr="00451F48">
        <w:t xml:space="preserve"> dopravných spojení; berie na vedomie účasť Spojených štátov; dôrazne žiada, aby sa riešila medzera vo financovaní koridoru IMEC prostredníctvom investícií EÚ, USA a Perzského zálivu, a vyzýva na podporu udržateľného rozvoja infraštruktúry; zdôrazňuje strategický význam koridoru India – Blízky východ – Európa ako transformačnej hnacej sily regionálnej prepojenosti, hospodárskej integrácie a geopolitickej spolupráce; berie na vedomie potenciál rozšíriť spoluprácu v oblasti strategickej digitálnej infraštruktúry vrátane diverzifikovaných a bezpečných dátových trás spájajúcich Perzský záliv a Európu so spoločným cieľom posilniť digitálnu odolnosť Európy, bezpečnosť údajov a prepojenosť s Áziou a Afrikou; uznáva pretrvávajúce úsilie Európskej obchodnej komory v Saudskoarabskom kráľovstve (ECCKSA) o podporu spolupráce medzi európskymi spoločnosťami a Saudskou Arábiou v oblasti dopravnej a logistickej infraštruktúry v súlade s právnymi predpismi EÚ o náležitej starostlivosti;</w:t>
      </w:r>
    </w:p>
    <w:p w14:paraId="78E8E01E" w14:textId="77777777" w:rsidR="00070544" w:rsidRPr="00451F48" w:rsidRDefault="00070544" w:rsidP="00070544">
      <w:pPr>
        <w:pStyle w:val="Normal12a"/>
      </w:pPr>
      <w:r w:rsidRPr="00451F48">
        <w:rPr>
          <w:b/>
          <w:i/>
        </w:rPr>
        <w:t xml:space="preserve">Ľudské práva </w:t>
      </w:r>
    </w:p>
    <w:p w14:paraId="18EAD896" w14:textId="77777777" w:rsidR="00070544" w:rsidRPr="00451F48" w:rsidRDefault="00070544" w:rsidP="00070544">
      <w:pPr>
        <w:pStyle w:val="NormalHanging12a"/>
      </w:pPr>
      <w:r w:rsidRPr="00451F48">
        <w:lastRenderedPageBreak/>
        <w:t>34.</w:t>
      </w:r>
      <w:r w:rsidRPr="00451F48">
        <w:tab/>
        <w:t>vyzýva na užšiu spoluprácu medzi EÚ a Saudskou Arábiou v oblasti ľudských práv; víta dialógy o ľudských právach medzi EÚ a Saudskoarabským kráľovstvom, ktoré viedla Komisia Saudskej Arábie pre ľudské práva a osobitný zástupca EÚ pre ľudské práva, pričom štvrtý dialóg o ľudských právach sa konal v decembri 2024 v Rijáde; konštatuje, že diskusie sa týkali širokej škály otázok v oblasti ľudských práv vrátane práv žien a zraniteľných skupín, právneho štátu, práva na spravodlivý proces, trestu smrti, slobody prejavu, zhromažďovania a združovania, obchodovania s ľuďmi, hospodárskych, sociálnych a kultúrnych práv, ako aj dvojstrannej spolupráce EÚ a Saudskoarabského kráľovstva a činností na multilaterálnych fórach pre ľudské práva; zdôrazňuje, že dialógy o ľudských právach predstavujú zásadnú platformu na výmenu názorov na medzinárodné ľudské práva a posilnenie mnohostrannej spolupráce, a zdôrazňuje, že cieľom tohto dialógu a všetkých ostatných dialógov, ktoré EÚ vedie, by malo byť zabezpečenie konkrétneho, merateľného a časovo ohraničeného pokroku v oblasti ľudských práv vrátane reforiem v oblasti ľudských práv, ukončenie politík zneužívania, zabezpečenie zodpovednosti za zneužívanie a prepustenie nespravodlivo väznených osôb; požaduje vytvorenie štruktúrovaného monitorovacieho mechanizmu EÚ s jasnými kritériami a harmonogramami vrátane nadväzujúcich opatrení s cieľom podnietiť pokrok v oblasti reforiem zameraných na ľudské práva; naliehavo vyzýva EÚ a jej členské štáty, aby sa počas rokovaní o dvojstrannej dohode o partnerstve so Saudskou Arábiou spoločne dohodli na podmienkach týkajúcich sa ľudských práv, okrem iného aj na ratifikácii základných dohovorov o ľudských právach a pracovných právach zo strany Saudskej Arábie, ako i na prepustení nespravodlivo uväznených osôb;</w:t>
      </w:r>
    </w:p>
    <w:p w14:paraId="0483A55F" w14:textId="77777777" w:rsidR="00070544" w:rsidRPr="00451F48" w:rsidRDefault="00070544" w:rsidP="00070544">
      <w:pPr>
        <w:pStyle w:val="NormalHanging12a"/>
      </w:pPr>
      <w:r w:rsidRPr="00451F48">
        <w:t>35.</w:t>
      </w:r>
      <w:r w:rsidRPr="00451F48">
        <w:tab/>
        <w:t xml:space="preserve">berie na vedomie sociálne reformy, ktoré uskutočnila Saudská Arábia, ako sú nový zákon o občianskych transakciách, pokrok v posilňovaní postavenia žien, práca na vypracovaní trestného zákona, reforma sponzorského systému práce migrantov </w:t>
      </w:r>
      <w:proofErr w:type="spellStart"/>
      <w:r w:rsidRPr="00451F48">
        <w:rPr>
          <w:i/>
        </w:rPr>
        <w:t>kafala</w:t>
      </w:r>
      <w:proofErr w:type="spellEnd"/>
      <w:r w:rsidRPr="00451F48">
        <w:t xml:space="preserve"> a vykonávanie nových pracovnoprávnych predpisov; konštatuje však, že v dôsledku chýbajúceho kodifikovaného trestného práva a spoliehania sa na široko vymedzené právne predpisy čelí právny systém Saudskej Arábie ťažkostiam pri zabezpečení toho, aby určité práva neboli kriminalizované;</w:t>
      </w:r>
    </w:p>
    <w:p w14:paraId="496BEDCD" w14:textId="77777777" w:rsidR="00070544" w:rsidRPr="00451F48" w:rsidRDefault="00070544" w:rsidP="00070544">
      <w:pPr>
        <w:pStyle w:val="NormalHanging12a"/>
      </w:pPr>
      <w:r w:rsidRPr="00451F48">
        <w:t>36.</w:t>
      </w:r>
      <w:r w:rsidRPr="00451F48">
        <w:tab/>
        <w:t xml:space="preserve">uznáva rastúcu účasť občianskej spoločnosti v Saudskej Arábii s viac ako 5 400 registrovanými združeniami a organizáciami a vyzýva na prijatie ďalších opatrení na podporu a udržanie tohto pozitívneho trendu; vyjadruje znepokojenie nad nárastom zatýkania aktivistov, zástupcov občianskej spoločnosti, intelektuálov a obhajcov ľudských práv, ktorí v súlade s medzinárodným právom v oblasti ľudských práv uplatňujú svoje právo na slobodu prejavu online aj </w:t>
      </w:r>
      <w:proofErr w:type="spellStart"/>
      <w:r w:rsidRPr="00451F48">
        <w:t>offline</w:t>
      </w:r>
      <w:proofErr w:type="spellEnd"/>
      <w:r w:rsidRPr="00451F48">
        <w:t xml:space="preserve">; nabáda Saudskú Arábiu, aby zrevidovala svoje vymedzenie terorizmu v súlade s medzinárodnými normami; požaduje okamžité prepustenie osôb zadržiavaných za pokojné uplatňovanie svojich práv, a to najmä kľúčových aktivistov, obhajcov ľudských práv, pokojných kritikov, akademikov a duchovných, a žiada zrušenie zákazu cestovania prepustených osôb; pripomína, že Parlament udelil </w:t>
      </w:r>
      <w:proofErr w:type="spellStart"/>
      <w:r w:rsidRPr="00451F48">
        <w:t>Sacharovovu</w:t>
      </w:r>
      <w:proofErr w:type="spellEnd"/>
      <w:r w:rsidRPr="00451F48">
        <w:t xml:space="preserve"> cenu za rok 2015 saudskoarabskému blogerovi </w:t>
      </w:r>
      <w:proofErr w:type="spellStart"/>
      <w:r w:rsidRPr="00451F48">
        <w:t>Rá´ifovi</w:t>
      </w:r>
      <w:proofErr w:type="spellEnd"/>
      <w:r w:rsidRPr="00451F48">
        <w:t xml:space="preserve"> </w:t>
      </w:r>
      <w:proofErr w:type="spellStart"/>
      <w:r w:rsidRPr="00451F48">
        <w:t>Badawímu</w:t>
      </w:r>
      <w:proofErr w:type="spellEnd"/>
      <w:r w:rsidRPr="00451F48">
        <w:t>; naliehavo vyzýva Saudskú Arábiu, aby možnosť prístupu a návštevy krajiny rozšírila na širšiu škálu organizácií pre ľudské práva;</w:t>
      </w:r>
    </w:p>
    <w:p w14:paraId="4C8EA578" w14:textId="77777777" w:rsidR="00070544" w:rsidRPr="00451F48" w:rsidRDefault="00070544" w:rsidP="00070544">
      <w:pPr>
        <w:pStyle w:val="NormalHanging12a"/>
      </w:pPr>
      <w:r w:rsidRPr="00451F48">
        <w:t>37.</w:t>
      </w:r>
      <w:r w:rsidRPr="00451F48">
        <w:tab/>
        <w:t xml:space="preserve">uznáva stratégiu Saudskej Arábie v oblasti ľudských práv na majstrovstvá sveta FIFA v roku 2034; opätovne potvrdzuje pripravenosť EÚ podporovať prebiehajúce reformy Saudskej Arábie v oblasti ľudských práv a pracovnoprávne a právne reformy; vyzýva na posilnenie spolupráce s OSN a Medzinárodnou organizáciou práce v oblasti práv migrujúcich pracovníkov pri uskutočňovaní ďalších komplexných a inkluzívnych </w:t>
      </w:r>
      <w:r w:rsidRPr="00451F48">
        <w:lastRenderedPageBreak/>
        <w:t>pracovných reforiem v súlade s medzinárodnými normami, najmä pred výstavou EXPO 2030 a majstrovstvami sveta 2034, s cieľom zabezpečiť, aby sa všetky úmrtia a nehody migrujúcich pracovníkov bez ohľadu na údajnú príčinu, čas a miesto riadne vyšetrili a aby sa rodinám zosnulých pracovníkov poskytlo spravodlivé a včasné odškodnenie,</w:t>
      </w:r>
    </w:p>
    <w:p w14:paraId="176EB7D3" w14:textId="77777777" w:rsidR="00070544" w:rsidRPr="00451F48" w:rsidRDefault="00070544" w:rsidP="00070544">
      <w:pPr>
        <w:pStyle w:val="NormalHanging12a"/>
      </w:pPr>
      <w:r w:rsidRPr="00451F48">
        <w:t>38.</w:t>
      </w:r>
      <w:r w:rsidRPr="00451F48">
        <w:tab/>
        <w:t xml:space="preserve">opätovne potvrdzuje záväzok EÚ zabezpečiť úplné zrušenie trestu smrti a principiálny záväzok EÚ spolupracovať na tento účel so Saudskou Arábiou; vyjadruje znepokojenie nad bezprecedentným nárastom popráv v Saudskej Arábii, ktorých bolo v roku 2024 vykonaných viac ako 345; vyzýva Saudskú Arábiu, aby zaviedla moratórium na popravy; odsudzuje pokračujúce ukladanie trestu smrti za trestné činy, ktoré nemali za následok smrť, najmä trestné činy súvisiace s drogami, pretože predstavuje porušenie medzinárodného práva v oblasti ľudských práv, ktoré obmedzuje uplatňovanie trestu smrti len na „najzávažnejšie trestné činy“, a zároveň odsudzuje skutočnosť, že v prípade viac ako polovice všetkých popráv v roku 2025 išlo o cudzích štátnych príslušníkov, a to často po súdnych procesoch, ktoré nespĺňali medzinárodné normy pre spravodlivý proces; požaduje </w:t>
      </w:r>
      <w:proofErr w:type="spellStart"/>
      <w:r w:rsidRPr="00451F48">
        <w:t>dekriminalizáciu</w:t>
      </w:r>
      <w:proofErr w:type="spellEnd"/>
      <w:r w:rsidRPr="00451F48">
        <w:t xml:space="preserve"> sexuálnej aktivity osôb rovnakého pohlavia;</w:t>
      </w:r>
    </w:p>
    <w:p w14:paraId="0D8EDB38" w14:textId="77777777" w:rsidR="00070544" w:rsidRPr="00451F48" w:rsidRDefault="00070544" w:rsidP="00070544">
      <w:pPr>
        <w:pStyle w:val="NormalHanging12a"/>
      </w:pPr>
      <w:r w:rsidRPr="00451F48">
        <w:t>39.</w:t>
      </w:r>
      <w:r w:rsidRPr="00451F48">
        <w:tab/>
        <w:t>vyjadruje poľutovanie nad pokračujúcim zadržiavaním osôb odsúdených na smrť za trestné činy, ktoré spáchali ako deti, a vyzýva saudskoarabské orgány, aby v súlade so záväzkami Saudskej Arábie podľa medzinárodného práva a v súlade s kráľovským dekrétom z apríla 2020 ich tresty smrti zrušili; vyzýva Saudskú Arábiu, aby okamžite a bezpodmienečne prepustila všetky osoby zadržiavané za pokojné uplatňovanie svojich ľudských práv;</w:t>
      </w:r>
    </w:p>
    <w:p w14:paraId="3C7CA459" w14:textId="77777777" w:rsidR="00070544" w:rsidRPr="00451F48" w:rsidRDefault="00070544" w:rsidP="00070544">
      <w:pPr>
        <w:pStyle w:val="NormalHanging12a"/>
      </w:pPr>
      <w:r w:rsidRPr="00451F48">
        <w:t>40.</w:t>
      </w:r>
      <w:r w:rsidRPr="00451F48">
        <w:tab/>
        <w:t>vyzýva Saudskú Arábiu, aby ratifikovala všetky základné medzinárodné dohovory o ľudských a pracovných právach; nabáda Saudskú Arábiu, aby zabezpečila zosúladenie všetkých existujúcich a nových právnych predpisov vrátane trestného zákonníka s medzinárodnými normami v oblasti ľudských práv a v tejto súvislosti zdôrazňuje význam úzkej spolupráce s OSN a nezávislými organizáciami občianskej spoločnosti;</w:t>
      </w:r>
    </w:p>
    <w:p w14:paraId="2CE69C23" w14:textId="2600B62B" w:rsidR="00633A86" w:rsidRPr="00451F48" w:rsidRDefault="00633A86" w:rsidP="00633A86">
      <w:pPr>
        <w:pStyle w:val="NormalHanging12a"/>
        <w:ind w:left="0" w:firstLine="0"/>
        <w:jc w:val="center"/>
      </w:pPr>
      <w:r w:rsidRPr="00451F48">
        <w:t>°</w:t>
      </w:r>
    </w:p>
    <w:p w14:paraId="74AE4B5B" w14:textId="5D8DDB71" w:rsidR="00633A86" w:rsidRPr="00451F48" w:rsidRDefault="00633A86" w:rsidP="00633A86">
      <w:pPr>
        <w:pStyle w:val="NormalHanging12a"/>
        <w:ind w:left="0" w:firstLine="0"/>
        <w:jc w:val="center"/>
      </w:pPr>
      <w:r w:rsidRPr="00451F48">
        <w:t>°     °</w:t>
      </w:r>
    </w:p>
    <w:p w14:paraId="5B9C9926" w14:textId="6EE98BDC" w:rsidR="00E365E1" w:rsidRPr="00451F48" w:rsidRDefault="00070544" w:rsidP="00633A86">
      <w:pPr>
        <w:pStyle w:val="NormalHanging12a"/>
      </w:pPr>
      <w:r w:rsidRPr="00451F48">
        <w:t>41.</w:t>
      </w:r>
      <w:r w:rsidRPr="00451F48">
        <w:tab/>
        <w:t xml:space="preserve">poveruje svoju predsedníčku, aby postúpila toto uznesenie Rade, Komisii, podpredsedníčke Komisie/vysokej predstaviteľke Únie pre zahraničné veci a bezpečnostnú politiku, Jeho Veličenstvu kráľovi </w:t>
      </w:r>
      <w:proofErr w:type="spellStart"/>
      <w:r w:rsidRPr="00451F48">
        <w:t>Salmánovi</w:t>
      </w:r>
      <w:proofErr w:type="spellEnd"/>
      <w:r w:rsidRPr="00451F48">
        <w:t xml:space="preserve"> bin </w:t>
      </w:r>
      <w:proofErr w:type="spellStart"/>
      <w:r w:rsidRPr="00451F48">
        <w:t>Abdalazízovi</w:t>
      </w:r>
      <w:proofErr w:type="spellEnd"/>
      <w:r w:rsidRPr="00451F48">
        <w:t xml:space="preserve"> </w:t>
      </w:r>
      <w:proofErr w:type="spellStart"/>
      <w:r w:rsidRPr="00451F48">
        <w:t>Ál</w:t>
      </w:r>
      <w:proofErr w:type="spellEnd"/>
      <w:r w:rsidRPr="00451F48">
        <w:t xml:space="preserve"> </w:t>
      </w:r>
      <w:proofErr w:type="spellStart"/>
      <w:r w:rsidRPr="00451F48">
        <w:t>Sa´údovi</w:t>
      </w:r>
      <w:proofErr w:type="spellEnd"/>
      <w:r w:rsidRPr="00451F48">
        <w:t xml:space="preserve">, korunnému princovi </w:t>
      </w:r>
      <w:proofErr w:type="spellStart"/>
      <w:r w:rsidRPr="00451F48">
        <w:t>Muhammadovi</w:t>
      </w:r>
      <w:proofErr w:type="spellEnd"/>
      <w:r w:rsidRPr="00451F48">
        <w:t xml:space="preserve"> bin </w:t>
      </w:r>
      <w:proofErr w:type="spellStart"/>
      <w:r w:rsidRPr="00451F48">
        <w:t>Salmánovi</w:t>
      </w:r>
      <w:proofErr w:type="spellEnd"/>
      <w:r w:rsidRPr="00451F48">
        <w:t xml:space="preserve"> </w:t>
      </w:r>
      <w:proofErr w:type="spellStart"/>
      <w:r w:rsidRPr="00451F48">
        <w:t>Ál</w:t>
      </w:r>
      <w:proofErr w:type="spellEnd"/>
      <w:r w:rsidRPr="00451F48">
        <w:t xml:space="preserve"> </w:t>
      </w:r>
      <w:proofErr w:type="spellStart"/>
      <w:r w:rsidRPr="00451F48">
        <w:t>Sa´údovi</w:t>
      </w:r>
      <w:proofErr w:type="spellEnd"/>
      <w:r w:rsidRPr="00451F48">
        <w:t xml:space="preserve">, vláde Saudskoarabského kráľovstva a rade </w:t>
      </w:r>
      <w:proofErr w:type="spellStart"/>
      <w:r w:rsidRPr="00451F48">
        <w:t>Šura</w:t>
      </w:r>
      <w:proofErr w:type="spellEnd"/>
      <w:r w:rsidRPr="00451F48">
        <w:t>; žiada, aby toto uznesenie bolo preložené do arabčiny.</w:t>
      </w:r>
    </w:p>
    <w:sectPr w:rsidR="00E365E1" w:rsidRPr="00451F48" w:rsidSect="00134E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7B15A" w14:textId="77777777" w:rsidR="00362CDD" w:rsidRPr="00134E0A" w:rsidRDefault="00362CDD">
      <w:r w:rsidRPr="00134E0A">
        <w:separator/>
      </w:r>
    </w:p>
  </w:endnote>
  <w:endnote w:type="continuationSeparator" w:id="0">
    <w:p w14:paraId="599DD2A8" w14:textId="77777777" w:rsidR="00362CDD" w:rsidRPr="00134E0A" w:rsidRDefault="00362CDD">
      <w:r w:rsidRPr="00134E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20605" w14:textId="77777777" w:rsidR="00064002" w:rsidRPr="00134E0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09329" w14:textId="77777777" w:rsidR="00064002" w:rsidRPr="00134E0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B8AE" w14:textId="77777777" w:rsidR="00064002" w:rsidRPr="00134E0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C1A9C" w14:textId="77777777" w:rsidR="00362CDD" w:rsidRPr="00134E0A" w:rsidRDefault="00362CDD">
      <w:r w:rsidRPr="00134E0A">
        <w:separator/>
      </w:r>
    </w:p>
  </w:footnote>
  <w:footnote w:type="continuationSeparator" w:id="0">
    <w:p w14:paraId="188C6FC8" w14:textId="77777777" w:rsidR="00362CDD" w:rsidRPr="00134E0A" w:rsidRDefault="00362CDD">
      <w:r w:rsidRPr="00134E0A">
        <w:continuationSeparator/>
      </w:r>
    </w:p>
  </w:footnote>
  <w:footnote w:id="1">
    <w:p w14:paraId="46D1FD82" w14:textId="0B1FAF85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1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>Ú. v. EÚ C 345, 16.10.2020, s. 67.</w:t>
      </w:r>
    </w:p>
  </w:footnote>
  <w:footnote w:id="2">
    <w:p w14:paraId="00F72DA9" w14:textId="025D7AA0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2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>Ú. v. EÚ C 465, 17.11.2021, s. 126.</w:t>
      </w:r>
    </w:p>
  </w:footnote>
  <w:footnote w:id="3">
    <w:p w14:paraId="259F602C" w14:textId="4C3CD866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3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>Ú. v. EÚ C 99, 1.3.2022, s. 185.</w:t>
      </w:r>
    </w:p>
  </w:footnote>
  <w:footnote w:id="4">
    <w:p w14:paraId="6E393F2A" w14:textId="0EEDC92C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4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>Vykonávacie rozhodnutie Komisie z 22. apríla 2024, ktorým sa stanovujú upravené pravidlá udeľovania víz na viac vstupov saudskoarabským štátnym príslušníkom s pobytom v Saudskej Arábii, ktorí v Saudskej Arábii žiadajú o krátkodobé víza, a ktorým sa zrušuje vykonávacie rozhodnutie Komisie C(2022)8007 (C(2024)2689).</w:t>
      </w:r>
    </w:p>
  </w:footnote>
  <w:footnote w:id="5">
    <w:p w14:paraId="25392908" w14:textId="0A82FA3E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5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>Prijaté texty, P10_TA(2025)0199.</w:t>
      </w:r>
    </w:p>
  </w:footnote>
  <w:footnote w:id="6">
    <w:p w14:paraId="1CE7D008" w14:textId="2F687EB3" w:rsidR="00070544" w:rsidRPr="00134E0A" w:rsidRDefault="00070544" w:rsidP="00134E0A">
      <w:pPr>
        <w:pStyle w:val="FootnoteText"/>
        <w:ind w:left="567" w:hanging="567"/>
        <w:rPr>
          <w:sz w:val="24"/>
          <w:lang w:val="sk-SK"/>
        </w:rPr>
      </w:pPr>
      <w:r w:rsidRPr="00134E0A">
        <w:rPr>
          <w:sz w:val="24"/>
          <w:vertAlign w:val="superscript"/>
          <w:lang w:val="sk-SK"/>
        </w:rPr>
        <w:t>6</w:t>
      </w:r>
      <w:r w:rsidR="00134E0A" w:rsidRPr="00134E0A">
        <w:rPr>
          <w:sz w:val="24"/>
          <w:vertAlign w:val="superscript"/>
          <w:lang w:val="sk-SK"/>
        </w:rPr>
        <w:t xml:space="preserve"> </w:t>
      </w:r>
      <w:r w:rsidR="00134E0A" w:rsidRPr="00134E0A">
        <w:rPr>
          <w:sz w:val="24"/>
          <w:vertAlign w:val="superscript"/>
          <w:lang w:val="sk-SK"/>
        </w:rPr>
        <w:tab/>
      </w:r>
      <w:r w:rsidRPr="00134E0A">
        <w:rPr>
          <w:sz w:val="24"/>
          <w:lang w:val="sk-SK"/>
        </w:rPr>
        <w:t xml:space="preserve">Svetové ekonomické fórum, </w:t>
      </w:r>
      <w:proofErr w:type="spellStart"/>
      <w:r w:rsidRPr="00134E0A">
        <w:rPr>
          <w:sz w:val="24"/>
          <w:lang w:val="sk-SK"/>
        </w:rPr>
        <w:t>Saudi</w:t>
      </w:r>
      <w:proofErr w:type="spellEnd"/>
      <w:r w:rsidRPr="00134E0A">
        <w:rPr>
          <w:sz w:val="24"/>
          <w:lang w:val="sk-SK"/>
        </w:rPr>
        <w:t xml:space="preserve"> </w:t>
      </w:r>
      <w:proofErr w:type="spellStart"/>
      <w:r w:rsidRPr="00134E0A">
        <w:rPr>
          <w:sz w:val="24"/>
          <w:lang w:val="sk-SK"/>
        </w:rPr>
        <w:t>women</w:t>
      </w:r>
      <w:proofErr w:type="spellEnd"/>
      <w:r w:rsidRPr="00134E0A">
        <w:rPr>
          <w:sz w:val="24"/>
          <w:lang w:val="sk-SK"/>
        </w:rPr>
        <w:t xml:space="preserve"> are </w:t>
      </w:r>
      <w:proofErr w:type="spellStart"/>
      <w:r w:rsidRPr="00134E0A">
        <w:rPr>
          <w:sz w:val="24"/>
          <w:lang w:val="sk-SK"/>
        </w:rPr>
        <w:t>now</w:t>
      </w:r>
      <w:proofErr w:type="spellEnd"/>
      <w:r w:rsidRPr="00134E0A">
        <w:rPr>
          <w:sz w:val="24"/>
          <w:lang w:val="sk-SK"/>
        </w:rPr>
        <w:t xml:space="preserve"> </w:t>
      </w:r>
      <w:proofErr w:type="spellStart"/>
      <w:r w:rsidRPr="00134E0A">
        <w:rPr>
          <w:sz w:val="24"/>
          <w:lang w:val="sk-SK"/>
        </w:rPr>
        <w:t>legally</w:t>
      </w:r>
      <w:proofErr w:type="spellEnd"/>
      <w:r w:rsidRPr="00134E0A">
        <w:rPr>
          <w:sz w:val="24"/>
          <w:lang w:val="sk-SK"/>
        </w:rPr>
        <w:t xml:space="preserve"> </w:t>
      </w:r>
      <w:proofErr w:type="spellStart"/>
      <w:r w:rsidRPr="00134E0A">
        <w:rPr>
          <w:sz w:val="24"/>
          <w:lang w:val="sk-SK"/>
        </w:rPr>
        <w:t>allowed</w:t>
      </w:r>
      <w:proofErr w:type="spellEnd"/>
      <w:r w:rsidRPr="00134E0A">
        <w:rPr>
          <w:sz w:val="24"/>
          <w:lang w:val="sk-SK"/>
        </w:rPr>
        <w:t xml:space="preserve"> to </w:t>
      </w:r>
      <w:proofErr w:type="spellStart"/>
      <w:r w:rsidRPr="00134E0A">
        <w:rPr>
          <w:sz w:val="24"/>
          <w:lang w:val="sk-SK"/>
        </w:rPr>
        <w:t>drive</w:t>
      </w:r>
      <w:proofErr w:type="spellEnd"/>
      <w:r w:rsidRPr="00134E0A">
        <w:rPr>
          <w:sz w:val="24"/>
          <w:lang w:val="sk-SK"/>
        </w:rPr>
        <w:t xml:space="preserve"> (Saudskoarabské ženy už môžu podľa zákona viesť vozidlo), 25. jún 2018.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50D76" w14:textId="77777777" w:rsidR="00064002" w:rsidRPr="00134E0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326BE" w14:textId="77777777" w:rsidR="00064002" w:rsidRPr="00134E0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36EB7" w14:textId="77777777" w:rsidR="00064002" w:rsidRPr="00134E0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91863655">
    <w:abstractNumId w:val="9"/>
  </w:num>
  <w:num w:numId="2" w16cid:durableId="1439716068">
    <w:abstractNumId w:val="9"/>
  </w:num>
  <w:num w:numId="3" w16cid:durableId="235940892">
    <w:abstractNumId w:val="7"/>
  </w:num>
  <w:num w:numId="4" w16cid:durableId="1044990393">
    <w:abstractNumId w:val="7"/>
  </w:num>
  <w:num w:numId="5" w16cid:durableId="96490990">
    <w:abstractNumId w:val="6"/>
  </w:num>
  <w:num w:numId="6" w16cid:durableId="187762387">
    <w:abstractNumId w:val="6"/>
  </w:num>
  <w:num w:numId="7" w16cid:durableId="488718133">
    <w:abstractNumId w:val="5"/>
  </w:num>
  <w:num w:numId="8" w16cid:durableId="735052801">
    <w:abstractNumId w:val="5"/>
  </w:num>
  <w:num w:numId="9" w16cid:durableId="1966933099">
    <w:abstractNumId w:val="4"/>
  </w:num>
  <w:num w:numId="10" w16cid:durableId="108552721">
    <w:abstractNumId w:val="4"/>
  </w:num>
  <w:num w:numId="11" w16cid:durableId="1344818306">
    <w:abstractNumId w:val="8"/>
  </w:num>
  <w:num w:numId="12" w16cid:durableId="1596403796">
    <w:abstractNumId w:val="8"/>
  </w:num>
  <w:num w:numId="13" w16cid:durableId="380403270">
    <w:abstractNumId w:val="3"/>
  </w:num>
  <w:num w:numId="14" w16cid:durableId="566653611">
    <w:abstractNumId w:val="3"/>
  </w:num>
  <w:num w:numId="15" w16cid:durableId="507914469">
    <w:abstractNumId w:val="2"/>
  </w:num>
  <w:num w:numId="16" w16cid:durableId="1128356455">
    <w:abstractNumId w:val="2"/>
  </w:num>
  <w:num w:numId="17" w16cid:durableId="138886028">
    <w:abstractNumId w:val="1"/>
  </w:num>
  <w:num w:numId="18" w16cid:durableId="1151366856">
    <w:abstractNumId w:val="1"/>
  </w:num>
  <w:num w:numId="19" w16cid:durableId="360739549">
    <w:abstractNumId w:val="0"/>
  </w:num>
  <w:num w:numId="20" w16cid:durableId="1653564158">
    <w:abstractNumId w:val="0"/>
  </w:num>
  <w:num w:numId="21" w16cid:durableId="296301478">
    <w:abstractNumId w:val="9"/>
  </w:num>
  <w:num w:numId="22" w16cid:durableId="1066027165">
    <w:abstractNumId w:val="7"/>
  </w:num>
  <w:num w:numId="23" w16cid:durableId="1861970417">
    <w:abstractNumId w:val="6"/>
  </w:num>
  <w:num w:numId="24" w16cid:durableId="1531605767">
    <w:abstractNumId w:val="5"/>
  </w:num>
  <w:num w:numId="25" w16cid:durableId="935674877">
    <w:abstractNumId w:val="4"/>
  </w:num>
  <w:num w:numId="26" w16cid:durableId="1033963286">
    <w:abstractNumId w:val="8"/>
  </w:num>
  <w:num w:numId="27" w16cid:durableId="1264343515">
    <w:abstractNumId w:val="3"/>
  </w:num>
  <w:num w:numId="28" w16cid:durableId="1811752710">
    <w:abstractNumId w:val="2"/>
  </w:num>
  <w:num w:numId="29" w16cid:durableId="953051372">
    <w:abstractNumId w:val="1"/>
  </w:num>
  <w:num w:numId="30" w16cid:durableId="1700201909">
    <w:abstractNumId w:val="0"/>
  </w:num>
  <w:num w:numId="31" w16cid:durableId="454637210">
    <w:abstractNumId w:val="9"/>
  </w:num>
  <w:num w:numId="32" w16cid:durableId="1966501194">
    <w:abstractNumId w:val="7"/>
  </w:num>
  <w:num w:numId="33" w16cid:durableId="1842159047">
    <w:abstractNumId w:val="6"/>
  </w:num>
  <w:num w:numId="34" w16cid:durableId="2067532499">
    <w:abstractNumId w:val="5"/>
  </w:num>
  <w:num w:numId="35" w16cid:durableId="1783303073">
    <w:abstractNumId w:val="4"/>
  </w:num>
  <w:num w:numId="36" w16cid:durableId="1775595787">
    <w:abstractNumId w:val="8"/>
  </w:num>
  <w:num w:numId="37" w16cid:durableId="1127894593">
    <w:abstractNumId w:val="3"/>
  </w:num>
  <w:num w:numId="38" w16cid:durableId="1948466505">
    <w:abstractNumId w:val="2"/>
  </w:num>
  <w:num w:numId="39" w16cid:durableId="343020799">
    <w:abstractNumId w:val="1"/>
  </w:num>
  <w:num w:numId="40" w16cid:durableId="1866094738">
    <w:abstractNumId w:val="0"/>
  </w:num>
  <w:num w:numId="41" w16cid:durableId="760372517">
    <w:abstractNumId w:val="10"/>
  </w:num>
  <w:num w:numId="42" w16cid:durableId="2135326160">
    <w:abstractNumId w:val="10"/>
  </w:num>
  <w:num w:numId="43" w16cid:durableId="773016581">
    <w:abstractNumId w:val="10"/>
  </w:num>
  <w:num w:numId="44" w16cid:durableId="1934313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0/2025"/>
    <w:docVar w:name="dvlangue" w:val="SK"/>
    <w:docVar w:name="dvnumam" w:val="0"/>
    <w:docVar w:name="dvpe" w:val="775.425"/>
    <w:docVar w:name="dvrapporteur" w:val="Spravodajkyňa: "/>
    <w:docVar w:name="dvtitre" w:val="Uznesenie Európskeho parlamentu z xx. decembra 2025 o vzťahoch medzi EÚ a Saudskou Arábiou(2025/2082(INI))"/>
  </w:docVars>
  <w:rsids>
    <w:rsidRoot w:val="00362CDD"/>
    <w:rsid w:val="00002272"/>
    <w:rsid w:val="00064002"/>
    <w:rsid w:val="000677B9"/>
    <w:rsid w:val="00070544"/>
    <w:rsid w:val="000831BA"/>
    <w:rsid w:val="000A42CC"/>
    <w:rsid w:val="000E7DD9"/>
    <w:rsid w:val="0010095E"/>
    <w:rsid w:val="00125B37"/>
    <w:rsid w:val="00134E0A"/>
    <w:rsid w:val="00187494"/>
    <w:rsid w:val="001F32AE"/>
    <w:rsid w:val="002767FF"/>
    <w:rsid w:val="002B18FE"/>
    <w:rsid w:val="002B5493"/>
    <w:rsid w:val="00343214"/>
    <w:rsid w:val="00361C00"/>
    <w:rsid w:val="00362CDD"/>
    <w:rsid w:val="00395FA1"/>
    <w:rsid w:val="003E15D4"/>
    <w:rsid w:val="00411CCE"/>
    <w:rsid w:val="0041666E"/>
    <w:rsid w:val="00421060"/>
    <w:rsid w:val="00451F48"/>
    <w:rsid w:val="00471C19"/>
    <w:rsid w:val="0048402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3A8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C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555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5B9DD"/>
  <w15:chartTrackingRefBased/>
  <w15:docId w15:val="{C382C590-6DD6-4C96-AA40-D68B79F4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070544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07054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070544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070544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070544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070544"/>
    <w:rPr>
      <w:color w:val="0000FF"/>
      <w:u w:val="single"/>
    </w:rPr>
  </w:style>
  <w:style w:type="paragraph" w:styleId="Revision">
    <w:name w:val="Revision"/>
    <w:hidden/>
    <w:uiPriority w:val="99"/>
    <w:semiHidden/>
    <w:rsid w:val="00633A8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4149</Words>
  <Characters>26027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2025-12-16T10:28:00Z</dcterms:created>
  <dcterms:modified xsi:type="dcterms:W3CDTF">2025-12-16T10:28:00Z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A10-0230/2025</vt:lpwstr>
  </property>
  <property fmtid="{D5CDD505-2E9C-101B-9397-08002B2CF9AE}" pid="4" name="&lt;Type&gt;">
    <vt:lpwstr>RR</vt:lpwstr>
  </property>
</Properties>
</file>