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4843" w14:paraId="734DB8E0" w14:textId="77777777" w:rsidTr="0010095E">
        <w:trPr>
          <w:trHeight w:hRule="exact" w:val="1418"/>
        </w:trPr>
        <w:tc>
          <w:tcPr>
            <w:tcW w:w="6804" w:type="dxa"/>
            <w:shd w:val="clear" w:color="auto" w:fill="auto"/>
            <w:vAlign w:val="center"/>
          </w:tcPr>
          <w:p w14:paraId="3CC2725E" w14:textId="23884285" w:rsidR="00751A4A" w:rsidRPr="004D4843" w:rsidRDefault="000C1A4A" w:rsidP="0010095E">
            <w:pPr>
              <w:pStyle w:val="EPName"/>
            </w:pPr>
            <w:r w:rsidRPr="004D4843">
              <w:t>Europaparlamentet</w:t>
            </w:r>
          </w:p>
          <w:p w14:paraId="0AAA5652" w14:textId="77777777" w:rsidR="00751A4A" w:rsidRPr="004D4843" w:rsidRDefault="005F1B17" w:rsidP="005F1B17">
            <w:pPr>
              <w:pStyle w:val="EPTerm"/>
              <w:rPr>
                <w:rStyle w:val="HideTWBExt"/>
                <w:noProof w:val="0"/>
                <w:vanish w:val="0"/>
                <w:color w:val="auto"/>
              </w:rPr>
            </w:pPr>
            <w:r w:rsidRPr="004D4843">
              <w:t>2024</w:t>
            </w:r>
            <w:r w:rsidR="00817416" w:rsidRPr="004D4843">
              <w:t>-202</w:t>
            </w:r>
            <w:r w:rsidRPr="004D4843">
              <w:t>9</w:t>
            </w:r>
          </w:p>
        </w:tc>
        <w:tc>
          <w:tcPr>
            <w:tcW w:w="2268" w:type="dxa"/>
            <w:shd w:val="clear" w:color="auto" w:fill="auto"/>
          </w:tcPr>
          <w:p w14:paraId="43BE36EB" w14:textId="77777777" w:rsidR="00751A4A" w:rsidRPr="004D4843" w:rsidRDefault="00187494" w:rsidP="0010095E">
            <w:pPr>
              <w:pStyle w:val="EPLogo"/>
            </w:pPr>
            <w:r w:rsidRPr="004D4843">
              <w:rPr>
                <w:noProof/>
                <w:lang w:eastAsia="ja-JP"/>
              </w:rPr>
              <w:drawing>
                <wp:inline distT="0" distB="0" distL="0" distR="0" wp14:anchorId="0907D546" wp14:editId="0C8DA2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A4B9C" w14:textId="77777777" w:rsidR="00D058B8" w:rsidRPr="004D4843" w:rsidRDefault="00D058B8" w:rsidP="004C5D52">
      <w:pPr>
        <w:pStyle w:val="LineTop"/>
      </w:pPr>
    </w:p>
    <w:p w14:paraId="10F3583F" w14:textId="77777777" w:rsidR="00680577" w:rsidRPr="004D4843" w:rsidRDefault="000C1A4A" w:rsidP="00680577">
      <w:pPr>
        <w:pStyle w:val="EPBodyTA1"/>
      </w:pPr>
      <w:r w:rsidRPr="004D4843">
        <w:t>ANTAGNA TEXTER</w:t>
      </w:r>
    </w:p>
    <w:p w14:paraId="628D21AE" w14:textId="77777777" w:rsidR="00D058B8" w:rsidRPr="004D4843" w:rsidRDefault="00D058B8" w:rsidP="00D058B8">
      <w:pPr>
        <w:pStyle w:val="LineBottom"/>
      </w:pPr>
    </w:p>
    <w:p w14:paraId="5B520446" w14:textId="3EA1C05F" w:rsidR="000C1A4A" w:rsidRPr="004D4843" w:rsidRDefault="000C1A4A" w:rsidP="000C1A4A">
      <w:pPr>
        <w:pStyle w:val="ATHeading1"/>
      </w:pPr>
      <w:bookmarkStart w:id="0" w:name="TANumber"/>
      <w:r w:rsidRPr="004D4843">
        <w:t>P10_TA(2025)0</w:t>
      </w:r>
      <w:bookmarkEnd w:id="0"/>
      <w:r w:rsidR="00703214">
        <w:t>326</w:t>
      </w:r>
    </w:p>
    <w:p w14:paraId="747AD921" w14:textId="77777777" w:rsidR="000C1A4A" w:rsidRPr="004D4843" w:rsidRDefault="000C1A4A" w:rsidP="000C1A4A">
      <w:pPr>
        <w:pStyle w:val="ATHeading2"/>
      </w:pPr>
      <w:bookmarkStart w:id="1" w:name="title"/>
      <w:r w:rsidRPr="004D4843">
        <w:t>Förbindelserna mellan EU och Saudiarabien</w:t>
      </w:r>
      <w:bookmarkEnd w:id="1"/>
    </w:p>
    <w:p w14:paraId="27E8AFD1" w14:textId="77777777" w:rsidR="000C1A4A" w:rsidRPr="004D4843" w:rsidRDefault="000C1A4A" w:rsidP="000C1A4A">
      <w:pPr>
        <w:rPr>
          <w:i/>
          <w:vanish/>
        </w:rPr>
      </w:pPr>
      <w:r w:rsidRPr="004D4843">
        <w:rPr>
          <w:i/>
        </w:rPr>
        <w:fldChar w:fldCharType="begin"/>
      </w:r>
      <w:r w:rsidRPr="004D4843">
        <w:rPr>
          <w:i/>
        </w:rPr>
        <w:instrText xml:space="preserve"> TC"(</w:instrText>
      </w:r>
      <w:bookmarkStart w:id="2" w:name="DocNumber"/>
      <w:r w:rsidRPr="004D4843">
        <w:rPr>
          <w:i/>
        </w:rPr>
        <w:instrText>A10-0230/2025</w:instrText>
      </w:r>
      <w:bookmarkEnd w:id="2"/>
      <w:r w:rsidRPr="004D4843">
        <w:rPr>
          <w:i/>
        </w:rPr>
        <w:instrText xml:space="preserve"> - Föredragande: Hana Jalloul Muro)"\l3 \n&gt; \* MERGEFORMAT </w:instrText>
      </w:r>
      <w:r w:rsidRPr="004D4843">
        <w:rPr>
          <w:i/>
        </w:rPr>
        <w:fldChar w:fldCharType="end"/>
      </w:r>
    </w:p>
    <w:p w14:paraId="24AD9CE6" w14:textId="77777777" w:rsidR="000C1A4A" w:rsidRPr="004D4843" w:rsidRDefault="000C1A4A" w:rsidP="000C1A4A">
      <w:pPr>
        <w:rPr>
          <w:vanish/>
        </w:rPr>
      </w:pPr>
      <w:bookmarkStart w:id="3" w:name="Commission"/>
      <w:r w:rsidRPr="004D4843">
        <w:rPr>
          <w:vanish/>
        </w:rPr>
        <w:t>Utskottet för utrikesfrågor</w:t>
      </w:r>
      <w:bookmarkEnd w:id="3"/>
    </w:p>
    <w:p w14:paraId="3368F155" w14:textId="77777777" w:rsidR="000C1A4A" w:rsidRPr="004D4843" w:rsidRDefault="000C1A4A" w:rsidP="000C1A4A">
      <w:pPr>
        <w:rPr>
          <w:vanish/>
        </w:rPr>
      </w:pPr>
      <w:bookmarkStart w:id="4" w:name="PE"/>
      <w:r w:rsidRPr="004D4843">
        <w:rPr>
          <w:vanish/>
        </w:rPr>
        <w:t>PE775.425</w:t>
      </w:r>
      <w:bookmarkEnd w:id="4"/>
    </w:p>
    <w:p w14:paraId="5BFF122F" w14:textId="12D77E73" w:rsidR="000C1A4A" w:rsidRPr="004D4843" w:rsidRDefault="000C1A4A" w:rsidP="000C1A4A">
      <w:pPr>
        <w:pStyle w:val="ATHeading3"/>
      </w:pPr>
      <w:bookmarkStart w:id="5" w:name="Sujet"/>
      <w:r w:rsidRPr="004D4843">
        <w:t xml:space="preserve">Europaparlamentets resolution av </w:t>
      </w:r>
      <w:r w:rsidRPr="007402F7">
        <w:t xml:space="preserve">den </w:t>
      </w:r>
      <w:r w:rsidR="004F3080" w:rsidRPr="006F4755">
        <w:t>1</w:t>
      </w:r>
      <w:r w:rsidR="007402F7" w:rsidRPr="007402F7">
        <w:t>6</w:t>
      </w:r>
      <w:r w:rsidR="004F3080" w:rsidRPr="007402F7">
        <w:t xml:space="preserve"> december</w:t>
      </w:r>
      <w:r w:rsidR="004F3080" w:rsidRPr="004D4843">
        <w:t xml:space="preserve"> </w:t>
      </w:r>
      <w:r w:rsidRPr="004D4843">
        <w:t>2025 om förbindelserna mellan EU och Saudiarabien</w:t>
      </w:r>
      <w:bookmarkEnd w:id="5"/>
      <w:r w:rsidRPr="004D4843">
        <w:t xml:space="preserve"> </w:t>
      </w:r>
      <w:bookmarkStart w:id="6" w:name="References"/>
      <w:r w:rsidRPr="004D4843">
        <w:t>(2025/2082(INI))</w:t>
      </w:r>
      <w:bookmarkEnd w:id="6"/>
    </w:p>
    <w:p w14:paraId="7CF84203" w14:textId="77777777" w:rsidR="0051709D" w:rsidRPr="004D4843" w:rsidRDefault="0051709D" w:rsidP="0051709D">
      <w:pPr>
        <w:pStyle w:val="Normal12"/>
      </w:pPr>
      <w:r w:rsidRPr="004D4843">
        <w:rPr>
          <w:i/>
        </w:rPr>
        <w:t>Europaparlamentet utfärdar denna resolution</w:t>
      </w:r>
    </w:p>
    <w:p w14:paraId="5B096E31" w14:textId="77777777" w:rsidR="0051709D" w:rsidRPr="004D4843" w:rsidRDefault="0051709D" w:rsidP="0051709D">
      <w:pPr>
        <w:pStyle w:val="NormalHanging"/>
      </w:pPr>
      <w:r w:rsidRPr="004D4843">
        <w:t>–</w:t>
      </w:r>
      <w:r w:rsidRPr="004D4843">
        <w:tab/>
        <w:t>med beaktande av artiklarna 205–222 i fördraget om Europeiska unionens funktionssätt (EUF-fördraget),</w:t>
      </w:r>
    </w:p>
    <w:p w14:paraId="13D52672" w14:textId="77777777" w:rsidR="0051709D" w:rsidRPr="004D4843" w:rsidRDefault="0051709D" w:rsidP="0051709D">
      <w:pPr>
        <w:pStyle w:val="NormalHanging"/>
      </w:pPr>
      <w:r w:rsidRPr="004D4843">
        <w:t>–</w:t>
      </w:r>
      <w:r w:rsidRPr="004D4843">
        <w:tab/>
        <w:t>med beaktande av sina tidigare resolutioner om Saudiarabien, särskilt resolutionerna av den 25 oktober 2018 om dödandet av journalisten Jamal Khashoggi på Saudiarabiens konsulat i Istanbul</w:t>
      </w:r>
      <w:r w:rsidRPr="004D4843">
        <w:rPr>
          <w:rStyle w:val="FootnoteReference"/>
        </w:rPr>
        <w:footnoteReference w:customMarkFollows="1" w:id="1"/>
        <w:t>1</w:t>
      </w:r>
      <w:r w:rsidRPr="004D4843">
        <w:t>, av den 11 februari 2021 om det humanitära och politiska läget i Jemen</w:t>
      </w:r>
      <w:r w:rsidRPr="004D4843">
        <w:rPr>
          <w:rStyle w:val="FootnoteReference"/>
        </w:rPr>
        <w:footnoteReference w:customMarkFollows="1" w:id="2"/>
        <w:t>2</w:t>
      </w:r>
      <w:r w:rsidRPr="004D4843">
        <w:t xml:space="preserve"> och av den 8 juli 2021 om dödsstraffet i Saudiarabien, särskilt fallen Mustafa Hashem al-Darwish och Abdullah al-Howaiti</w:t>
      </w:r>
      <w:r w:rsidRPr="004D4843">
        <w:rPr>
          <w:rStyle w:val="FootnoteReference"/>
        </w:rPr>
        <w:footnoteReference w:customMarkFollows="1" w:id="3"/>
        <w:t>3</w:t>
      </w:r>
      <w:r w:rsidRPr="004D4843">
        <w:t>,</w:t>
      </w:r>
    </w:p>
    <w:p w14:paraId="73309251" w14:textId="77777777" w:rsidR="0051709D" w:rsidRPr="004D4843" w:rsidRDefault="0051709D" w:rsidP="0051709D">
      <w:pPr>
        <w:pStyle w:val="NormalHanging"/>
      </w:pPr>
      <w:r w:rsidRPr="004D4843">
        <w:t>–</w:t>
      </w:r>
      <w:r w:rsidRPr="004D4843">
        <w:tab/>
        <w:t>med beaktande av det gemensamma meddelandet av den 18 maj 2022 från kommissionen och unionens höga representant för utrikes frågor och säkerhetspolitik om ett strategiskt partnerskap med Gulfstaterna (JOIN(2022)0013) och rådets slutsatser av den 20 juni 2022 om detta,</w:t>
      </w:r>
    </w:p>
    <w:p w14:paraId="296A2264" w14:textId="77777777" w:rsidR="0051709D" w:rsidRPr="004D4843" w:rsidRDefault="0051709D" w:rsidP="0051709D">
      <w:pPr>
        <w:pStyle w:val="NormalHanging"/>
      </w:pPr>
      <w:r w:rsidRPr="004D4843">
        <w:t>–</w:t>
      </w:r>
      <w:r w:rsidRPr="004D4843">
        <w:tab/>
        <w:t>med beaktande av rådets mandat om att inleda förhandlingar om enskilda strategiska partnerskapsavtal med länderna i Gulfstaternas samarbetsråd respektive Konungariket Bahrain, Staten Kuwait, Sultanatet Oman, Staten Qatar, Konungariket Saudiarabien och Förenade Arabemiraten,</w:t>
      </w:r>
    </w:p>
    <w:p w14:paraId="67B61EA2" w14:textId="77777777" w:rsidR="0051709D" w:rsidRPr="004D4843" w:rsidRDefault="0051709D" w:rsidP="0051709D">
      <w:pPr>
        <w:pStyle w:val="NormalHanging"/>
      </w:pPr>
      <w:r w:rsidRPr="004D4843">
        <w:t>–</w:t>
      </w:r>
      <w:r w:rsidRPr="004D4843">
        <w:tab/>
        <w:t>med beaktande av det gemensamma uttalandet från det första toppmötet mellan EU och Gulfstaternas samarbetsråd av den 16 oktober 2024,</w:t>
      </w:r>
    </w:p>
    <w:p w14:paraId="50C2118E" w14:textId="77777777" w:rsidR="0051709D" w:rsidRPr="004D4843" w:rsidRDefault="0051709D" w:rsidP="0051709D">
      <w:pPr>
        <w:pStyle w:val="NormalHanging"/>
      </w:pPr>
      <w:r w:rsidRPr="004D4843">
        <w:t>–</w:t>
      </w:r>
      <w:r w:rsidRPr="004D4843">
        <w:tab/>
        <w:t>med beaktande av det gemensamma uttalandet från det 29:e gemensamma råds- och ministermötet mellan Gulfstaternas samarbetsråd och EU den 6 oktober 2025,</w:t>
      </w:r>
    </w:p>
    <w:p w14:paraId="40285338" w14:textId="08AB8C1D" w:rsidR="0051709D" w:rsidRPr="004D4843" w:rsidRDefault="0051709D" w:rsidP="0051709D">
      <w:pPr>
        <w:pStyle w:val="NormalHanging"/>
      </w:pPr>
      <w:r w:rsidRPr="004D4843">
        <w:t>–</w:t>
      </w:r>
      <w:r w:rsidRPr="004D4843">
        <w:tab/>
        <w:t>med beaktande av rekommendationen till rådets beslut om nya förhandlingsdirektiv för ett regionalt frihandelsavtal och bilaterala frihandelsavtal med länderna i Gulfstaternas samarbetsråd respektive Konungariket Bahrain, Staten Kuwait, Sultanatet Oman, Staten Qatar, Konungariket Saudiarabien och Förenade Arabemiraten (</w:t>
      </w:r>
      <w:r w:rsidR="007402F7" w:rsidRPr="000E6CFB">
        <w:t>COM(2025)0194</w:t>
      </w:r>
      <w:r w:rsidRPr="004D4843">
        <w:t>),</w:t>
      </w:r>
    </w:p>
    <w:p w14:paraId="660D74FE" w14:textId="77777777" w:rsidR="0051709D" w:rsidRPr="004D4843" w:rsidRDefault="0051709D" w:rsidP="0051709D">
      <w:pPr>
        <w:pStyle w:val="NormalHanging"/>
      </w:pPr>
      <w:r w:rsidRPr="004D4843">
        <w:lastRenderedPageBreak/>
        <w:t>–</w:t>
      </w:r>
      <w:r w:rsidRPr="004D4843">
        <w:tab/>
        <w:t>med beaktande av samarbetsarrangemanget mellan Europeiska utrikestjänsten och Konungariket Saudiarabiens utrikesministerium, som undertecknades den 3 oktober 2021,</w:t>
      </w:r>
    </w:p>
    <w:p w14:paraId="2D4E1276" w14:textId="77777777" w:rsidR="0051709D" w:rsidRPr="004D4843" w:rsidRDefault="0051709D" w:rsidP="0051709D">
      <w:pPr>
        <w:pStyle w:val="NormalHanging"/>
      </w:pPr>
      <w:r w:rsidRPr="004D4843">
        <w:t>–</w:t>
      </w:r>
      <w:r w:rsidRPr="004D4843">
        <w:tab/>
        <w:t>med beaktande av den fjärde människorättsdialogen mellan EU och Konungariket Saudiarabien, som hölls i Riyadh den 20 december 2024,</w:t>
      </w:r>
    </w:p>
    <w:p w14:paraId="2726F8B5" w14:textId="77777777" w:rsidR="0051709D" w:rsidRPr="004D4843" w:rsidRDefault="0051709D" w:rsidP="0051709D">
      <w:pPr>
        <w:pStyle w:val="NormalHanging"/>
      </w:pPr>
      <w:r w:rsidRPr="004D4843">
        <w:t>–</w:t>
      </w:r>
      <w:r w:rsidRPr="004D4843">
        <w:tab/>
        <w:t>med beaktande av det globala EU-systemet för sanktioner avseende mänskliga rättigheter, som inrättades i december 2020,</w:t>
      </w:r>
    </w:p>
    <w:p w14:paraId="1D20084E" w14:textId="77777777" w:rsidR="0051709D" w:rsidRPr="004D4843" w:rsidRDefault="0051709D" w:rsidP="0051709D">
      <w:pPr>
        <w:pStyle w:val="NormalHanging"/>
      </w:pPr>
      <w:r w:rsidRPr="004D4843">
        <w:t>–</w:t>
      </w:r>
      <w:r w:rsidRPr="004D4843">
        <w:tab/>
        <w:t>med beaktande av EU:s riktlinjer om försvarare av de mänskliga rättigheterna, som antogs 2004 och reviderades 2008,</w:t>
      </w:r>
    </w:p>
    <w:p w14:paraId="70EB55ED" w14:textId="77777777" w:rsidR="0051709D" w:rsidRPr="004D4843" w:rsidRDefault="0051709D" w:rsidP="0051709D">
      <w:pPr>
        <w:pStyle w:val="NormalHanging"/>
      </w:pPr>
      <w:r w:rsidRPr="004D4843">
        <w:t>–</w:t>
      </w:r>
      <w:r w:rsidRPr="004D4843">
        <w:tab/>
        <w:t>med beaktande av rapporten av den 8 april 2025 från FN:s expertgrupp för geografiska namn om Konungariket Saudiarabien (2025/169/CRP.169),</w:t>
      </w:r>
    </w:p>
    <w:p w14:paraId="0F4C4AC7" w14:textId="77777777" w:rsidR="0051709D" w:rsidRPr="004D4843" w:rsidRDefault="0051709D" w:rsidP="0051709D">
      <w:pPr>
        <w:pStyle w:val="NormalHanging"/>
      </w:pPr>
      <w:r w:rsidRPr="004D4843">
        <w:t>–</w:t>
      </w:r>
      <w:r w:rsidRPr="004D4843">
        <w:tab/>
        <w:t>med beaktande av FN:s konvention om avskaffande av all slags diskriminering av kvinnor av den 18 december 1979,</w:t>
      </w:r>
    </w:p>
    <w:p w14:paraId="7CDD7A7F" w14:textId="77777777" w:rsidR="0051709D" w:rsidRPr="004D4843" w:rsidRDefault="0051709D" w:rsidP="0051709D">
      <w:pPr>
        <w:pStyle w:val="NormalHanging"/>
      </w:pPr>
      <w:r w:rsidRPr="004D4843">
        <w:t>–</w:t>
      </w:r>
      <w:r w:rsidRPr="004D4843">
        <w:tab/>
        <w:t>med beaktande av artikel 55 i arbetsordningen,</w:t>
      </w:r>
    </w:p>
    <w:p w14:paraId="57B161E8" w14:textId="77777777" w:rsidR="0051709D" w:rsidRPr="004D4843" w:rsidRDefault="0051709D" w:rsidP="0051709D">
      <w:pPr>
        <w:pStyle w:val="NormalHanging"/>
      </w:pPr>
      <w:r w:rsidRPr="004D4843">
        <w:t>–</w:t>
      </w:r>
      <w:r w:rsidRPr="004D4843">
        <w:tab/>
        <w:t>med beaktande av betänkandet från utskottet för utrikesfrågor (A10-0230/2025), och av följande skäl:</w:t>
      </w:r>
    </w:p>
    <w:p w14:paraId="4B05E037" w14:textId="77777777" w:rsidR="0051709D" w:rsidRPr="004D4843" w:rsidRDefault="0051709D" w:rsidP="0051709D">
      <w:pPr>
        <w:pStyle w:val="NormalHanging"/>
      </w:pPr>
      <w:r w:rsidRPr="004D4843">
        <w:t>A.</w:t>
      </w:r>
      <w:r w:rsidRPr="004D4843">
        <w:tab/>
        <w:t>Saudiarabien är en viktig bilateral och regional partner till EU. Det är viktigt att fördjupa detta samarbete för att åstadkomma ett strategiskt partnerskap som stärker de bilaterala förbindelserna och främjar samarbete inom olika sektorer som försvar, kultur och innovation, men framför allt energi.</w:t>
      </w:r>
    </w:p>
    <w:p w14:paraId="3B777D24" w14:textId="77777777" w:rsidR="0051709D" w:rsidRPr="004D4843" w:rsidRDefault="0051709D" w:rsidP="0051709D">
      <w:pPr>
        <w:pStyle w:val="NormalHanging"/>
      </w:pPr>
      <w:r w:rsidRPr="004D4843">
        <w:t>B.</w:t>
      </w:r>
      <w:r w:rsidRPr="004D4843">
        <w:tab/>
        <w:t>Saudiarabien är EU:s 17:e största globala handelspartner, och EU är den största utländska investeraren i Saudiarabien.</w:t>
      </w:r>
    </w:p>
    <w:p w14:paraId="72089BC7" w14:textId="77777777" w:rsidR="0051709D" w:rsidRPr="004D4843" w:rsidRDefault="0051709D" w:rsidP="0051709D">
      <w:pPr>
        <w:pStyle w:val="NormalHanging"/>
      </w:pPr>
      <w:r w:rsidRPr="004D4843">
        <w:t>C.</w:t>
      </w:r>
      <w:r w:rsidRPr="004D4843">
        <w:tab/>
        <w:t>Under det senaste årtiondet har Saudiarabien och Kina fördjupat sina förbindelser inom ramen för Saudiarabiens projekt Vision 2030, och Saudiarabien har blivit den största mottagaren av de investeringar som Kina gör inom sitt initiativ ”Ett bälte, en väg”, inbegripet investeringar i strategisk infrastruktur såsom hamnar och digitala nätverk. Kina har sedan 2019 varit den största köparen av saudisk råolja. Saudiarabien och Kina fördjupade sitt samarbete på områdena utrikespolitik, säkerhet, energi, handel och teknik genom inrättandet av en gemensam högnivåkommitté och underkommittéer 2016.</w:t>
      </w:r>
    </w:p>
    <w:p w14:paraId="4F4D08FE" w14:textId="77777777" w:rsidR="0051709D" w:rsidRPr="004D4843" w:rsidRDefault="0051709D" w:rsidP="0051709D">
      <w:pPr>
        <w:pStyle w:val="NormalHanging"/>
      </w:pPr>
      <w:r w:rsidRPr="004D4843">
        <w:t>D.</w:t>
      </w:r>
      <w:r w:rsidRPr="004D4843">
        <w:tab/>
        <w:t>Saudiarabien stärker sina förbindelser med Indien, särskilt genom projektet för den ekonomiska korridoren mellan Indien, Mellanöstern och Europa vars syfte är att förbättra konnektiviteten mellan Asien och Europa genom Arabiska halvön.</w:t>
      </w:r>
    </w:p>
    <w:p w14:paraId="595EE119" w14:textId="77777777" w:rsidR="0051709D" w:rsidRPr="004D4843" w:rsidRDefault="0051709D" w:rsidP="0051709D">
      <w:pPr>
        <w:pStyle w:val="NormalHanging"/>
      </w:pPr>
      <w:r w:rsidRPr="004D4843">
        <w:t>E.</w:t>
      </w:r>
      <w:r w:rsidRPr="004D4843">
        <w:tab/>
        <w:t>Saudiarabien håller på att ytterligare konsolidera sin ställning som en betrodd regional medlare och en viktig global aktör, och det är avgörande att landet samtidigt till fullo respekterar och främjar mänskliga rättigheter och internationell rätt.</w:t>
      </w:r>
    </w:p>
    <w:p w14:paraId="27EE5A58" w14:textId="77777777" w:rsidR="0051709D" w:rsidRPr="004D4843" w:rsidRDefault="0051709D" w:rsidP="0051709D">
      <w:pPr>
        <w:pStyle w:val="NormalHanging"/>
      </w:pPr>
      <w:r w:rsidRPr="004D4843">
        <w:t>F.</w:t>
      </w:r>
      <w:r w:rsidRPr="004D4843">
        <w:tab/>
        <w:t>Det finns ett pågående rättsfall vid Internationella domstolen om tillämpningen av konventionen om förebyggande och bestraffning av brottet folkmord i Gazaremsan (Sydafrika mot Israel), vilket lades fram av Sydafrika den 29 december 2023.</w:t>
      </w:r>
      <w:r w:rsidRPr="004D4843">
        <w:rPr>
          <w:i/>
        </w:rPr>
        <w:t xml:space="preserve"> </w:t>
      </w:r>
    </w:p>
    <w:p w14:paraId="7E0CA8C6" w14:textId="77777777" w:rsidR="0051709D" w:rsidRPr="004D4843" w:rsidRDefault="0051709D" w:rsidP="0051709D">
      <w:pPr>
        <w:pStyle w:val="NormalHanging"/>
      </w:pPr>
      <w:r w:rsidRPr="004D4843">
        <w:lastRenderedPageBreak/>
        <w:t>G.</w:t>
      </w:r>
      <w:r w:rsidRPr="004D4843">
        <w:tab/>
        <w:t>Saudiarabien verkar för att förstärka dialogen och samarbetet med EU om mänskliga rättigheter.</w:t>
      </w:r>
    </w:p>
    <w:p w14:paraId="46B3A6B8" w14:textId="77777777" w:rsidR="0051709D" w:rsidRPr="004D4843" w:rsidRDefault="0051709D" w:rsidP="0051709D">
      <w:pPr>
        <w:pStyle w:val="NormalHanging"/>
      </w:pPr>
      <w:r w:rsidRPr="004D4843">
        <w:t>H.</w:t>
      </w:r>
      <w:r w:rsidRPr="004D4843">
        <w:tab/>
        <w:t>Främjande av respekt för de mänskliga rättigheterna och internationell rätt inom utrikespolitiken, inbegripet handel, är en fördragsstadgad skyldighet för EU i enlighet med artiklarna 3 och 21 i fördraget om Europeiska unionen.</w:t>
      </w:r>
    </w:p>
    <w:p w14:paraId="750FC52B" w14:textId="77777777" w:rsidR="0051709D" w:rsidRPr="004D4843" w:rsidRDefault="0051709D" w:rsidP="0051709D">
      <w:pPr>
        <w:pStyle w:val="NormalHanging"/>
      </w:pPr>
      <w:r w:rsidRPr="004D4843">
        <w:t>I.</w:t>
      </w:r>
      <w:r w:rsidRPr="004D4843">
        <w:tab/>
        <w:t>FN:s kommitté för avskaffande av diskriminering av kvinnor uttryckte i sina slutsatser om Saudiarabien från oktober 2024 farhågor över djupt rotade diskriminerande metoder, trakasserier av kvinnliga aktivister och den bredare inverkan av straffåtgärder, inbegripet användningen av dödsstraff.</w:t>
      </w:r>
    </w:p>
    <w:p w14:paraId="790C0B23" w14:textId="77777777" w:rsidR="0051709D" w:rsidRPr="004D4843" w:rsidRDefault="0051709D" w:rsidP="0051709D">
      <w:pPr>
        <w:pStyle w:val="NormalHanging"/>
      </w:pPr>
      <w:r w:rsidRPr="004D4843">
        <w:t>J.</w:t>
      </w:r>
      <w:r w:rsidRPr="004D4843">
        <w:tab/>
        <w:t>Nästa toppmöte mellan EU och Gulfstaternas samarbetsråd ska hållas i Riyadh 2026 och kommer att vara avgörande för att ytterligare bredda omfattningen av förbindelserna mellan EU och Saudiarabien och stärka samarbetet om viktiga frågor av ömsesidigt intresse.</w:t>
      </w:r>
    </w:p>
    <w:p w14:paraId="5E143C1E" w14:textId="77777777" w:rsidR="0051709D" w:rsidRPr="004D4843" w:rsidRDefault="0051709D" w:rsidP="0051709D">
      <w:pPr>
        <w:pStyle w:val="Normal12a"/>
      </w:pPr>
      <w:r w:rsidRPr="004D4843">
        <w:rPr>
          <w:b/>
          <w:i/>
        </w:rPr>
        <w:t>De bilaterala förbindelserna mellan EU och Saudiarabien</w:t>
      </w:r>
    </w:p>
    <w:p w14:paraId="49533539" w14:textId="77777777" w:rsidR="0051709D" w:rsidRPr="004D4843" w:rsidRDefault="0051709D" w:rsidP="0051709D">
      <w:pPr>
        <w:pStyle w:val="NormalHanging12a"/>
      </w:pPr>
      <w:r w:rsidRPr="004D4843">
        <w:t>1.</w:t>
      </w:r>
      <w:r w:rsidRPr="004D4843">
        <w:tab/>
        <w:t>Europaparlamentet framhåller det positiva samarbetet mellan EU och Gulfstaternas samarbetsråd – två av de ledande aktörerna i det större Medelhavsområdet – vid det första toppmötet mellan EU och Gulfstaternas samarbetsråd, som hölls 2024. Parlamentet bekräftar att EU:s mål är att stärka de bilaterala förbindelserna med alla länder i Gulfstaternas samarbetsråd med hjälp av strategiska partnerskapsavtal, vilka skulle avhjälpa den nuvarande bristen på en rättsligt bindande ram för de bilaterala förbindelserna mellan EU och Saudiarabien och därmed frigöra potentialen för ett fördjupat och breddat samarbete på flera områden, såsom utrikes- och säkerhetspolitik, rättsliga frågor och brottsbekämpning, handel och investeringar, energi och klimat, digital omställning, miljö, forskning och innovation, artificiell intelligens, konnektivitet, e-förvaltning, utbildning, kultur, forskning, ungdomsfrågor och direkta personkontakter, och säkra reformer i fråga om mänskliga rättigheter och arbetsmarknadsreformer i länderna i Gulfstaternas samarbetsråd.</w:t>
      </w:r>
    </w:p>
    <w:p w14:paraId="182D9BE2" w14:textId="77777777" w:rsidR="0051709D" w:rsidRPr="004D4843" w:rsidRDefault="0051709D" w:rsidP="0051709D">
      <w:pPr>
        <w:pStyle w:val="NormalHanging12a"/>
      </w:pPr>
      <w:r w:rsidRPr="004D4843">
        <w:t>2.</w:t>
      </w:r>
      <w:r w:rsidRPr="004D4843">
        <w:tab/>
        <w:t>Europaparlamentet välkomnar anpassningen och samarbetet mellan Saudiarabien och EU i fråga om utrikes- och säkerhetspolitik.</w:t>
      </w:r>
    </w:p>
    <w:p w14:paraId="28C1EE37" w14:textId="77777777" w:rsidR="0051709D" w:rsidRPr="004D4843" w:rsidRDefault="0051709D" w:rsidP="0051709D">
      <w:pPr>
        <w:pStyle w:val="NormalHanging12a"/>
      </w:pPr>
      <w:r w:rsidRPr="004D4843">
        <w:t>3.</w:t>
      </w:r>
      <w:r w:rsidRPr="004D4843">
        <w:tab/>
        <w:t>Europaparlamentet understryker potentialen för ytterligare ekonomiskt samarbete mellan EU och Saudiarabien i fråga om hållbar energi, kritiska råmaterial, informationsteknik och entreprenörskap, och noterar att det ekonomiska samarbetet mellan EU och Saudiarabien är hörnstenen i de bilaterala förbindelserna. Parlamentet efterlyser ett ökat samarbete mellan EU och Saudiarabien på dessa områden. Parlamentet stöder Saudiarabiens efterlevnad av EU:s lagstiftning om tillbörlig aktsamhet när det gäller ekonomiska avtal eller affärsöverenskommelser som involverar företag som ägs av eller är knutna till Saudiarabiens statliga investeringsfond.</w:t>
      </w:r>
    </w:p>
    <w:p w14:paraId="32DC87E7" w14:textId="77777777" w:rsidR="0051709D" w:rsidRPr="004D4843" w:rsidRDefault="0051709D" w:rsidP="0051709D">
      <w:pPr>
        <w:pStyle w:val="NormalHanging12a"/>
      </w:pPr>
      <w:r w:rsidRPr="004D4843">
        <w:t>4.</w:t>
      </w:r>
      <w:r w:rsidRPr="004D4843">
        <w:tab/>
        <w:t xml:space="preserve">Europaparlamentet betonar att ett fördjupat samarbete mellan EU och Saudiarabien i fråga om energi och handel bör stärka EU:s strategiska oberoende genom en diversifiering på kort sikt av tillförlitliga försörjningskällor. Parlamentet understryker att Saudiarabien förblir en viktig global aktör på marknaderna för fossil energi, samtidigt som landet också har slagit in på en väg mot diversifiering och hållbarhet och investerar i förnybar energi, särskilt storskaliga solenergi- och vätgasprojekt. </w:t>
      </w:r>
      <w:r w:rsidRPr="004D4843">
        <w:lastRenderedPageBreak/>
        <w:t>Parlamentet noterar att Saudiarabien nu rankas som en av världens tio största marknader för energilagring, vilket ytterligare stärker landets ledarskap inom förnybar energi. Parlamentet betonar att man genom att tillvarata den stora potentialen i Saudiarabiens solenergi tillsammans med EU:s avancerade teknik för förnybar energi kan möjliggöra gemensamma initiativ för grön vätgas, hållbara bränslen och nästa generations energiinfrastruktur.</w:t>
      </w:r>
    </w:p>
    <w:p w14:paraId="51566D2D" w14:textId="77777777" w:rsidR="0051709D" w:rsidRPr="004D4843" w:rsidRDefault="0051709D" w:rsidP="0051709D">
      <w:pPr>
        <w:pStyle w:val="NormalHanging12a"/>
      </w:pPr>
      <w:r w:rsidRPr="004D4843">
        <w:t>5.</w:t>
      </w:r>
      <w:r w:rsidRPr="004D4843">
        <w:tab/>
        <w:t>Europaparlamentet bekräftar att EU är fast beslutet att stödja Saudiarabien på dess väg mot socioekonomisk diversifiering och reformer, inbegripet när det gäller att främja hållbar utveckling.</w:t>
      </w:r>
    </w:p>
    <w:p w14:paraId="7BA74364" w14:textId="77777777" w:rsidR="0051709D" w:rsidRPr="004D4843" w:rsidRDefault="0051709D" w:rsidP="0051709D">
      <w:pPr>
        <w:pStyle w:val="NormalHanging12a"/>
      </w:pPr>
      <w:r w:rsidRPr="004D4843">
        <w:t>6.</w:t>
      </w:r>
      <w:r w:rsidRPr="004D4843">
        <w:tab/>
        <w:t>Europaparlamentet bekräftar att EU står fast vid sitt åtagande att verka för ett säkert och ömsesidigt fördelaktigt system för visumfria resor med de fem återstående länderna i Gulfstaternas samarbetsråd för att säkerställa deras likabehandling, vilket skulle kunna bedömas inom ramen för den nya EU-strategin för viseringspolitik. Parlamentet noterar den stora ekonomiska betydelsen av saudiska turister för EU-medlemsstater, särskilt när det gäller att stödja nyckelsektorer såsom hotell- och restaurangbranschen, detaljhandeln och kulturindustrin. Parlamentet understryker att saudiska medborgare inte utgör någon källa till påfrestningar</w:t>
      </w:r>
      <w:r w:rsidRPr="004D4843">
        <w:rPr>
          <w:rStyle w:val="FootnoteReference"/>
        </w:rPr>
        <w:footnoteReference w:customMarkFollows="1" w:id="4"/>
        <w:t>4</w:t>
      </w:r>
      <w:r w:rsidRPr="004D4843">
        <w:t xml:space="preserve"> i fråga om irreguljär migration och uppmanar därför kommissionen och medlemsstaterna att överväga att införa ett undantag från viseringsskyldigheten när väl kaskaden har beviljats för att främja turism, öka utbytet mellan människor och ytterligare stärka de ekonomiska och kulturella banden mellan EU och Saudiarabien.</w:t>
      </w:r>
    </w:p>
    <w:p w14:paraId="5AD150AF" w14:textId="77777777" w:rsidR="0051709D" w:rsidRPr="004D4843" w:rsidRDefault="0051709D" w:rsidP="0051709D">
      <w:pPr>
        <w:pStyle w:val="NormalHanging12a"/>
      </w:pPr>
      <w:r w:rsidRPr="004D4843">
        <w:t>7.</w:t>
      </w:r>
      <w:r w:rsidRPr="004D4843">
        <w:tab/>
        <w:t>Parlamentet uppmanar EU att ytterligare underlätta regleringssamarbetet, vilket kommer att underlätta Saudiarabiens arbete med att fastställa regler och förfaranden för en framgångsrik energidiversifiering och framgångsrika socioekonomiska reformer. Parlamentet förespråkar starkare partnerskap mellan utbildnings- och forskningsenheter i EU och Saudiarabien, inbegripet genom program som Erasmus Mundus och Horisont Europa. Parlamentet betonar att det är viktigt att skapa de förutsättningar som behövs för en ökad studentmobilitet. Parlamentet framhåller att förbättrade möjligheter till utbyte för ungdomar kommer att bidra avsevärt till att konsolidera förbindelserna mellan EU, Saudiarabien och Gulfregionen i sin helhet.</w:t>
      </w:r>
    </w:p>
    <w:p w14:paraId="2B111F12" w14:textId="77777777" w:rsidR="0051709D" w:rsidRPr="004D4843" w:rsidRDefault="0051709D" w:rsidP="0051709D">
      <w:pPr>
        <w:pStyle w:val="Normal12a"/>
      </w:pPr>
      <w:r w:rsidRPr="004D4843">
        <w:rPr>
          <w:b/>
          <w:i/>
        </w:rPr>
        <w:t>Saudiarabiens utrikespolitiska prioriteringar och EU:s möjligheter</w:t>
      </w:r>
    </w:p>
    <w:p w14:paraId="4AE1B2AE" w14:textId="77777777" w:rsidR="0051709D" w:rsidRPr="004D4843" w:rsidRDefault="0051709D" w:rsidP="0051709D">
      <w:pPr>
        <w:pStyle w:val="NormalHanging12a"/>
      </w:pPr>
      <w:r w:rsidRPr="004D4843">
        <w:t>8.</w:t>
      </w:r>
      <w:r w:rsidRPr="004D4843">
        <w:tab/>
        <w:t>Europaparlamentet välkomnar Saudiarabiens växande betydelse som en diplomatisk aktör och dess betydande bidrag till den regionala och den globala stabiliteten, särskilt mot bakgrund av Israels militära operationer i Gaza och med hänsyn till den senaste tidens utveckling i Syrien, Libanon, Jemen, Röda havet och Sudan.</w:t>
      </w:r>
    </w:p>
    <w:p w14:paraId="4F909F71" w14:textId="77777777" w:rsidR="0051709D" w:rsidRPr="004D4843" w:rsidRDefault="0051709D" w:rsidP="0051709D">
      <w:pPr>
        <w:pStyle w:val="NormalHanging12a"/>
      </w:pPr>
      <w:r w:rsidRPr="004D4843">
        <w:t>9.</w:t>
      </w:r>
      <w:r w:rsidRPr="004D4843">
        <w:tab/>
        <w:t xml:space="preserve">Europaparlamentet efterlyser ett förstärkt utrikes- och säkerhetssamarbete mot bakgrund av eskaleringen i regionen. Parlamentet betonar att det både i det gemensamma meddelandet om ett strategiskt partnerskap med Gulfstaterna och det framtida strategiska partnerskapsavtalet efterfrågas ett ökat politiskt och säkerhetsrelaterat samarbete. Parlamentet betonar att ett sådant samarbete måste bygga på ett gemensamt </w:t>
      </w:r>
      <w:r w:rsidRPr="004D4843">
        <w:lastRenderedPageBreak/>
        <w:t>åtagande att respektera internationell rätt, inbegripet mänskliga rättigheter, internationell humanitär rätt och FN-stadgan. Parlamentet uttrycker sitt stöd för rådets beslut från juli 2025 om bemyndigande för Europeiska kommissionen och unionens höga representant för utrikes frågor och säkerhetspolitik att inleda förhandlingar om ett strategiskt partnerskapsavtal med Konungariket Saudiarabien. Parlamentet ser detta initiativ som ett avgörande tillfälle att främja EU:s strategiska intressen och regional stabilitet samt stärka samarbetet på energi- och säkerhetsområdet. Parlamentet efterlyser ett starkt och aktivt engagemang från båda parter under hela förhandlingsprocessen i syfte att säkerställa ett snabbt slutförande i rätt tid. Parlamentet betonar att EU:s fördjupade samarbete med Saudiarabien också bör bidra till att stärka de gemensamma åtagandena för fred och stabilitet och skydda det multilaterala regelbaserade systemet.</w:t>
      </w:r>
    </w:p>
    <w:p w14:paraId="7A4190E8" w14:textId="77777777" w:rsidR="0051709D" w:rsidRPr="004D4843" w:rsidRDefault="0051709D" w:rsidP="0051709D">
      <w:pPr>
        <w:pStyle w:val="NormalHanging12a"/>
      </w:pPr>
      <w:r w:rsidRPr="004D4843">
        <w:t>10.</w:t>
      </w:r>
      <w:r w:rsidRPr="004D4843">
        <w:tab/>
        <w:t>Europaparlamentet framhåller Saudiarabiens viktiga diplomatiska roll, särskilt i att stödja nedtrappningen i Jemen, stärka sjöfartsskyddet i Röda havet, stå värd för samtal om Ukraina och underlätta dialogen om Sudan och därigenom på ett konstruktivt sätt bidra till regional och internationell stabilitet.</w:t>
      </w:r>
    </w:p>
    <w:p w14:paraId="406112D6" w14:textId="77777777" w:rsidR="0051709D" w:rsidRPr="004D4843" w:rsidRDefault="0051709D" w:rsidP="0051709D">
      <w:pPr>
        <w:pStyle w:val="NormalHanging12a"/>
      </w:pPr>
      <w:r w:rsidRPr="004D4843">
        <w:t>11.</w:t>
      </w:r>
      <w:r w:rsidRPr="004D4843">
        <w:tab/>
        <w:t>Europaparlamentet uppmanar Saudiarabien till att fortsätta med samarbetet mellan EU och Saudiarabien om terrorismbekämpning och förebyggande av radikalisering, som måste utföras i överensstämmelse med internationella människorättsnormer. Parlamentet betonar vikten av en långtgående tillnärmning mellan EU och Saudiarabien på dessa områden.</w:t>
      </w:r>
    </w:p>
    <w:p w14:paraId="671C6DA3" w14:textId="77777777" w:rsidR="0051709D" w:rsidRPr="004D4843" w:rsidRDefault="0051709D" w:rsidP="0051709D">
      <w:pPr>
        <w:pStyle w:val="NormalHanging12a"/>
      </w:pPr>
      <w:r w:rsidRPr="004D4843">
        <w:t>12.</w:t>
      </w:r>
      <w:r w:rsidRPr="004D4843">
        <w:tab/>
        <w:t xml:space="preserve">Europaparlamentet värdesätter Saudiarabiens ansträngningar för att främja en nedtrappning när det gäller Israels militära operationer i Gaza. Parlamentet påminner om den hållning som intogs i parlamentets resolution av den 11 september 2025 </w:t>
      </w:r>
      <w:r w:rsidRPr="004D4843">
        <w:rPr>
          <w:i/>
        </w:rPr>
        <w:t>Gaza på bristningsgränsen:</w:t>
      </w:r>
      <w:r w:rsidRPr="004D4843">
        <w:t xml:space="preserve"> </w:t>
      </w:r>
      <w:r w:rsidRPr="004D4843">
        <w:rPr>
          <w:i/>
        </w:rPr>
        <w:t>EU:s insatser för att bekämpa hungersnöden, det akuta behovet att släppa gisslan och vägen mot en tvåstatslösning</w:t>
      </w:r>
      <w:r w:rsidRPr="004D4843">
        <w:rPr>
          <w:rStyle w:val="FootnoteReference"/>
        </w:rPr>
        <w:footnoteReference w:customMarkFollows="1" w:id="5"/>
        <w:t>5</w:t>
      </w:r>
      <w:r w:rsidRPr="004D4843">
        <w:t>, och välkomnar New York-förklaringen om en fredlig lösning av Palestinafrågan och genomförandet av tvåstatslösningen av den 29 juli 2025 samt antagandet av denna av FN:s generalförsamling den 12 september 2025.</w:t>
      </w:r>
    </w:p>
    <w:p w14:paraId="48A6F482" w14:textId="77777777" w:rsidR="0051709D" w:rsidRPr="004D4843" w:rsidRDefault="0051709D" w:rsidP="0051709D">
      <w:pPr>
        <w:pStyle w:val="NormalHanging12a"/>
      </w:pPr>
      <w:r w:rsidRPr="004D4843">
        <w:t>13.</w:t>
      </w:r>
      <w:r w:rsidRPr="004D4843">
        <w:tab/>
        <w:t>Europaparlamentet erkänner Saudiarabiens och vissa andra arabstaters ansträngningar för att normalisera de diplomatiska förbindelserna med Israel inom ramen för Abrahamavtalen från 2020. Parlamentet uppmanar EU att stödja initiativ vars syfte är att bygga upp ett brett regionalt och internationellt stöd för en bättre framtid för de arabisk-israeliska förbindelserna inom EU:s ramar för den accepterade tvåstatslösningen för att främja regional stabilitet.</w:t>
      </w:r>
    </w:p>
    <w:p w14:paraId="47FF0774" w14:textId="77777777" w:rsidR="0051709D" w:rsidRPr="004D4843" w:rsidRDefault="0051709D" w:rsidP="0051709D">
      <w:pPr>
        <w:pStyle w:val="NormalHanging12a"/>
      </w:pPr>
      <w:r w:rsidRPr="004D4843">
        <w:t>14.</w:t>
      </w:r>
      <w:r w:rsidRPr="004D4843">
        <w:tab/>
        <w:t xml:space="preserve">Europaparlamentet lovordar Saudiarabiens betydande diplomatiska och finansiella insatser till stöd för Syrien, inbegripet regionala samråd och bredare stabiliserings- och återuppbyggnadsinsatser. Parlamentet uppmanar Saudiarabien och dess partner i regionen att bistå den syriska övergångsregeringen i inrättandet av en hållbar och inkluderande politisk struktur och säkerhetsstruktur. Parlamentet betonar vikten att bevara Syriens suveränitet och territoriella integritet samt deltagandet av och skyddet för Syriens minoriteter. Parlamentet efterlyser ett utökat samarbete mellan EU och Saudiarabien för att verka för en fredlig och inkluderande övergång i Syrien samt för att </w:t>
      </w:r>
      <w:r w:rsidRPr="004D4843">
        <w:lastRenderedPageBreak/>
        <w:t>skydda kristna och alla samfund i Syrien och garantera deras säkerhet och religionsfrihet samt skyddet av deras kulturarv.</w:t>
      </w:r>
    </w:p>
    <w:p w14:paraId="1DCDBA05" w14:textId="77777777" w:rsidR="0051709D" w:rsidRPr="004D4843" w:rsidRDefault="0051709D" w:rsidP="0051709D">
      <w:pPr>
        <w:pStyle w:val="NormalHanging12a"/>
      </w:pPr>
      <w:r w:rsidRPr="004D4843">
        <w:t>15.</w:t>
      </w:r>
      <w:r w:rsidRPr="004D4843">
        <w:tab/>
        <w:t>Europaparlamentet bekräftar att EU stöder den politiska och socioekonomiska återuppbyggnaden av Libanon, och betonar vikten av samarbete mellan EU och Saudiarabien för genomförandet av FN:s säkerhetsråds resolution 1701 (2006) och stödet till den libanesiska försvarsmakten. Parlamentet välkomnar den libanesiska regeringens insatser och uppmanar till nedrustning av Hizbollah. Parlamentet upprepar vikten av att alla länder i regionen respekterar Libanons suveränitet och territoriella integritet, och uppmanar samtidigt alla parter att skydda de fredsbevarande styrkorna i FN:s interimsstyrka i Libanon (Unifil).</w:t>
      </w:r>
    </w:p>
    <w:p w14:paraId="7866133A" w14:textId="77777777" w:rsidR="0051709D" w:rsidRPr="004D4843" w:rsidRDefault="0051709D" w:rsidP="0051709D">
      <w:pPr>
        <w:pStyle w:val="NormalHanging12a"/>
      </w:pPr>
      <w:r w:rsidRPr="004D4843">
        <w:t>16.</w:t>
      </w:r>
      <w:r w:rsidRPr="004D4843">
        <w:tab/>
        <w:t>Europaparlamentet erkänner Saudiarabiens konstruktiva roll mot bakgrund av de rådande spänningarna i regionen, det ökade samarbetet mellan Saudiarabien och Förenade Arabemiraten och den gradvisa diplomatiska normaliseringen med Iran. Parlamentet framhåller EU:s och Saudiarabiens tillnärmning när det gäller att hålla tillbaka iranska proxyaktörer och bromsa den fortsatta utvecklingen av Irans kärntekniska program.</w:t>
      </w:r>
    </w:p>
    <w:p w14:paraId="7EFC87DC" w14:textId="77777777" w:rsidR="0051709D" w:rsidRPr="004D4843" w:rsidRDefault="0051709D" w:rsidP="0051709D">
      <w:pPr>
        <w:pStyle w:val="NormalHanging12a"/>
      </w:pPr>
      <w:r w:rsidRPr="004D4843">
        <w:t>17.</w:t>
      </w:r>
      <w:r w:rsidRPr="004D4843">
        <w:tab/>
        <w:t>Europaparlamentet framhåller att EU och Saudiarabien båda prioriterar att skapa varaktig fred i Jemen, och lovordar Saudiarabiens fortsatta engagemang för att åstadkomma en inkluderande politisk lösning i Jemen. Parlamentet uppmanar Saudiarabien att stödja en gemensam, oberoende internationell mekanism för att utreda de kränkningar av internationell humanitär rätt som begicks i Jemen mellan 2015 och 2022. Parlamentet uppmuntrar till en ökning av EU:s och Saudiarabiens humanitära bistånd till Jemen och gemensamma insatser av båda parter för att förhindra att biståndsarbetare blir måltavlor.</w:t>
      </w:r>
    </w:p>
    <w:p w14:paraId="38F5036D" w14:textId="77777777" w:rsidR="0051709D" w:rsidRPr="004D4843" w:rsidRDefault="0051709D" w:rsidP="0051709D">
      <w:pPr>
        <w:pStyle w:val="NormalHanging12a"/>
      </w:pPr>
      <w:r w:rsidRPr="004D4843">
        <w:t>18.</w:t>
      </w:r>
      <w:r w:rsidRPr="004D4843">
        <w:tab/>
        <w:t>Europaparlamentet välkomnar de FN-ledda samtal som hölls i Riyadh i januari 2025 för att slå fast en färdplan för inkluderande fred i Jemen, där framsteg gjordes i fråga om tidslinjen för huthiernas nedrustning. Parlamentet konstaterar att Saudiarabiens ekonomiska bistånd förblir avgörande.</w:t>
      </w:r>
    </w:p>
    <w:p w14:paraId="2A9133DB" w14:textId="77777777" w:rsidR="0051709D" w:rsidRPr="004D4843" w:rsidRDefault="0051709D" w:rsidP="0051709D">
      <w:pPr>
        <w:pStyle w:val="NormalHanging12a"/>
      </w:pPr>
      <w:r w:rsidRPr="004D4843">
        <w:t>19.</w:t>
      </w:r>
      <w:r w:rsidRPr="004D4843">
        <w:tab/>
        <w:t>Europaparlamentet betonar EU:s orubbliga åtagande att säkerställa att farleder och internationella navigationsrättigheter i Röda havet skyddas. Parlamentet framhåller Saudiarabiens engagemang för sjöfartsskydd, och efterlyser ett närmare politiskt samarbete och underrättelsesamarbete med EU:s sjöfartsskyddsinsats Eunavfor Aspides och med EU-medlemsstaterna i allmänhet.</w:t>
      </w:r>
    </w:p>
    <w:p w14:paraId="1F7F286F" w14:textId="77777777" w:rsidR="0051709D" w:rsidRPr="004D4843" w:rsidRDefault="0051709D" w:rsidP="0051709D">
      <w:pPr>
        <w:pStyle w:val="NormalHanging12a"/>
      </w:pPr>
      <w:r w:rsidRPr="004D4843">
        <w:t>20.</w:t>
      </w:r>
      <w:r w:rsidRPr="004D4843">
        <w:tab/>
        <w:t>Europaparlamentet välkomnar Saudiarabiens engagemang när det gäller värdskapet för förhandlingarna om en vapenvila i Ukraina. Parlamentet uppmanar eftertryckligen Saudiarabien att samarbeta närmare med sina partner för att stödja sanktionerna mot Ryska federationen och vidta åtgärder för att sätta stopp för den ryska skuggflottans verksamhet.</w:t>
      </w:r>
    </w:p>
    <w:p w14:paraId="6C3EF5ED" w14:textId="77777777" w:rsidR="0051709D" w:rsidRPr="004D4843" w:rsidRDefault="0051709D" w:rsidP="0051709D">
      <w:pPr>
        <w:pStyle w:val="NormalHanging12a"/>
      </w:pPr>
      <w:r w:rsidRPr="004D4843">
        <w:t>21.</w:t>
      </w:r>
      <w:r w:rsidRPr="004D4843">
        <w:tab/>
        <w:t>Europaparlamentet noterar Saudiarabiens åtagande om investeringar på 600 miljarder US-dollar i Förenta staterna, inbegripet ett försvarsavtal och ett strategiskt samarbete om ny teknik.</w:t>
      </w:r>
    </w:p>
    <w:p w14:paraId="466D6980" w14:textId="77777777" w:rsidR="0051709D" w:rsidRPr="004D4843" w:rsidRDefault="0051709D" w:rsidP="0051709D">
      <w:pPr>
        <w:pStyle w:val="NormalHanging12a"/>
      </w:pPr>
      <w:r w:rsidRPr="004D4843">
        <w:t>22.</w:t>
      </w:r>
      <w:r w:rsidRPr="004D4843">
        <w:tab/>
        <w:t xml:space="preserve">Europaparlamentet noterar Saudiarabiens roll i att främja multilateralt samarbete, inbegripet genom landets ökade diplomatiska förbindelser i Afrika, särskilt Sahel, och </w:t>
      </w:r>
      <w:r w:rsidRPr="004D4843">
        <w:lastRenderedPageBreak/>
        <w:t>Asien. Parlamentet efterlyser närmare samordning mellan EU och Saudiarabien kring energisamarbete, regionsöverskridande infrastrukturutveckling, kapacitetsuppbyggnad, utveckling av humankapital, finansieringsinstrument och investeringsmekanismer på hela den afrikanska kontinenten. Parlamentet framhåller vikten av att integrera saudiarabiskledda projekt i EU-ramar såsom initiativet Global Gateway.</w:t>
      </w:r>
    </w:p>
    <w:p w14:paraId="6E753C9F" w14:textId="77777777" w:rsidR="0051709D" w:rsidRPr="004D4843" w:rsidRDefault="0051709D" w:rsidP="0051709D">
      <w:pPr>
        <w:pStyle w:val="NormalHanging12a"/>
      </w:pPr>
      <w:r w:rsidRPr="004D4843">
        <w:t>23.</w:t>
      </w:r>
      <w:r w:rsidRPr="004D4843">
        <w:tab/>
        <w:t>Europaparlamentet noterar att Saudiarabien formellt har bjudits in att ansluta sig till Briks-länderna. Parlamentet noterar att Saudiarabiens kontakter med Briks-länderna speglar en trend mot diversifierade allianser. Parlamentet uppmanar EU att samarbeta konstruktivt med Saudiarabien i multilaterala forum för att skydda ömsesidiga handels- och investeringsintressen.</w:t>
      </w:r>
    </w:p>
    <w:p w14:paraId="22A399E6" w14:textId="77777777" w:rsidR="0051709D" w:rsidRPr="004D4843" w:rsidRDefault="0051709D" w:rsidP="0051709D">
      <w:pPr>
        <w:pStyle w:val="NormalHanging12a"/>
      </w:pPr>
      <w:r w:rsidRPr="004D4843">
        <w:t>24.</w:t>
      </w:r>
      <w:r w:rsidRPr="004D4843">
        <w:tab/>
        <w:t>Europaparlamentet noterar att de bilaterala förbindelserna mellan Saudiarabien och Turkiet har stärkts, särskilt på säkerhets- och försvarsområdet. Parlamentet uppmanar Saudiarabien att dra nytta av dessa förbindelser för att förmå Turkiet att bidra konstruktivt till fredsprocessen i Mellanöstern genom att erkänna Hamas som terrororganisation och avbryta politiskt, ekonomiskt och logistiskt stöd.</w:t>
      </w:r>
    </w:p>
    <w:p w14:paraId="7953C306" w14:textId="77777777" w:rsidR="0051709D" w:rsidRPr="004D4843" w:rsidRDefault="0051709D" w:rsidP="0051709D">
      <w:pPr>
        <w:pStyle w:val="NormalHanging12a"/>
      </w:pPr>
      <w:r w:rsidRPr="004D4843">
        <w:t>25.</w:t>
      </w:r>
      <w:r w:rsidRPr="004D4843">
        <w:tab/>
        <w:t>Europaparlamentet välkomnar Saudiarabiens konsekventa hållning att klassificera Muslimska brödraskapet som en terroristorganisation, och EU och medlemsstaterna uppmanas att följa landets exempel och betrakta Muslimska brödraskapet som en terroristorganisation.</w:t>
      </w:r>
    </w:p>
    <w:p w14:paraId="1D6DBF68" w14:textId="77777777" w:rsidR="0051709D" w:rsidRPr="004D4843" w:rsidRDefault="0051709D" w:rsidP="0051709D">
      <w:pPr>
        <w:pStyle w:val="Normal12a"/>
      </w:pPr>
      <w:r w:rsidRPr="004D4843">
        <w:rPr>
          <w:b/>
          <w:i/>
        </w:rPr>
        <w:t>Saudiarabiens socioekonomiska omställning och EU:s möjligheter</w:t>
      </w:r>
    </w:p>
    <w:p w14:paraId="1654C6EF" w14:textId="77777777" w:rsidR="0051709D" w:rsidRPr="004D4843" w:rsidRDefault="0051709D" w:rsidP="0051709D">
      <w:pPr>
        <w:pStyle w:val="NormalHanging12a"/>
      </w:pPr>
      <w:r w:rsidRPr="004D4843">
        <w:t>26.</w:t>
      </w:r>
      <w:r w:rsidRPr="004D4843">
        <w:tab/>
        <w:t>Europaparlamentet välkomnar Saudiarabiens ambitiösa Vision 2030-planer, som består av omfattande socioekonomiska reformer vars syfte är att modernisera landet och dess institutioner samt att diversifiera ekonomin.</w:t>
      </w:r>
    </w:p>
    <w:p w14:paraId="4D60839C" w14:textId="77777777" w:rsidR="0051709D" w:rsidRPr="004D4843" w:rsidRDefault="0051709D" w:rsidP="0051709D">
      <w:pPr>
        <w:pStyle w:val="NormalHanging12a"/>
      </w:pPr>
      <w:r w:rsidRPr="004D4843">
        <w:t>27.</w:t>
      </w:r>
      <w:r w:rsidRPr="004D4843">
        <w:tab/>
        <w:t>Europaparlamentet uppmanar Saudiarabien att omforma sitt energilandskap och att som en del av sina planer inom ramen för Vision 2030 ta ett steg i riktning mot förnybar energi och grön vätgas. Parlamentet uppmanar Saudiarabien att fullgöra sina åtaganden enligt Parisavtalet och i överensstämmelse med FN:s expertutlåtande. Parlamentet noterar att EU står redo att samarbeta med sina saudiarabiska motparter om projekt som främjar båda regioners miljömål. Parlamentet framhåller Konungariket Saudiarabiens engagemang för energiomställningen och påminner om att landet utfäst sig att nå nettonollutsläpp senast 2060 och att producera 50 procent av sin el från förnybara energikällor senast 2030. Parlamentet välkomnar i detta sammanhang Saudiarabiens flaggskeppsprojekt att producera fyra miljoner ton förnybar vätgas årligen fram till 2030.</w:t>
      </w:r>
    </w:p>
    <w:p w14:paraId="0AA5C7C6" w14:textId="77777777" w:rsidR="0051709D" w:rsidRPr="004D4843" w:rsidRDefault="0051709D" w:rsidP="0051709D">
      <w:pPr>
        <w:pStyle w:val="NormalHanging12a"/>
      </w:pPr>
      <w:r w:rsidRPr="004D4843">
        <w:t>28.</w:t>
      </w:r>
      <w:r w:rsidRPr="004D4843">
        <w:tab/>
        <w:t>Europaparlamentet framhåller Saudiarabiens roll som en allt viktigare aktör i leveranskedjorna för mineraler och landets ansträngningar att anpassa sig till internationell bästa praxis. Parlamentet betonar att en utvidgning av samarbetet mellan EU och Saudiarabien på detta område är avgörande för att ytterligare konsolidera EU:s strategi för riskminskning i detta avseende och EU:s strävan att diversifiera råvaruförsörjningen.</w:t>
      </w:r>
    </w:p>
    <w:p w14:paraId="14EDB114" w14:textId="77777777" w:rsidR="0051709D" w:rsidRPr="004D4843" w:rsidRDefault="0051709D" w:rsidP="0051709D">
      <w:pPr>
        <w:pStyle w:val="NormalHanging12a"/>
      </w:pPr>
      <w:r w:rsidRPr="004D4843">
        <w:t>29.</w:t>
      </w:r>
      <w:r w:rsidRPr="004D4843">
        <w:tab/>
        <w:t xml:space="preserve">Europaparlamentet konstaterar att Saudiarabien har gjort framsteg när det gäller att åtgärda den höga ungdomsarbetslösheten, som har minskat från 35,01 procent 2006 till </w:t>
      </w:r>
      <w:r w:rsidRPr="004D4843">
        <w:lastRenderedPageBreak/>
        <w:t>16 procent 2023. Parlamentet rekommenderar Saudiarabien att fortsätta prioritera denna fråga.</w:t>
      </w:r>
    </w:p>
    <w:p w14:paraId="7DAEFDF1" w14:textId="77777777" w:rsidR="0051709D" w:rsidRPr="004D4843" w:rsidRDefault="0051709D" w:rsidP="0051709D">
      <w:pPr>
        <w:pStyle w:val="NormalHanging12a"/>
      </w:pPr>
      <w:r w:rsidRPr="004D4843">
        <w:t>30.</w:t>
      </w:r>
      <w:r w:rsidRPr="004D4843">
        <w:tab/>
        <w:t>Europaparlamentet välkomnar de saudiarabiska myndigheternas strategi att öka toleransen och röra sig bort från restriktiv religiös politik. Parlamentet noterar den direkta kopplingen mellan tolerans och hållbar ekonomisk tillväxt och understryker att öppenhet och delaktighet främjar förutsättningarna för innovation, investeringar och sociala framsteg. Parlamentet lovordar de positiva reformer av läroplanerna som genomförts i Saudiarabien, inbegripet i synnerhet avlägsnandet av diskriminerande religiöst innehåll, och uppmuntrar till ytterligare framsteg i detta avseende. Parlamentet uppmuntrar Saudiarabien att fortsätta med dessa reformer.</w:t>
      </w:r>
    </w:p>
    <w:p w14:paraId="3D50F0CD" w14:textId="77777777" w:rsidR="0051709D" w:rsidRPr="004D4843" w:rsidRDefault="0051709D" w:rsidP="0051709D">
      <w:pPr>
        <w:pStyle w:val="NormalHanging12a"/>
      </w:pPr>
      <w:r w:rsidRPr="004D4843">
        <w:t>31.</w:t>
      </w:r>
      <w:r w:rsidRPr="004D4843">
        <w:tab/>
        <w:t>Europaparlamentet framhåller att det har gjorts betydande framsteg i Saudiarabien i fråga om kvinnors arbetskraftsdeltagande, som har ökat till 36 procent, och att kvinnor har getts rätt att framföra fordon och resa utan manligt förmyndarskap. Parlamentet understryker att kvinnors arbetskraftsdeltagande i Saudiarabien mer än fördubblats sedan 2017. Parlamentet noterar att saudiarabiska kvinnor nu äger 45 procent av de små och medelstora företagen och 17 procent av alla företag. Parlamentet anser att denna utveckling återspeglar effekterna av de rättsliga reformer som införts sedan 2018, bland annat upphävandet av körkortsförbudet</w:t>
      </w:r>
      <w:r w:rsidRPr="004D4843">
        <w:rPr>
          <w:rStyle w:val="FootnoteReference"/>
        </w:rPr>
        <w:footnoteReference w:customMarkFollows="1" w:id="6"/>
        <w:t>6</w:t>
      </w:r>
      <w:r w:rsidRPr="004D4843">
        <w:t>, antagandet av en lag mot trakasserier och nya civilståndsregler som höjer minimiåldern för äktenskap till 18 år och stärker kvinnors självständighet. Parlamentet belyser dessa framsteg och uppmuntrar till att hålla igång reformarbetet för att ytterligare främja kvinnors rättigheter och deltagande i det offentliga livet, mot bakgrund av att kvinnor för närvarande utgör 41 procent av den offentliga förvaltningen (inklusive på högre diplomatiska befattningar) och 20 procent av ledamöterna i shurarådet samt att en första arabisk muslimsk kvinna har varit på rymdfärd. Parlamentet noterar att det kvarstår utmaningar dessa framsteg till trots, bland annat med avseende på lagen om personlig status och ojämlikhet mellan män och kvinnor på områden som äktenskap, skilsmässa och vårdnad om barn samt arvs- och egendomsrätt.</w:t>
      </w:r>
    </w:p>
    <w:p w14:paraId="6532B1D3" w14:textId="77777777" w:rsidR="0051709D" w:rsidRPr="004D4843" w:rsidRDefault="0051709D" w:rsidP="0051709D">
      <w:pPr>
        <w:pStyle w:val="NormalHanging12a"/>
      </w:pPr>
      <w:r w:rsidRPr="004D4843">
        <w:t>32.</w:t>
      </w:r>
      <w:r w:rsidRPr="004D4843">
        <w:tab/>
        <w:t>Europaparlamentet noterar att Saudiarabien har inlett en rad ambitiösa infrastrukturprojekt inför värdskapet av Expo 2030 och fotbolls-VM 2034. Parlamentet har förtroende för den saudiarabiska regeringens förmåga att garantera arbetstagarnas rätt till föreningsfrihet, och betonar att farhågor kvarstår när det gäller behandlingen av och rättigheterna för arbetstagare samt dödligheten bland migranter i arbetsplatsrelaterade olyckor i Saudiarabien. Parlamentet erkänner de reformer som införts inom ramen för Saudiarabiens initiativ för arbetsmarknadsreformer, men uppmanar samtidigt Saudiarabien att säkerställa slutförandet av avskaffandet av kafala-sponsorsystemet under 2025 och att garantera arbetstagarnas rätt att strejka och delta i kollektivförhandlingar. Parlamentet förväntar sig att Saudiarabien tar vara på den möjlighet som fotbolls-VM 2034 erbjuder och att landet fortsätter att genomföra reformer fram till dess. Parlamentet uppmanar eftertryckligen Saudiarabien att följa EU:s lagstiftning om tillbörlig aktsamhet och övervakning av rekryteringsföretag för att säkerställa att de står för alla kostnader och avgifter i samband med rekryteringen av arbetstagare och att införa åtgärder för ersättning av olagliga rekryteringsavgifter som arbetstagare har betalat.</w:t>
      </w:r>
    </w:p>
    <w:p w14:paraId="64DCE52F" w14:textId="77777777" w:rsidR="0051709D" w:rsidRPr="004D4843" w:rsidRDefault="0051709D" w:rsidP="0051709D">
      <w:pPr>
        <w:pStyle w:val="NormalHanging12a"/>
      </w:pPr>
      <w:r w:rsidRPr="004D4843">
        <w:lastRenderedPageBreak/>
        <w:t>33.</w:t>
      </w:r>
      <w:r w:rsidRPr="004D4843">
        <w:tab/>
        <w:t>Europaparlamentet ser att det finns möjligheter med och sammanfallande intressen för samarbetet mellan EU och Saudiarabien inom ramen för det strategiska partnerskapet mellan EU och Gulfstaternas samarbetsråd och genom EU:s Global Gateway i fråga om initiativet om den ekonomiska korridoren mellan Indien, Mellanöstern och Europa, som förväntas leda till investeringar i elkablar, undervattenskablar för telekommunikation och datakablar samt rörledningar för förnybar vätgas. Parlamentet undersöker dess potential att sammanlänka EU genom multimodala transportförbindelser. Parlamentet noterar att Förenta staterna deltar. Parlamentet kräver med eftertryck att man tar itu med finansieringsunderskottet för den ekonomiska korridoren mellan Indien, Mellanöstern och Europa genom investeringar från EU, USA och Gulfstaterna och att man främjar hållbar infrastrukturutveckling. Parlamentet betonar den strategiska betydelsen av den ekonomiska korridoren mellan Indien, Mellanöstern och Europa som en omvälvande drivkraft för regional konnektivitet, ekonomisk integration och geopolitiskt samarbete. Parlamentet noterar potentialen att bredda samarbetet om strategisk digital infrastruktur, inbegripet diversifierade och säkra datavägar som förbinder Gulfstaterna och Europa med det gemensamma målet att stärka Europas digitala resiliens, datasäkerhet och konnektivitet med Asien och Afrika. Parlamentet erkänner de pågående insatserna från Europeiska handelskammaren i Saudiarabien (ECCKSA) för att främja samarbete mellan europeiska företag och Saudiarabien om transport- och logistikinfrastruktur i överensstämmelse med EU:s regler om tillbörlig aktsamhet.</w:t>
      </w:r>
    </w:p>
    <w:p w14:paraId="09512DBE" w14:textId="77777777" w:rsidR="0051709D" w:rsidRPr="004D4843" w:rsidRDefault="0051709D" w:rsidP="0051709D">
      <w:pPr>
        <w:pStyle w:val="Normal12a"/>
      </w:pPr>
      <w:r w:rsidRPr="004D4843">
        <w:rPr>
          <w:b/>
          <w:i/>
        </w:rPr>
        <w:t xml:space="preserve">Mänskliga rättigheter </w:t>
      </w:r>
    </w:p>
    <w:p w14:paraId="0A549A8F" w14:textId="77777777" w:rsidR="0051709D" w:rsidRPr="004D4843" w:rsidRDefault="0051709D" w:rsidP="0051709D">
      <w:pPr>
        <w:pStyle w:val="NormalHanging12a"/>
      </w:pPr>
      <w:r w:rsidRPr="004D4843">
        <w:t>34.</w:t>
      </w:r>
      <w:r w:rsidRPr="004D4843">
        <w:tab/>
        <w:t>Europaparlamentet efterlyser ett närmare samarbete mellan EU och Saudiarabien om mänskliga rättigheter. Parlamentet välkomnar människorättsdialogerna mellan EU och Saudiarabien, som hålls under ledning av Saudiarabiens kommission för mänskliga rättigheter och EU:s särskilda representant för mänskliga rättigheter, och den fjärde människorättsdialogen hölls i Riyadh i december 2024. Parlamentet konstaterar att diskussionerna spände över ett brett spektrum av människorättsfrågor, såsom rättigheter för kvinnor och utsatta grupper, rättsstaten, rätten till en rättvis rättegång, dödsstraffet, yttrande-, mötes- och föreningsfriheten, människohandel och ekonomiska, sociala och kulturella rättigheter, men även det bilaterala samarbetet och aktiviteterna mellan EU och Konungariket Saudiarabien i multilaterala människorättsforum. Parlamentet understryker att människorättsdialogerna utgör en mycket viktig plattform för att utbyta perspektiv på mänskliga rättigheter och stärka det multilaterala samarbetet, och betonar att dessa och alla andra av EU:s människorättsdialoger bör syfta till att säkerställa konkreta, mätbara och tidsbestämda framsteg på människorättsområdet, inbegripet människorättsreformer, ett stopp för politik som kränker de mänskliga rättigheterna, säkerställande av ansvarsskyldighet för övergrepp och frigivande av orättmätigt fängslade personer. Parlamentet efterlyser inrättandet av en strukturerad EU-övervakningsmekanism med tydliga riktmärken och tidsfrister, inbegripet uppföljningsåtgärder för att uppmuntra ytterligare framsteg med människorättsreformer. Parlamentet uppmanar eftertryckligen EU och dess medlemsstater att enas om människorättsvillkor tillsammans med Saudiarabien under förhandlingarna av ett bilateralt partnerskapsavtal, inbegripet men inte begränsat till Saudiarabiens ratificering av grundläggande konventioner om mänskliga rättigheter och arbetstagares rättigheter samt frigivning av orättmätigt fängslade personer.</w:t>
      </w:r>
    </w:p>
    <w:p w14:paraId="6ABA0CD4" w14:textId="77777777" w:rsidR="0051709D" w:rsidRPr="004D4843" w:rsidRDefault="0051709D" w:rsidP="0051709D">
      <w:pPr>
        <w:pStyle w:val="NormalHanging12a"/>
      </w:pPr>
      <w:r w:rsidRPr="004D4843">
        <w:t>35.</w:t>
      </w:r>
      <w:r w:rsidRPr="004D4843">
        <w:tab/>
        <w:t xml:space="preserve">Europaparlamentet erkänner de samhällsreformer som Saudiarabien har genomfört, såsom den nya lagen om civila transaktioner, framstegen i fråga om kvinnors egenmakt, </w:t>
      </w:r>
      <w:r w:rsidRPr="004D4843">
        <w:lastRenderedPageBreak/>
        <w:t>arbetet med att utarbeta en strafflag, reformen av kafala-systemet för sponsring av migrerande arbetstagare och genomförandet av nya arbetsrättsliga bestämmelser. Parlamentet noterar dock att Saudiarabiens rättssystem, på grund av att det saknar en kodifierad straffrätt och vilar på brett definierad lagstiftning, står inför utmaningar när det gäller att säkerställa att vissa rättigheter inte kriminaliseras.</w:t>
      </w:r>
    </w:p>
    <w:p w14:paraId="7E8B19A6" w14:textId="77777777" w:rsidR="0051709D" w:rsidRPr="004D4843" w:rsidRDefault="0051709D" w:rsidP="0051709D">
      <w:pPr>
        <w:pStyle w:val="NormalHanging12a"/>
      </w:pPr>
      <w:r w:rsidRPr="004D4843">
        <w:t>36.</w:t>
      </w:r>
      <w:r w:rsidRPr="004D4843">
        <w:tab/>
        <w:t>Europaparlamentet noterar civilsamhällets ökande deltagande i Saudiarabien, som har över 5 400 registrerade sammanslutningar och organisationer, och efterlyser ytterligare åtgärder för att stödja och upprätthålla denna positiva utveckling. Parlamentet uttrycker sin oro över det ökade antalet gripanden av aktivister, företrädare för det civila samhället, intellektuella och människorättsförsvarare som utövar sin rätt till yttrandefrihet, online och offline, i överensstämmelse med internationell människorättslagstiftning. Parlamentet uppmuntrar Saudiarabien att se över sin definition av terrorism i linje med internationella standarder. Parlamentet efterlyser ett omedelbart frigivande av personer som frihetsberövats för att fredligt ha utövat sina rättigheter, särskilt framträdande aktivister, människorättsförsvarare, akademiker och religiösa ledare, och begär att reseförbuden hävs för dem som har frigetts. Parlamentet påminner om sin tilldelning av 2015 års Sacharovpris till den saudiarabiska bloggaren Raif Badawi. Parlamentet uppmanar med kraft Saudiarabien att utöka tillträdet och landsbesöken för ett bredare spektrum av människorättsorganisationer.</w:t>
      </w:r>
    </w:p>
    <w:p w14:paraId="3963E014" w14:textId="77777777" w:rsidR="0051709D" w:rsidRPr="004D4843" w:rsidRDefault="0051709D" w:rsidP="0051709D">
      <w:pPr>
        <w:pStyle w:val="NormalHanging12a"/>
      </w:pPr>
      <w:r w:rsidRPr="004D4843">
        <w:t>37.</w:t>
      </w:r>
      <w:r w:rsidRPr="004D4843">
        <w:tab/>
        <w:t>Europaparlamentet noterar Saudiarabiens människorättsstrategi för fotbolls-VM 2034. Parlamentet bekräftar på nytt att EU står redo att stödja Saudiarabiens pågående reformer i fråga om mänskliga rättigheter och arbetsmarknad samt rättsliga reformer. Parlamentet efterlyser ett stärkt samarbete med FN och Internationella arbetsorganisationen om migrerande arbetstagares rättigheter i en strävan mot ytterligare omfattande och inkluderande arbetsmarknadsreformer i linje med internationella standarder, särskilt inför Expo 2030 och fotbolls-VM 2034, i syfte att säkerställa att alla dödsfall och olyckor bland migrerande arbetstagare – oavsett förmodad orsak, tidpunkt och plats – utreds ordentligt och att avlidna arbetstagares efterlevande får rättvis och snabb ersättning.</w:t>
      </w:r>
    </w:p>
    <w:p w14:paraId="479832F6" w14:textId="77777777" w:rsidR="0051709D" w:rsidRPr="004D4843" w:rsidRDefault="0051709D" w:rsidP="0051709D">
      <w:pPr>
        <w:pStyle w:val="NormalHanging12a"/>
      </w:pPr>
      <w:r w:rsidRPr="004D4843">
        <w:t>38.</w:t>
      </w:r>
      <w:r w:rsidRPr="004D4843">
        <w:tab/>
        <w:t>Europaparlamentet bekräftar på nytt EU:s åtagande att verka för ett fullständigt avskaffande av dödsstraffet, och bekräftar på nytt EU:s principiella åtagande att samarbeta med Saudiarabien i detta syfte. Parlamentet uttrycker sin oro över de eskalerande avrättningarna i Saudiarabien, som 2024 var mer än 345 till antalet, vilket är högre än någonsin. Parlamentet uppmanar Saudiarabien att införa ett moratorium för avrättningar. Parlamentet fördömer den fortsatta tillämpningen av dödsstraff för brott utan dödlig utgång, särskilt narkotikarelaterade brott – vilket utgör en kränkning av den internationella människorättslagstiftningen, enligt vilken tillämpningen av dödsstraffet ska begränsas till endast de ”mest allvarliga brotten” – och det faktum att över hälften av alla som avrättades under 2025, ofta till följd av rättegångar som inte uppfyllde internationella normer för rättvisa rättegångar, var utländska medborgare. Parlamentet efterlyser en avkriminalisering av sexuella handlingar mellan personer av samma kön.</w:t>
      </w:r>
    </w:p>
    <w:p w14:paraId="34E7DD16" w14:textId="77777777" w:rsidR="0051709D" w:rsidRPr="004D4843" w:rsidRDefault="0051709D" w:rsidP="0051709D">
      <w:pPr>
        <w:pStyle w:val="NormalHanging12a"/>
      </w:pPr>
      <w:r w:rsidRPr="004D4843">
        <w:t>39.</w:t>
      </w:r>
      <w:r w:rsidRPr="004D4843">
        <w:tab/>
        <w:t xml:space="preserve">Europaparlamentet beklagar djupt det pågående fängslandet av personer som dömts till döden för brott som de begått som barn, och uppmanar de saudiarabiska myndigheterna att upphäva dessa dödsdomar i enlighet med Saudiarabiens skyldigheter enligt internationell rätt och dess kungliga dekret från april 2020. Parlamentet uppmanar </w:t>
      </w:r>
      <w:r w:rsidRPr="004D4843">
        <w:lastRenderedPageBreak/>
        <w:t>Saudiarabien att omedelbart och villkorslöst frige alla personer som frihetsberövats för att fredligt ha utövat sina mänskliga rättigheter.</w:t>
      </w:r>
    </w:p>
    <w:p w14:paraId="3E19670A" w14:textId="77777777" w:rsidR="0051709D" w:rsidRPr="004D4843" w:rsidRDefault="0051709D" w:rsidP="0051709D">
      <w:pPr>
        <w:pStyle w:val="NormalHanging12a"/>
      </w:pPr>
      <w:r w:rsidRPr="004D4843">
        <w:t>40.</w:t>
      </w:r>
      <w:r w:rsidRPr="004D4843">
        <w:tab/>
        <w:t>Europaparlamentet uppmanar Saudiarabien att ratificera alla grundläggande internationella konventioner om mänskliga rättigheter och arbetstagares rättigheter. Parlamentet uppmuntrar Saudiarabien att se till att all befintlig och ny lagstiftning, inbegripet strafflagen, överensstämmer med internationella människorättsnormer, och understryker vikten av ett nära samarbete med FN-systemet och oberoende civilsamhällesorganisationer.</w:t>
      </w:r>
    </w:p>
    <w:p w14:paraId="6F92C080" w14:textId="77777777" w:rsidR="0051709D" w:rsidRPr="004D4843" w:rsidRDefault="0051709D" w:rsidP="0051709D">
      <w:pPr>
        <w:pStyle w:val="NormalCenter12a"/>
      </w:pPr>
      <w:r w:rsidRPr="004D4843">
        <w:t>°</w:t>
      </w:r>
    </w:p>
    <w:p w14:paraId="6BEFCE7B" w14:textId="77777777" w:rsidR="0051709D" w:rsidRPr="004D4843" w:rsidRDefault="0051709D" w:rsidP="0051709D">
      <w:pPr>
        <w:pStyle w:val="NormalCenter12a"/>
      </w:pPr>
      <w:r w:rsidRPr="004D4843">
        <w:t>°</w:t>
      </w:r>
      <w:r w:rsidRPr="004D4843">
        <w:tab/>
        <w:t>°</w:t>
      </w:r>
    </w:p>
    <w:p w14:paraId="69D138BF" w14:textId="6ECCC396" w:rsidR="004D4843" w:rsidRPr="004D4843" w:rsidRDefault="0051709D" w:rsidP="004D4843">
      <w:pPr>
        <w:pStyle w:val="NormalHanging12a"/>
      </w:pPr>
      <w:r w:rsidRPr="004D4843">
        <w:t>41.</w:t>
      </w:r>
      <w:r w:rsidRPr="004D4843">
        <w:tab/>
        <w:t>Europaparlamentet uppdrar åt talmannen att översända denna resolution till rådet, kommissionen, vice ordföranden för kommissionen/unionens höga representant för utrikes frågor och säkerhetspolitik, Hans Majestät kung Salman bin Abdulaziz al-Saud, kronprins Mohammad bin Salman al-Saud, Konungariket Saudiarabiens regering och shurarådet. Parlamentet begär att denna resolution ska översättas till arabiska.</w:t>
      </w:r>
    </w:p>
    <w:p w14:paraId="02F75EC0" w14:textId="6EDA00B6" w:rsidR="00E365E1" w:rsidRPr="004D4843" w:rsidRDefault="00E365E1" w:rsidP="000C1A4A"/>
    <w:sectPr w:rsidR="00E365E1" w:rsidRPr="004D4843" w:rsidSect="004D48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1A96B" w14:textId="77777777" w:rsidR="000C1A4A" w:rsidRPr="004D4843" w:rsidRDefault="000C1A4A">
      <w:r w:rsidRPr="004D4843">
        <w:separator/>
      </w:r>
    </w:p>
  </w:endnote>
  <w:endnote w:type="continuationSeparator" w:id="0">
    <w:p w14:paraId="3E961189" w14:textId="77777777" w:rsidR="000C1A4A" w:rsidRPr="004D4843" w:rsidRDefault="000C1A4A">
      <w:r w:rsidRPr="004D48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7D2F" w14:textId="77777777" w:rsidR="00064002" w:rsidRPr="004D48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560B" w14:textId="77777777" w:rsidR="00064002" w:rsidRPr="004D48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FC8F" w14:textId="77777777" w:rsidR="00064002" w:rsidRPr="004D48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C264F" w14:textId="77777777" w:rsidR="000C1A4A" w:rsidRPr="004D4843" w:rsidRDefault="000C1A4A">
      <w:r w:rsidRPr="004D4843">
        <w:separator/>
      </w:r>
    </w:p>
  </w:footnote>
  <w:footnote w:type="continuationSeparator" w:id="0">
    <w:p w14:paraId="64F3542D" w14:textId="77777777" w:rsidR="000C1A4A" w:rsidRPr="004D4843" w:rsidRDefault="000C1A4A">
      <w:r w:rsidRPr="004D4843">
        <w:continuationSeparator/>
      </w:r>
    </w:p>
  </w:footnote>
  <w:footnote w:id="1">
    <w:p w14:paraId="76D017AF" w14:textId="66C383B0" w:rsidR="0051709D" w:rsidRPr="000E6CFB" w:rsidRDefault="0051709D" w:rsidP="004D4843">
      <w:pPr>
        <w:pStyle w:val="FootnoteText"/>
        <w:ind w:left="567" w:hanging="567"/>
        <w:rPr>
          <w:sz w:val="24"/>
          <w:lang w:val="fr-BE"/>
        </w:rPr>
      </w:pPr>
      <w:r w:rsidRPr="000E6CFB">
        <w:rPr>
          <w:sz w:val="24"/>
          <w:vertAlign w:val="superscript"/>
          <w:lang w:val="fr-BE"/>
        </w:rPr>
        <w:t>1</w:t>
      </w:r>
      <w:r w:rsidR="004D4843" w:rsidRPr="000E6CFB">
        <w:rPr>
          <w:sz w:val="24"/>
          <w:vertAlign w:val="superscript"/>
          <w:lang w:val="fr-BE"/>
        </w:rPr>
        <w:t xml:space="preserve"> </w:t>
      </w:r>
      <w:r w:rsidR="004D4843" w:rsidRPr="009B1F1A">
        <w:rPr>
          <w:sz w:val="24"/>
          <w:lang w:val="fr-BE"/>
        </w:rPr>
        <w:tab/>
      </w:r>
      <w:r w:rsidRPr="000E6CFB">
        <w:rPr>
          <w:sz w:val="24"/>
          <w:lang w:val="fr-BE"/>
        </w:rPr>
        <w:t>EUT C 345, 16.10.2020, s. 67.</w:t>
      </w:r>
    </w:p>
  </w:footnote>
  <w:footnote w:id="2">
    <w:p w14:paraId="28299514" w14:textId="12BF69F0" w:rsidR="0051709D" w:rsidRPr="000E6CFB" w:rsidRDefault="0051709D" w:rsidP="004D4843">
      <w:pPr>
        <w:pStyle w:val="FootnoteText"/>
        <w:ind w:left="567" w:hanging="567"/>
        <w:rPr>
          <w:sz w:val="24"/>
          <w:lang w:val="fr-BE"/>
        </w:rPr>
      </w:pPr>
      <w:r w:rsidRPr="000E6CFB">
        <w:rPr>
          <w:sz w:val="24"/>
          <w:vertAlign w:val="superscript"/>
          <w:lang w:val="fr-BE"/>
        </w:rPr>
        <w:t>2</w:t>
      </w:r>
      <w:r w:rsidR="004D4843" w:rsidRPr="000E6CFB">
        <w:rPr>
          <w:sz w:val="24"/>
          <w:vertAlign w:val="superscript"/>
          <w:lang w:val="fr-BE"/>
        </w:rPr>
        <w:t xml:space="preserve"> </w:t>
      </w:r>
      <w:r w:rsidR="004D4843" w:rsidRPr="009B1F1A">
        <w:rPr>
          <w:sz w:val="24"/>
          <w:lang w:val="fr-BE"/>
        </w:rPr>
        <w:tab/>
      </w:r>
      <w:r w:rsidRPr="000E6CFB">
        <w:rPr>
          <w:sz w:val="24"/>
          <w:lang w:val="fr-BE"/>
        </w:rPr>
        <w:t>EUT C 465, 17.11.2021, s. 126.</w:t>
      </w:r>
    </w:p>
  </w:footnote>
  <w:footnote w:id="3">
    <w:p w14:paraId="5E48E785" w14:textId="15517942" w:rsidR="0051709D" w:rsidRPr="004D4843" w:rsidRDefault="0051709D" w:rsidP="004D4843">
      <w:pPr>
        <w:pStyle w:val="FootnoteText"/>
        <w:ind w:left="567" w:hanging="567"/>
        <w:rPr>
          <w:sz w:val="24"/>
          <w:lang w:val="sv-SE"/>
        </w:rPr>
      </w:pPr>
      <w:r w:rsidRPr="004D4843">
        <w:rPr>
          <w:sz w:val="24"/>
          <w:vertAlign w:val="superscript"/>
          <w:lang w:val="sv-SE"/>
        </w:rPr>
        <w:t>3</w:t>
      </w:r>
      <w:r w:rsidR="004D4843" w:rsidRPr="004D4843">
        <w:rPr>
          <w:sz w:val="24"/>
          <w:vertAlign w:val="superscript"/>
          <w:lang w:val="sv-SE"/>
        </w:rPr>
        <w:t xml:space="preserve"> </w:t>
      </w:r>
      <w:r w:rsidR="004D4843" w:rsidRPr="009B1F1A">
        <w:rPr>
          <w:sz w:val="24"/>
          <w:lang w:val="sv-SE"/>
        </w:rPr>
        <w:tab/>
      </w:r>
      <w:r w:rsidRPr="004D4843">
        <w:rPr>
          <w:sz w:val="24"/>
          <w:lang w:val="sv-SE"/>
        </w:rPr>
        <w:t>EUT C 99, 1.3.2022, s. 185.</w:t>
      </w:r>
    </w:p>
  </w:footnote>
  <w:footnote w:id="4">
    <w:p w14:paraId="2DE6CF8E" w14:textId="7B03A207" w:rsidR="0051709D" w:rsidRPr="004D4843" w:rsidRDefault="0051709D" w:rsidP="004D4843">
      <w:pPr>
        <w:pStyle w:val="FootnoteText"/>
        <w:ind w:left="567" w:hanging="567"/>
        <w:rPr>
          <w:sz w:val="24"/>
          <w:lang w:val="sv-SE"/>
        </w:rPr>
      </w:pPr>
      <w:r w:rsidRPr="004D4843">
        <w:rPr>
          <w:sz w:val="24"/>
          <w:vertAlign w:val="superscript"/>
          <w:lang w:val="sv-SE"/>
        </w:rPr>
        <w:t>4</w:t>
      </w:r>
      <w:r w:rsidR="004D4843" w:rsidRPr="004D4843">
        <w:rPr>
          <w:sz w:val="24"/>
          <w:vertAlign w:val="superscript"/>
          <w:lang w:val="sv-SE"/>
        </w:rPr>
        <w:t xml:space="preserve"> </w:t>
      </w:r>
      <w:r w:rsidR="004D4843" w:rsidRPr="009B1F1A">
        <w:rPr>
          <w:sz w:val="24"/>
          <w:lang w:val="sv-SE"/>
        </w:rPr>
        <w:tab/>
      </w:r>
      <w:r w:rsidRPr="004D4843">
        <w:rPr>
          <w:sz w:val="24"/>
          <w:lang w:val="sv-SE"/>
        </w:rPr>
        <w:t>Kommissionens genomförandebeslut av den 22 april 2024 om antagande av anpassade regler för utfärdande av viseringar för flera inresor till saudiska medborgare bosatta i Saudiarabien, vilka i Saudiarabien ansökt om visering för kortare vistelse, och om upphävande av kommissionens genomförandebeslut C(2022)8007 (C(2024)2689).</w:t>
      </w:r>
    </w:p>
  </w:footnote>
  <w:footnote w:id="5">
    <w:p w14:paraId="0AB54631" w14:textId="274681B9" w:rsidR="0051709D" w:rsidRPr="004D4843" w:rsidRDefault="0051709D" w:rsidP="004D4843">
      <w:pPr>
        <w:pStyle w:val="FootnoteText"/>
        <w:ind w:left="567" w:hanging="567"/>
        <w:rPr>
          <w:sz w:val="24"/>
          <w:lang w:val="sv-SE"/>
        </w:rPr>
      </w:pPr>
      <w:r w:rsidRPr="004D4843">
        <w:rPr>
          <w:sz w:val="24"/>
          <w:vertAlign w:val="superscript"/>
          <w:lang w:val="sv-SE"/>
        </w:rPr>
        <w:t>5</w:t>
      </w:r>
      <w:r w:rsidR="004D4843" w:rsidRPr="004D4843">
        <w:rPr>
          <w:sz w:val="24"/>
          <w:vertAlign w:val="superscript"/>
          <w:lang w:val="sv-SE"/>
        </w:rPr>
        <w:t xml:space="preserve"> </w:t>
      </w:r>
      <w:r w:rsidR="004D4843" w:rsidRPr="009B1F1A">
        <w:rPr>
          <w:sz w:val="24"/>
          <w:lang w:val="sv-SE"/>
        </w:rPr>
        <w:tab/>
      </w:r>
      <w:r w:rsidRPr="004D4843">
        <w:rPr>
          <w:sz w:val="24"/>
          <w:lang w:val="sv-SE"/>
        </w:rPr>
        <w:t>Antagna texter, P10_TA(2025)0199.</w:t>
      </w:r>
    </w:p>
  </w:footnote>
  <w:footnote w:id="6">
    <w:p w14:paraId="675283D7" w14:textId="254B06FD" w:rsidR="0051709D" w:rsidRPr="004D4843" w:rsidRDefault="0051709D" w:rsidP="004D4843">
      <w:pPr>
        <w:pStyle w:val="FootnoteText"/>
        <w:ind w:left="567" w:hanging="567"/>
        <w:rPr>
          <w:sz w:val="24"/>
          <w:lang w:val="sv-SE"/>
        </w:rPr>
      </w:pPr>
      <w:r w:rsidRPr="004D4843">
        <w:rPr>
          <w:sz w:val="24"/>
          <w:vertAlign w:val="superscript"/>
          <w:lang w:val="sv-SE"/>
        </w:rPr>
        <w:t>6</w:t>
      </w:r>
      <w:r w:rsidR="004D4843" w:rsidRPr="004D4843">
        <w:rPr>
          <w:sz w:val="24"/>
          <w:vertAlign w:val="superscript"/>
          <w:lang w:val="sv-SE"/>
        </w:rPr>
        <w:t xml:space="preserve"> </w:t>
      </w:r>
      <w:r w:rsidR="004D4843" w:rsidRPr="009B1F1A">
        <w:rPr>
          <w:sz w:val="24"/>
          <w:lang w:val="sv-SE"/>
        </w:rPr>
        <w:tab/>
      </w:r>
      <w:r w:rsidRPr="004D4843">
        <w:rPr>
          <w:sz w:val="24"/>
          <w:lang w:val="sv-SE"/>
        </w:rPr>
        <w:t xml:space="preserve">Världsekonomiskt forum, </w:t>
      </w:r>
      <w:r w:rsidRPr="004D4843">
        <w:rPr>
          <w:i/>
          <w:sz w:val="24"/>
          <w:lang w:val="sv-SE"/>
        </w:rPr>
        <w:t xml:space="preserve">Saudi </w:t>
      </w:r>
      <w:proofErr w:type="spellStart"/>
      <w:r w:rsidRPr="004D4843">
        <w:rPr>
          <w:i/>
          <w:sz w:val="24"/>
          <w:lang w:val="sv-SE"/>
        </w:rPr>
        <w:t>women</w:t>
      </w:r>
      <w:proofErr w:type="spellEnd"/>
      <w:r w:rsidRPr="004D4843">
        <w:rPr>
          <w:i/>
          <w:sz w:val="24"/>
          <w:lang w:val="sv-SE"/>
        </w:rPr>
        <w:t xml:space="preserve"> </w:t>
      </w:r>
      <w:proofErr w:type="spellStart"/>
      <w:r w:rsidRPr="004D4843">
        <w:rPr>
          <w:i/>
          <w:sz w:val="24"/>
          <w:lang w:val="sv-SE"/>
        </w:rPr>
        <w:t>are</w:t>
      </w:r>
      <w:proofErr w:type="spellEnd"/>
      <w:r w:rsidRPr="004D4843">
        <w:rPr>
          <w:i/>
          <w:sz w:val="24"/>
          <w:lang w:val="sv-SE"/>
        </w:rPr>
        <w:t xml:space="preserve"> </w:t>
      </w:r>
      <w:proofErr w:type="spellStart"/>
      <w:r w:rsidRPr="004D4843">
        <w:rPr>
          <w:i/>
          <w:sz w:val="24"/>
          <w:lang w:val="sv-SE"/>
        </w:rPr>
        <w:t>now</w:t>
      </w:r>
      <w:proofErr w:type="spellEnd"/>
      <w:r w:rsidRPr="004D4843">
        <w:rPr>
          <w:i/>
          <w:sz w:val="24"/>
          <w:lang w:val="sv-SE"/>
        </w:rPr>
        <w:t xml:space="preserve"> </w:t>
      </w:r>
      <w:proofErr w:type="spellStart"/>
      <w:r w:rsidRPr="004D4843">
        <w:rPr>
          <w:i/>
          <w:sz w:val="24"/>
          <w:lang w:val="sv-SE"/>
        </w:rPr>
        <w:t>lega</w:t>
      </w:r>
      <w:r w:rsidR="00A35145">
        <w:rPr>
          <w:i/>
          <w:sz w:val="24"/>
          <w:lang w:val="sv-SE"/>
        </w:rPr>
        <w:t>l</w:t>
      </w:r>
      <w:r w:rsidRPr="004D4843">
        <w:rPr>
          <w:i/>
          <w:sz w:val="24"/>
          <w:lang w:val="sv-SE"/>
        </w:rPr>
        <w:t>l</w:t>
      </w:r>
      <w:r w:rsidR="00A35145">
        <w:rPr>
          <w:i/>
          <w:sz w:val="24"/>
          <w:lang w:val="sv-SE"/>
        </w:rPr>
        <w:t>y</w:t>
      </w:r>
      <w:proofErr w:type="spellEnd"/>
      <w:r w:rsidRPr="004D4843">
        <w:rPr>
          <w:i/>
          <w:sz w:val="24"/>
          <w:lang w:val="sv-SE"/>
        </w:rPr>
        <w:t xml:space="preserve"> </w:t>
      </w:r>
      <w:proofErr w:type="spellStart"/>
      <w:r w:rsidRPr="004D4843">
        <w:rPr>
          <w:i/>
          <w:sz w:val="24"/>
          <w:lang w:val="sv-SE"/>
        </w:rPr>
        <w:t>allowed</w:t>
      </w:r>
      <w:proofErr w:type="spellEnd"/>
      <w:r w:rsidRPr="004D4843">
        <w:rPr>
          <w:i/>
          <w:sz w:val="24"/>
          <w:lang w:val="sv-SE"/>
        </w:rPr>
        <w:t xml:space="preserve"> to drive</w:t>
      </w:r>
      <w:r w:rsidRPr="004D4843">
        <w:rPr>
          <w:sz w:val="24"/>
          <w:lang w:val="sv-SE"/>
        </w:rPr>
        <w:t>, den 25 juni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3738" w14:textId="77777777" w:rsidR="00064002" w:rsidRPr="004D48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DD54" w14:textId="77777777" w:rsidR="00064002" w:rsidRPr="004D48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BC2C" w14:textId="77777777" w:rsidR="00064002" w:rsidRPr="004D48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6229021">
    <w:abstractNumId w:val="9"/>
  </w:num>
  <w:num w:numId="2" w16cid:durableId="132338213">
    <w:abstractNumId w:val="9"/>
  </w:num>
  <w:num w:numId="3" w16cid:durableId="1020010617">
    <w:abstractNumId w:val="7"/>
  </w:num>
  <w:num w:numId="4" w16cid:durableId="618531705">
    <w:abstractNumId w:val="7"/>
  </w:num>
  <w:num w:numId="5" w16cid:durableId="3554898">
    <w:abstractNumId w:val="6"/>
  </w:num>
  <w:num w:numId="6" w16cid:durableId="1366060118">
    <w:abstractNumId w:val="6"/>
  </w:num>
  <w:num w:numId="7" w16cid:durableId="12343079">
    <w:abstractNumId w:val="5"/>
  </w:num>
  <w:num w:numId="8" w16cid:durableId="452285543">
    <w:abstractNumId w:val="5"/>
  </w:num>
  <w:num w:numId="9" w16cid:durableId="153226839">
    <w:abstractNumId w:val="4"/>
  </w:num>
  <w:num w:numId="10" w16cid:durableId="468479571">
    <w:abstractNumId w:val="4"/>
  </w:num>
  <w:num w:numId="11" w16cid:durableId="557517684">
    <w:abstractNumId w:val="8"/>
  </w:num>
  <w:num w:numId="12" w16cid:durableId="2000959826">
    <w:abstractNumId w:val="8"/>
  </w:num>
  <w:num w:numId="13" w16cid:durableId="976685578">
    <w:abstractNumId w:val="3"/>
  </w:num>
  <w:num w:numId="14" w16cid:durableId="1483737483">
    <w:abstractNumId w:val="3"/>
  </w:num>
  <w:num w:numId="15" w16cid:durableId="1126967820">
    <w:abstractNumId w:val="2"/>
  </w:num>
  <w:num w:numId="16" w16cid:durableId="250890006">
    <w:abstractNumId w:val="2"/>
  </w:num>
  <w:num w:numId="17" w16cid:durableId="1938059686">
    <w:abstractNumId w:val="1"/>
  </w:num>
  <w:num w:numId="18" w16cid:durableId="1311865458">
    <w:abstractNumId w:val="1"/>
  </w:num>
  <w:num w:numId="19" w16cid:durableId="1923174056">
    <w:abstractNumId w:val="0"/>
  </w:num>
  <w:num w:numId="20" w16cid:durableId="649409056">
    <w:abstractNumId w:val="0"/>
  </w:num>
  <w:num w:numId="21" w16cid:durableId="683627981">
    <w:abstractNumId w:val="9"/>
  </w:num>
  <w:num w:numId="22" w16cid:durableId="1352075098">
    <w:abstractNumId w:val="7"/>
  </w:num>
  <w:num w:numId="23" w16cid:durableId="1108813582">
    <w:abstractNumId w:val="6"/>
  </w:num>
  <w:num w:numId="24" w16cid:durableId="651445573">
    <w:abstractNumId w:val="5"/>
  </w:num>
  <w:num w:numId="25" w16cid:durableId="1146823389">
    <w:abstractNumId w:val="4"/>
  </w:num>
  <w:num w:numId="26" w16cid:durableId="1656496055">
    <w:abstractNumId w:val="8"/>
  </w:num>
  <w:num w:numId="27" w16cid:durableId="1637686337">
    <w:abstractNumId w:val="3"/>
  </w:num>
  <w:num w:numId="28" w16cid:durableId="302077237">
    <w:abstractNumId w:val="2"/>
  </w:num>
  <w:num w:numId="29" w16cid:durableId="1546478776">
    <w:abstractNumId w:val="1"/>
  </w:num>
  <w:num w:numId="30" w16cid:durableId="1818303075">
    <w:abstractNumId w:val="0"/>
  </w:num>
  <w:num w:numId="31" w16cid:durableId="238827776">
    <w:abstractNumId w:val="9"/>
  </w:num>
  <w:num w:numId="32" w16cid:durableId="2010862128">
    <w:abstractNumId w:val="7"/>
  </w:num>
  <w:num w:numId="33" w16cid:durableId="215744766">
    <w:abstractNumId w:val="6"/>
  </w:num>
  <w:num w:numId="34" w16cid:durableId="86006223">
    <w:abstractNumId w:val="5"/>
  </w:num>
  <w:num w:numId="35" w16cid:durableId="1773740023">
    <w:abstractNumId w:val="4"/>
  </w:num>
  <w:num w:numId="36" w16cid:durableId="1876499309">
    <w:abstractNumId w:val="8"/>
  </w:num>
  <w:num w:numId="37" w16cid:durableId="815269437">
    <w:abstractNumId w:val="3"/>
  </w:num>
  <w:num w:numId="38" w16cid:durableId="1468470179">
    <w:abstractNumId w:val="2"/>
  </w:num>
  <w:num w:numId="39" w16cid:durableId="737675200">
    <w:abstractNumId w:val="1"/>
  </w:num>
  <w:num w:numId="40" w16cid:durableId="486556447">
    <w:abstractNumId w:val="0"/>
  </w:num>
  <w:num w:numId="41" w16cid:durableId="1686858187">
    <w:abstractNumId w:val="10"/>
  </w:num>
  <w:num w:numId="42" w16cid:durableId="1180507025">
    <w:abstractNumId w:val="10"/>
  </w:num>
  <w:num w:numId="43" w16cid:durableId="1981381869">
    <w:abstractNumId w:val="10"/>
  </w:num>
  <w:num w:numId="44" w16cid:durableId="654378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SV"/>
    <w:docVar w:name="dvnumam" w:val="0"/>
    <w:docVar w:name="dvpe" w:val="775.425"/>
    <w:docVar w:name="dvrapporteur" w:val="Föredragande: "/>
    <w:docVar w:name="dvtitre" w:val="Europaparlamentets resolution av den xx xx 2025 om förbindelserna mellan EU och Saudiarabien(2025/2082(INI))"/>
  </w:docVars>
  <w:rsids>
    <w:rsidRoot w:val="000C1A4A"/>
    <w:rsid w:val="00002272"/>
    <w:rsid w:val="00064002"/>
    <w:rsid w:val="000677B9"/>
    <w:rsid w:val="000831BA"/>
    <w:rsid w:val="000A42CC"/>
    <w:rsid w:val="000A56DF"/>
    <w:rsid w:val="000C1A4A"/>
    <w:rsid w:val="000E6CFB"/>
    <w:rsid w:val="000E7DD9"/>
    <w:rsid w:val="0010095E"/>
    <w:rsid w:val="00105178"/>
    <w:rsid w:val="00125B37"/>
    <w:rsid w:val="00187494"/>
    <w:rsid w:val="001D6F1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843"/>
    <w:rsid w:val="004F3080"/>
    <w:rsid w:val="0050519A"/>
    <w:rsid w:val="005072A1"/>
    <w:rsid w:val="00510346"/>
    <w:rsid w:val="00514517"/>
    <w:rsid w:val="0051709D"/>
    <w:rsid w:val="00545827"/>
    <w:rsid w:val="00560270"/>
    <w:rsid w:val="005C2568"/>
    <w:rsid w:val="005F1B17"/>
    <w:rsid w:val="006037C0"/>
    <w:rsid w:val="006631B6"/>
    <w:rsid w:val="00680577"/>
    <w:rsid w:val="006E4296"/>
    <w:rsid w:val="006F74FA"/>
    <w:rsid w:val="00703214"/>
    <w:rsid w:val="00731ADD"/>
    <w:rsid w:val="00734777"/>
    <w:rsid w:val="007402F7"/>
    <w:rsid w:val="00747932"/>
    <w:rsid w:val="00751A4A"/>
    <w:rsid w:val="00756632"/>
    <w:rsid w:val="00762C74"/>
    <w:rsid w:val="00786EC0"/>
    <w:rsid w:val="007D1690"/>
    <w:rsid w:val="007E22AD"/>
    <w:rsid w:val="00817416"/>
    <w:rsid w:val="00842779"/>
    <w:rsid w:val="00846579"/>
    <w:rsid w:val="00865F67"/>
    <w:rsid w:val="00881A7B"/>
    <w:rsid w:val="008840E5"/>
    <w:rsid w:val="00887B3E"/>
    <w:rsid w:val="008C2AC6"/>
    <w:rsid w:val="00930C23"/>
    <w:rsid w:val="0093193B"/>
    <w:rsid w:val="009509D8"/>
    <w:rsid w:val="00950B64"/>
    <w:rsid w:val="00977EA9"/>
    <w:rsid w:val="00981893"/>
    <w:rsid w:val="009B1F1A"/>
    <w:rsid w:val="00A1687D"/>
    <w:rsid w:val="00A20128"/>
    <w:rsid w:val="00A35145"/>
    <w:rsid w:val="00A43E52"/>
    <w:rsid w:val="00A4678D"/>
    <w:rsid w:val="00A778C7"/>
    <w:rsid w:val="00AB441E"/>
    <w:rsid w:val="00AB6293"/>
    <w:rsid w:val="00AE0928"/>
    <w:rsid w:val="00AF0A3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56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7B0D2"/>
  <w15:chartTrackingRefBased/>
  <w15:docId w15:val="{37282638-6CBB-4332-B3C6-201DD4A6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1709D"/>
    <w:pPr>
      <w:widowControl/>
      <w:spacing w:after="240"/>
    </w:pPr>
    <w:rPr>
      <w:szCs w:val="24"/>
      <w:lang w:eastAsia="en-US"/>
    </w:rPr>
  </w:style>
  <w:style w:type="paragraph" w:customStyle="1" w:styleId="NormalHanging12a">
    <w:name w:val="NormalHanging12a"/>
    <w:basedOn w:val="Normal"/>
    <w:rsid w:val="0051709D"/>
    <w:pPr>
      <w:widowControl/>
      <w:spacing w:after="240"/>
      <w:ind w:left="566" w:hanging="566"/>
    </w:pPr>
    <w:rPr>
      <w:szCs w:val="24"/>
      <w:lang w:eastAsia="en-US"/>
    </w:rPr>
  </w:style>
  <w:style w:type="paragraph" w:customStyle="1" w:styleId="Normal12">
    <w:name w:val="Normal12"/>
    <w:basedOn w:val="Normal"/>
    <w:rsid w:val="0051709D"/>
    <w:pPr>
      <w:widowControl/>
      <w:spacing w:after="240"/>
    </w:pPr>
    <w:rPr>
      <w:szCs w:val="24"/>
      <w:lang w:eastAsia="en-US"/>
    </w:rPr>
  </w:style>
  <w:style w:type="paragraph" w:customStyle="1" w:styleId="NormalHanging">
    <w:name w:val="NormalHanging"/>
    <w:basedOn w:val="Normal"/>
    <w:rsid w:val="0051709D"/>
    <w:pPr>
      <w:widowControl/>
      <w:spacing w:after="240"/>
      <w:ind w:left="566" w:hanging="566"/>
    </w:pPr>
    <w:rPr>
      <w:szCs w:val="24"/>
      <w:lang w:eastAsia="en-US"/>
    </w:rPr>
  </w:style>
  <w:style w:type="paragraph" w:customStyle="1" w:styleId="NormalCenter12a">
    <w:name w:val="NormalCenter12a"/>
    <w:basedOn w:val="Normal"/>
    <w:rsid w:val="0051709D"/>
    <w:pPr>
      <w:widowControl/>
      <w:spacing w:after="240"/>
      <w:jc w:val="center"/>
    </w:pPr>
    <w:rPr>
      <w:szCs w:val="24"/>
      <w:lang w:eastAsia="en-US"/>
    </w:rPr>
  </w:style>
  <w:style w:type="character" w:styleId="Hyperlink">
    <w:name w:val="Hyperlink"/>
    <w:basedOn w:val="DefaultParagraphFont"/>
    <w:rsid w:val="0051709D"/>
    <w:rPr>
      <w:color w:val="0000FF"/>
      <w:u w:val="single"/>
    </w:rPr>
  </w:style>
  <w:style w:type="paragraph" w:styleId="Revision">
    <w:name w:val="Revision"/>
    <w:hidden/>
    <w:uiPriority w:val="99"/>
    <w:semiHidden/>
    <w:rsid w:val="004F3080"/>
    <w:rPr>
      <w:sz w:val="24"/>
      <w:lang w:val="sv-SE"/>
    </w:rPr>
  </w:style>
  <w:style w:type="character" w:styleId="CommentReference">
    <w:name w:val="annotation reference"/>
    <w:basedOn w:val="DefaultParagraphFont"/>
    <w:rsid w:val="00977EA9"/>
    <w:rPr>
      <w:sz w:val="16"/>
      <w:szCs w:val="16"/>
    </w:rPr>
  </w:style>
  <w:style w:type="paragraph" w:styleId="CommentText">
    <w:name w:val="annotation text"/>
    <w:basedOn w:val="Normal"/>
    <w:link w:val="CommentTextChar"/>
    <w:rsid w:val="00977EA9"/>
    <w:rPr>
      <w:sz w:val="20"/>
    </w:rPr>
  </w:style>
  <w:style w:type="character" w:customStyle="1" w:styleId="CommentTextChar">
    <w:name w:val="Comment Text Char"/>
    <w:basedOn w:val="DefaultParagraphFont"/>
    <w:link w:val="CommentText"/>
    <w:rsid w:val="00977EA9"/>
    <w:rPr>
      <w:lang w:val="sv-SE"/>
    </w:rPr>
  </w:style>
  <w:style w:type="paragraph" w:styleId="CommentSubject">
    <w:name w:val="annotation subject"/>
    <w:basedOn w:val="CommentText"/>
    <w:next w:val="CommentText"/>
    <w:link w:val="CommentSubjectChar"/>
    <w:rsid w:val="00977EA9"/>
    <w:rPr>
      <w:b/>
      <w:bCs/>
    </w:rPr>
  </w:style>
  <w:style w:type="character" w:customStyle="1" w:styleId="CommentSubjectChar">
    <w:name w:val="Comment Subject Char"/>
    <w:basedOn w:val="CommentTextChar"/>
    <w:link w:val="CommentSubject"/>
    <w:rsid w:val="00977EA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4908</Words>
  <Characters>27979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2026-01-29T10:34:00Z</dcterms:created>
  <dcterms:modified xsi:type="dcterms:W3CDTF">2026-01-29T10:34:00Z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A10-0230/2025</vt:lpwstr>
  </property>
  <property fmtid="{D5CDD505-2E9C-101B-9397-08002B2CF9AE}" pid="4" name="&lt;Type&gt;">
    <vt:lpwstr>RR</vt:lpwstr>
  </property>
</Properties>
</file>