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6B26" w14:paraId="0788312F" w14:textId="77777777" w:rsidTr="0010095E">
        <w:trPr>
          <w:trHeight w:hRule="exact" w:val="1418"/>
        </w:trPr>
        <w:tc>
          <w:tcPr>
            <w:tcW w:w="6804" w:type="dxa"/>
            <w:shd w:val="clear" w:color="auto" w:fill="auto"/>
            <w:vAlign w:val="center"/>
          </w:tcPr>
          <w:p w14:paraId="4BA775B6" w14:textId="7D4B24FA" w:rsidR="00751A4A" w:rsidRPr="00076B26" w:rsidRDefault="00E51A48" w:rsidP="0010095E">
            <w:pPr>
              <w:pStyle w:val="EPName"/>
            </w:pPr>
            <w:r w:rsidRPr="00076B26">
              <w:t>Европейски</w:t>
            </w:r>
            <w:r w:rsidR="00565B02" w:rsidRPr="00076B26">
              <w:t xml:space="preserve"> парламент</w:t>
            </w:r>
          </w:p>
          <w:p w14:paraId="725BAE11" w14:textId="40F2298A" w:rsidR="00751A4A" w:rsidRPr="00076B26" w:rsidRDefault="005F1B17" w:rsidP="005F1B17">
            <w:pPr>
              <w:pStyle w:val="EPTerm"/>
              <w:rPr>
                <w:rStyle w:val="HideTWBExt"/>
                <w:noProof w:val="0"/>
                <w:vanish w:val="0"/>
                <w:color w:val="auto"/>
              </w:rPr>
            </w:pPr>
            <w:r w:rsidRPr="00076B26">
              <w:t>2024</w:t>
            </w:r>
            <w:r w:rsidR="00E51A48">
              <w:t> – </w:t>
            </w:r>
            <w:r w:rsidR="00817416" w:rsidRPr="00076B26">
              <w:t>202</w:t>
            </w:r>
            <w:r w:rsidRPr="00076B26">
              <w:t>9</w:t>
            </w:r>
          </w:p>
        </w:tc>
        <w:tc>
          <w:tcPr>
            <w:tcW w:w="2268" w:type="dxa"/>
            <w:shd w:val="clear" w:color="auto" w:fill="auto"/>
          </w:tcPr>
          <w:p w14:paraId="4231B20B" w14:textId="77777777" w:rsidR="00751A4A" w:rsidRPr="00076B26" w:rsidRDefault="00187494" w:rsidP="0010095E">
            <w:pPr>
              <w:pStyle w:val="EPLogo"/>
            </w:pPr>
            <w:r w:rsidRPr="00076B26">
              <w:rPr>
                <w:noProof/>
                <w:lang w:eastAsia="ja-JP"/>
              </w:rPr>
              <w:drawing>
                <wp:inline distT="0" distB="0" distL="0" distR="0" wp14:anchorId="603F9A07" wp14:editId="0304DE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D37BBE" w14:textId="77777777" w:rsidR="00D058B8" w:rsidRPr="00076B26" w:rsidRDefault="00D058B8" w:rsidP="004C5D52">
      <w:pPr>
        <w:pStyle w:val="LineTop"/>
      </w:pPr>
    </w:p>
    <w:p w14:paraId="623EED2E" w14:textId="77777777" w:rsidR="00680577" w:rsidRPr="00076B26" w:rsidRDefault="00565B02" w:rsidP="00680577">
      <w:pPr>
        <w:pStyle w:val="EPBodyTA1"/>
      </w:pPr>
      <w:r w:rsidRPr="00076B26">
        <w:t>ПРИЕТИ ТЕКСТОВЕ</w:t>
      </w:r>
    </w:p>
    <w:p w14:paraId="231DF0A7" w14:textId="77777777" w:rsidR="00D058B8" w:rsidRPr="00076B26" w:rsidRDefault="00D058B8" w:rsidP="00D058B8">
      <w:pPr>
        <w:pStyle w:val="LineBottom"/>
      </w:pPr>
    </w:p>
    <w:p w14:paraId="4EA60292" w14:textId="0E8F119C" w:rsidR="00565B02" w:rsidRPr="00076B26" w:rsidRDefault="00565B02" w:rsidP="00565B02">
      <w:pPr>
        <w:pStyle w:val="ATHeading1"/>
      </w:pPr>
      <w:bookmarkStart w:id="0" w:name="TANumber"/>
      <w:r w:rsidRPr="00076B26">
        <w:t>P10_TA(2025)0</w:t>
      </w:r>
      <w:bookmarkEnd w:id="0"/>
      <w:r w:rsidR="00DE622E">
        <w:t>327</w:t>
      </w:r>
    </w:p>
    <w:p w14:paraId="51BD74F4" w14:textId="1508FFEC" w:rsidR="00565B02" w:rsidRPr="00076B26" w:rsidRDefault="00E51A48" w:rsidP="00565B02">
      <w:pPr>
        <w:pStyle w:val="ATHeading2"/>
      </w:pPr>
      <w:bookmarkStart w:id="1" w:name="title"/>
      <w:r>
        <w:t>Г</w:t>
      </w:r>
      <w:r w:rsidR="00565B02" w:rsidRPr="00076B26">
        <w:t>енетично модифицирана царевица NK603</w:t>
      </w:r>
      <w:bookmarkEnd w:id="1"/>
    </w:p>
    <w:p w14:paraId="6C3C8D47" w14:textId="77777777" w:rsidR="00565B02" w:rsidRPr="00076B26" w:rsidRDefault="00565B02" w:rsidP="00565B02">
      <w:pPr>
        <w:rPr>
          <w:i/>
          <w:vanish/>
        </w:rPr>
      </w:pPr>
      <w:r w:rsidRPr="00076B26">
        <w:rPr>
          <w:i/>
        </w:rPr>
        <w:fldChar w:fldCharType="begin"/>
      </w:r>
      <w:r w:rsidRPr="00076B26">
        <w:rPr>
          <w:i/>
        </w:rPr>
        <w:instrText xml:space="preserve"> TC"(</w:instrText>
      </w:r>
      <w:bookmarkStart w:id="2" w:name="DocNumber"/>
      <w:r w:rsidRPr="00076B26">
        <w:rPr>
          <w:i/>
        </w:rPr>
        <w:instrText>B10-0562/2025</w:instrText>
      </w:r>
      <w:bookmarkEnd w:id="2"/>
      <w:r w:rsidRPr="00076B26">
        <w:rPr>
          <w:i/>
        </w:rPr>
        <w:instrText xml:space="preserve">)"\l3 \n&gt; \* MERGEFORMAT </w:instrText>
      </w:r>
      <w:r w:rsidRPr="00076B26">
        <w:rPr>
          <w:i/>
        </w:rPr>
        <w:fldChar w:fldCharType="end"/>
      </w:r>
    </w:p>
    <w:p w14:paraId="6A04D86C" w14:textId="77777777" w:rsidR="00565B02" w:rsidRPr="00076B26" w:rsidRDefault="00565B02" w:rsidP="00565B02">
      <w:pPr>
        <w:rPr>
          <w:vanish/>
        </w:rPr>
      </w:pPr>
      <w:bookmarkStart w:id="3" w:name="PE"/>
      <w:r w:rsidRPr="00076B26">
        <w:rPr>
          <w:vanish/>
        </w:rPr>
        <w:t>PE779.397</w:t>
      </w:r>
      <w:bookmarkEnd w:id="3"/>
    </w:p>
    <w:p w14:paraId="414DD880" w14:textId="33003720" w:rsidR="00565B02" w:rsidRPr="00076B26" w:rsidRDefault="00565B02" w:rsidP="00E51A48">
      <w:pPr>
        <w:pStyle w:val="ATHeading3"/>
      </w:pPr>
      <w:bookmarkStart w:id="4" w:name="Sujet"/>
      <w:r w:rsidRPr="00076B26">
        <w:t xml:space="preserve">Резолюция на Европейския парламент от </w:t>
      </w:r>
      <w:r w:rsidR="00E51A48">
        <w:t>16 декември</w:t>
      </w:r>
      <w:r w:rsidRPr="00076B26">
        <w:t xml:space="preserve">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w:t>
      </w:r>
      <w:bookmarkEnd w:id="4"/>
      <w:r w:rsidRPr="00076B26">
        <w:t xml:space="preserve"> </w:t>
      </w:r>
      <w:bookmarkStart w:id="5" w:name="References"/>
      <w:r w:rsidRPr="00076B26">
        <w:t>(D110123/02 – 2025/2958(RSP))</w:t>
      </w:r>
      <w:bookmarkEnd w:id="5"/>
    </w:p>
    <w:p w14:paraId="1AC56097" w14:textId="77777777" w:rsidR="00E42589" w:rsidRPr="00076B26" w:rsidRDefault="00E42589" w:rsidP="00E42589">
      <w:pPr>
        <w:pStyle w:val="EPComma"/>
      </w:pPr>
      <w:bookmarkStart w:id="6" w:name="TextBodyBegin"/>
      <w:bookmarkEnd w:id="6"/>
      <w:r w:rsidRPr="00076B26">
        <w:rPr>
          <w:i/>
          <w:iCs/>
        </w:rPr>
        <w:t>Европейският парламент</w:t>
      </w:r>
      <w:r w:rsidRPr="00076B26">
        <w:t>,</w:t>
      </w:r>
    </w:p>
    <w:p w14:paraId="21174112" w14:textId="77777777" w:rsidR="00E42589" w:rsidRPr="00076B26" w:rsidRDefault="00E42589" w:rsidP="00E42589">
      <w:pPr>
        <w:pStyle w:val="NormalHanging12a"/>
      </w:pPr>
      <w:r w:rsidRPr="00076B26">
        <w:t>–</w:t>
      </w:r>
      <w:r w:rsidRPr="00076B26">
        <w:tab/>
        <w:t>като взе предвид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(D110123/02),</w:t>
      </w:r>
    </w:p>
    <w:p w14:paraId="14281C91" w14:textId="77777777" w:rsidR="00E42589" w:rsidRPr="00076B26" w:rsidRDefault="00E42589" w:rsidP="00E42589">
      <w:pPr>
        <w:pStyle w:val="NormalHanging12a"/>
      </w:pPr>
      <w:r w:rsidRPr="00076B26">
        <w:t>–</w:t>
      </w:r>
      <w:r w:rsidRPr="00076B26">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076B26">
        <w:rPr>
          <w:vertAlign w:val="superscript"/>
        </w:rPr>
        <w:footnoteReference w:id="1"/>
      </w:r>
      <w:r w:rsidRPr="00076B26">
        <w:t>, и по-специално член 11, параграф 3 и член 22, параграф 3 от него,</w:t>
      </w:r>
    </w:p>
    <w:p w14:paraId="61DCB606" w14:textId="6A0ECE2D" w:rsidR="00E42589" w:rsidRPr="003177E9" w:rsidRDefault="00E42589" w:rsidP="00E42589">
      <w:pPr>
        <w:pStyle w:val="NormalHanging12a"/>
        <w:rPr>
          <w:lang w:val="ru-RU"/>
        </w:rPr>
      </w:pPr>
      <w:r w:rsidRPr="00076B26">
        <w:t>–</w:t>
      </w:r>
      <w:r w:rsidRPr="00076B26">
        <w:tab/>
        <w:t>като взе предвид гласуването на 14 октомври 2025 г. в Постоянния комитет по растенията, животните, храните и фуражите, посочен в член 35 от Регламент (ЕО) № 1829/2003, при което не беше изразено становище,</w:t>
      </w:r>
      <w:r w:rsidR="00E51A48" w:rsidRPr="003177E9">
        <w:rPr>
          <w:lang w:val="ru-RU"/>
        </w:rPr>
        <w:t xml:space="preserve"> </w:t>
      </w:r>
      <w:r w:rsidR="00E51A48" w:rsidRPr="00E51A48">
        <w:t xml:space="preserve">както и гласуването в Апелативния комитет на </w:t>
      </w:r>
      <w:r w:rsidR="00E51A48" w:rsidRPr="003177E9">
        <w:rPr>
          <w:lang w:val="ru-RU"/>
        </w:rPr>
        <w:t>28</w:t>
      </w:r>
      <w:r w:rsidR="00E51A48" w:rsidRPr="00E51A48">
        <w:t xml:space="preserve"> </w:t>
      </w:r>
      <w:r w:rsidR="00E51A48">
        <w:t>ноември</w:t>
      </w:r>
      <w:r w:rsidR="00E51A48" w:rsidRPr="00E51A48">
        <w:t xml:space="preserve"> 2025 г., при което също не беше изразено становище,</w:t>
      </w:r>
    </w:p>
    <w:p w14:paraId="6B3FEBBA" w14:textId="77777777" w:rsidR="00E42589" w:rsidRPr="00076B26" w:rsidRDefault="00E42589" w:rsidP="00E42589">
      <w:pPr>
        <w:pStyle w:val="NormalHanging12a"/>
        <w:widowControl/>
        <w:rPr>
          <w:szCs w:val="24"/>
        </w:rPr>
      </w:pPr>
      <w:r w:rsidRPr="00076B26">
        <w:t>–</w:t>
      </w:r>
      <w:r w:rsidRPr="00076B26">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076B26">
        <w:rPr>
          <w:rStyle w:val="FootnoteReference"/>
          <w:szCs w:val="24"/>
        </w:rPr>
        <w:footnoteReference w:id="2"/>
      </w:r>
      <w:r w:rsidRPr="00076B26">
        <w:t>,</w:t>
      </w:r>
    </w:p>
    <w:p w14:paraId="0E433FD3" w14:textId="77777777" w:rsidR="00E42589" w:rsidRPr="00076B26" w:rsidRDefault="00E42589" w:rsidP="00E42589">
      <w:pPr>
        <w:pStyle w:val="NormalHanging12a"/>
      </w:pPr>
      <w:r w:rsidRPr="00076B26">
        <w:t>–</w:t>
      </w:r>
      <w:r w:rsidRPr="00076B26">
        <w:tab/>
        <w:t xml:space="preserve">като взе предвид становището, прието от Европейския орган за безопасност на </w:t>
      </w:r>
      <w:r w:rsidRPr="00076B26">
        <w:lastRenderedPageBreak/>
        <w:t>храните (ЕОБХ) на 22 май 2025 г. и публикувано на 20 юни 2025 г.</w:t>
      </w:r>
      <w:r w:rsidRPr="00076B26">
        <w:rPr>
          <w:rStyle w:val="FootnoteReference"/>
        </w:rPr>
        <w:footnoteReference w:id="3"/>
      </w:r>
      <w:r w:rsidRPr="00076B26">
        <w:t>,</w:t>
      </w:r>
    </w:p>
    <w:p w14:paraId="44F441DE" w14:textId="77777777" w:rsidR="00E42589" w:rsidRPr="00076B26" w:rsidRDefault="00E42589" w:rsidP="00E42589">
      <w:pPr>
        <w:pStyle w:val="NormalHanging12a"/>
      </w:pPr>
      <w:r w:rsidRPr="00076B26">
        <w:t>–</w:t>
      </w:r>
      <w:r w:rsidRPr="00076B26">
        <w:tab/>
        <w:t>като взе предвид своите предишни резолюции, с които възразява срещу разрешаването на генетично модифицирани организми (ГМО)</w:t>
      </w:r>
      <w:r w:rsidRPr="00076B26">
        <w:rPr>
          <w:rStyle w:val="FootnoteReference"/>
        </w:rPr>
        <w:footnoteReference w:id="4"/>
      </w:r>
      <w:r w:rsidRPr="00076B26">
        <w:t>,</w:t>
      </w:r>
    </w:p>
    <w:p w14:paraId="698FAEAC" w14:textId="77777777" w:rsidR="00E42589" w:rsidRPr="00076B26" w:rsidRDefault="00E42589" w:rsidP="00E42589">
      <w:pPr>
        <w:pStyle w:val="NormalHanging12a"/>
      </w:pPr>
      <w:r w:rsidRPr="00076B26">
        <w:lastRenderedPageBreak/>
        <w:t>–</w:t>
      </w:r>
      <w:r w:rsidRPr="00076B26">
        <w:tab/>
        <w:t>като взе предвид член 115, параграфи 2 и 3 от своя Правилник за дейността,</w:t>
      </w:r>
    </w:p>
    <w:p w14:paraId="482CF232" w14:textId="77777777" w:rsidR="00E42589" w:rsidRPr="00076B26" w:rsidRDefault="00E42589" w:rsidP="00E42589">
      <w:pPr>
        <w:pStyle w:val="NormalHanging12a"/>
      </w:pPr>
      <w:r w:rsidRPr="00076B26">
        <w:t>–</w:t>
      </w:r>
      <w:r w:rsidRPr="00076B26">
        <w:tab/>
        <w:t>като взе предвид предложението за резолюция на комисията по околна среда, климат и безопасност на храните,</w:t>
      </w:r>
    </w:p>
    <w:p w14:paraId="7F544FB6" w14:textId="77777777" w:rsidR="00E42589" w:rsidRPr="00076B26" w:rsidRDefault="00E42589" w:rsidP="00E42589">
      <w:pPr>
        <w:pStyle w:val="NormalHanging12a"/>
      </w:pPr>
      <w:r w:rsidRPr="00076B26">
        <w:t>А.</w:t>
      </w:r>
      <w:r w:rsidRPr="00076B26">
        <w:tab/>
        <w:t>като има предвид, че с Решение за изпълнение (ЕС) 2015/684</w:t>
      </w:r>
      <w:r w:rsidRPr="00076B26">
        <w:rPr>
          <w:rStyle w:val="FootnoteReference"/>
        </w:rPr>
        <w:footnoteReference w:id="5"/>
      </w:r>
      <w:r w:rsidRPr="00076B26">
        <w:t xml:space="preserve"> на Комисията се разрешава пускането на пазара на храни и фуражи, съдържащи, състоящи се или произведени от генетично модифицирана царевица NK603 („генетично модифицираната царевица“). В обхвата на това разрешение попада също така пускането на пазара на продукти, различни от храни и фуражи, съдържащи или състоящи се от генетично модифицирана царевица NK603, предназначени за същата употреба, както всеки друг вид царевица, с изключение на отглеждане.</w:t>
      </w:r>
    </w:p>
    <w:p w14:paraId="6082FA5E" w14:textId="77777777" w:rsidR="00E42589" w:rsidRPr="00076B26" w:rsidRDefault="00E42589" w:rsidP="00E42589">
      <w:pPr>
        <w:pStyle w:val="NormalHanging12a"/>
      </w:pPr>
      <w:r w:rsidRPr="00076B26">
        <w:t>Б.</w:t>
      </w:r>
      <w:r w:rsidRPr="00076B26">
        <w:tab/>
        <w:t xml:space="preserve">като има предвид, че на 11 март 2024 г. Bayer </w:t>
      </w:r>
      <w:proofErr w:type="spellStart"/>
      <w:r w:rsidRPr="00076B26">
        <w:t>Agriculture</w:t>
      </w:r>
      <w:proofErr w:type="spellEnd"/>
      <w:r w:rsidRPr="00076B26">
        <w:t xml:space="preserve"> B.V., със седалище в Белгия, от името на Bayer </w:t>
      </w:r>
      <w:proofErr w:type="spellStart"/>
      <w:r w:rsidRPr="00076B26">
        <w:t>CropScience</w:t>
      </w:r>
      <w:proofErr w:type="spellEnd"/>
      <w:r w:rsidRPr="00076B26">
        <w:t xml:space="preserve"> LP, със седалище в Съединените щати, подаде заявление до Комисията, в съответствие с членове 11 и 23 от Регламент (ЕО) № 1829/2003, за подновяване на това разрешение;</w:t>
      </w:r>
    </w:p>
    <w:p w14:paraId="1BCBCEBA" w14:textId="77777777" w:rsidR="00E42589" w:rsidRPr="00076B26" w:rsidRDefault="00E42589" w:rsidP="00E42589">
      <w:pPr>
        <w:pStyle w:val="NormalHanging12a"/>
      </w:pPr>
      <w:r w:rsidRPr="00076B26">
        <w:rPr>
          <w:color w:val="000000"/>
        </w:rPr>
        <w:t>В.</w:t>
      </w:r>
      <w:r w:rsidRPr="00076B26">
        <w:rPr>
          <w:color w:val="000000"/>
        </w:rPr>
        <w:tab/>
      </w:r>
      <w:r w:rsidRPr="00076B26">
        <w:t xml:space="preserve">като има предвид, че на 20 юни 2025 г. ЕОБХ издаде положително научно становище относно генетично модифицираната царевица в съответствие с членове 6 и 18 от Регламент (ЕО) № 1829/2003, в което стигна до заключението, че заявлението за подновяване не съдържа доказателства за никакви нови опасности, </w:t>
      </w:r>
      <w:r w:rsidRPr="00076B26">
        <w:lastRenderedPageBreak/>
        <w:t>модифицирана експозиция или научна несигурност, които да променят заключенията на първоначалната оценка на риска по отношение на генетично модифицираната царевица, приета от ЕОБХ през 2009 г.</w:t>
      </w:r>
      <w:r w:rsidRPr="00076B26">
        <w:rPr>
          <w:rStyle w:val="FootnoteReference"/>
          <w:szCs w:val="24"/>
        </w:rPr>
        <w:footnoteReference w:id="6"/>
      </w:r>
      <w:r w:rsidRPr="00076B26">
        <w:t>; като има предвид, че в тези становища не са разгледани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14:paraId="74C68298" w14:textId="77777777" w:rsidR="00E42589" w:rsidRPr="00076B26" w:rsidRDefault="00E42589" w:rsidP="00E42589">
      <w:pPr>
        <w:pStyle w:val="NormalHanging12a"/>
      </w:pPr>
      <w:r w:rsidRPr="00076B26">
        <w:t>Г.</w:t>
      </w:r>
      <w:r w:rsidRPr="00076B26">
        <w:tab/>
        <w:t xml:space="preserve">като има предвид, че генетично модифицираната царевица е разработена така, че да придава поносимост към </w:t>
      </w:r>
      <w:proofErr w:type="spellStart"/>
      <w:r w:rsidRPr="00076B26">
        <w:t>глифосата</w:t>
      </w:r>
      <w:proofErr w:type="spellEnd"/>
      <w:r w:rsidRPr="00076B26">
        <w:t xml:space="preserve">; </w:t>
      </w:r>
    </w:p>
    <w:p w14:paraId="7E8CF6ED" w14:textId="77777777" w:rsidR="00E42589" w:rsidRPr="00076B26" w:rsidRDefault="00E42589" w:rsidP="00E42589">
      <w:pPr>
        <w:pStyle w:val="NormalHanging12a"/>
      </w:pPr>
      <w:r w:rsidRPr="00076B26">
        <w:t>Д.</w:t>
      </w:r>
      <w:r w:rsidRPr="00076B26">
        <w:tab/>
        <w:t>като има предвид, че в оценките на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царевица;</w:t>
      </w:r>
    </w:p>
    <w:p w14:paraId="00E9F017" w14:textId="77777777" w:rsidR="00E42589" w:rsidRPr="00076B26" w:rsidRDefault="00E42589" w:rsidP="00E42589">
      <w:pPr>
        <w:pStyle w:val="NormalHanging12a"/>
        <w:rPr>
          <w:color w:val="000000" w:themeColor="text1"/>
          <w:szCs w:val="24"/>
        </w:rPr>
      </w:pPr>
      <w:r w:rsidRPr="00076B26">
        <w:rPr>
          <w:color w:val="000000" w:themeColor="text1"/>
        </w:rPr>
        <w:t>Е.</w:t>
      </w:r>
      <w:r w:rsidRPr="00076B26">
        <w:rPr>
          <w:color w:val="000000" w:themeColor="text1"/>
        </w:rPr>
        <w:tab/>
      </w:r>
      <w:r w:rsidRPr="00076B26">
        <w:t xml:space="preserve">като има предвид, че по-голямата част от генетично модифицираните култури, включително генетично модифицираната царевица,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w:t>
      </w:r>
      <w:r w:rsidRPr="00076B26">
        <w:rPr>
          <w:color w:val="000000" w:themeColor="text1"/>
        </w:rPr>
        <w:t>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sidRPr="00076B26">
        <w:rPr>
          <w:rStyle w:val="FootnoteReference"/>
          <w:color w:val="000000" w:themeColor="text1"/>
          <w:szCs w:val="24"/>
        </w:rPr>
        <w:footnoteReference w:id="7"/>
      </w:r>
      <w:r w:rsidRPr="00076B26">
        <w:rPr>
          <w:color w:val="000000" w:themeColor="text1"/>
        </w:rPr>
        <w:t>;</w:t>
      </w:r>
    </w:p>
    <w:p w14:paraId="29AC5DED" w14:textId="77777777" w:rsidR="00E42589" w:rsidRPr="00076B26" w:rsidRDefault="00E42589" w:rsidP="00E42589">
      <w:pPr>
        <w:spacing w:after="240"/>
        <w:ind w:left="567" w:hanging="567"/>
        <w:rPr>
          <w:szCs w:val="24"/>
        </w:rPr>
      </w:pPr>
      <w:r w:rsidRPr="00076B26">
        <w:t>Ж.</w:t>
      </w:r>
      <w:r w:rsidRPr="00076B26">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е до голяма степен или изцяло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w:t>
      </w:r>
      <w:r w:rsidRPr="00076B26">
        <w:rPr>
          <w:color w:val="000000" w:themeColor="text1"/>
        </w:rPr>
        <w:t xml:space="preserve"> като има предвид, че засилената зависимост от добавъчните хербициди в земеделските стопанства, в които се засажда генетично модифицираната царевица,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w:t>
      </w:r>
      <w:r w:rsidRPr="00076B26">
        <w:rPr>
          <w:color w:val="000000" w:themeColor="text1"/>
        </w:rPr>
        <w:lastRenderedPageBreak/>
        <w:t>своеобразен порочен кръг за земеделските стопани; като има предвид, че вследствие на това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r w:rsidRPr="00076B26">
        <w:rPr>
          <w:rStyle w:val="FootnoteReference"/>
          <w:color w:val="000000" w:themeColor="text1"/>
          <w:szCs w:val="24"/>
        </w:rPr>
        <w:footnoteReference w:id="8"/>
      </w:r>
      <w:r w:rsidRPr="00076B26">
        <w:rPr>
          <w:color w:val="000000" w:themeColor="text1"/>
        </w:rPr>
        <w:t>;</w:t>
      </w:r>
    </w:p>
    <w:p w14:paraId="549C1015" w14:textId="77777777" w:rsidR="00E42589" w:rsidRPr="00076B26" w:rsidRDefault="00E42589" w:rsidP="00E42589">
      <w:pPr>
        <w:pStyle w:val="NormalHanging12a"/>
      </w:pPr>
      <w:r w:rsidRPr="00076B26">
        <w:t>З.</w:t>
      </w:r>
      <w:r w:rsidRPr="00076B26">
        <w:tab/>
        <w:t xml:space="preserve">като има предвид, че остават сериозни неизяснени въпроси относно канцерогенността на </w:t>
      </w:r>
      <w:proofErr w:type="spellStart"/>
      <w:r w:rsidRPr="00076B26">
        <w:t>глифосата</w:t>
      </w:r>
      <w:proofErr w:type="spellEnd"/>
      <w:r w:rsidRPr="00076B26">
        <w:t xml:space="preserve">; като има предвид, че през ноември 2015 г. ЕОБХ заключи, че е малко вероятно </w:t>
      </w:r>
      <w:proofErr w:type="spellStart"/>
      <w:r w:rsidRPr="00076B26">
        <w:t>глифосатът</w:t>
      </w:r>
      <w:proofErr w:type="spellEnd"/>
      <w:r w:rsidRPr="00076B26">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proofErr w:type="spellStart"/>
      <w:r w:rsidRPr="00076B26">
        <w:t>глифосата</w:t>
      </w:r>
      <w:proofErr w:type="spellEnd"/>
      <w:r w:rsidRPr="00076B26">
        <w:t xml:space="preserve"> като вещество, което вероятно е канцерогенно за хората; като има предвид, че редица неотдавнашни рецензирани научни изследвания потвърждават канцерогенния потенциал на </w:t>
      </w:r>
      <w:proofErr w:type="spellStart"/>
      <w:r w:rsidRPr="00076B26">
        <w:t>глифосата</w:t>
      </w:r>
      <w:proofErr w:type="spellEnd"/>
      <w:r w:rsidRPr="00076B26">
        <w:rPr>
          <w:rStyle w:val="FootnoteReference"/>
        </w:rPr>
        <w:footnoteReference w:id="9"/>
      </w:r>
      <w:r w:rsidRPr="00076B26">
        <w:t>;</w:t>
      </w:r>
    </w:p>
    <w:p w14:paraId="0221E9CF" w14:textId="77777777" w:rsidR="00E42589" w:rsidRPr="00076B26" w:rsidRDefault="00E42589" w:rsidP="00E42589">
      <w:pPr>
        <w:pStyle w:val="NormalHanging12a"/>
      </w:pPr>
      <w:r w:rsidRPr="00076B26">
        <w:t>И.</w:t>
      </w:r>
      <w:r w:rsidRPr="00076B26">
        <w:tab/>
        <w:t xml:space="preserve">като има предвид, че рискът от генен поток от царевицата към диви родственици, като например </w:t>
      </w:r>
      <w:proofErr w:type="spellStart"/>
      <w:r w:rsidRPr="00076B26">
        <w:t>теосинт</w:t>
      </w:r>
      <w:proofErr w:type="spellEnd"/>
      <w:r w:rsidRPr="00076B26">
        <w:t xml:space="preserve"> (</w:t>
      </w:r>
      <w:proofErr w:type="spellStart"/>
      <w:r w:rsidRPr="00076B26">
        <w:t>Euchlaena</w:t>
      </w:r>
      <w:proofErr w:type="spellEnd"/>
      <w:r w:rsidRPr="00076B26">
        <w:t xml:space="preserve"> </w:t>
      </w:r>
      <w:proofErr w:type="spellStart"/>
      <w:r w:rsidRPr="00076B26">
        <w:t>mexicana</w:t>
      </w:r>
      <w:proofErr w:type="spellEnd"/>
      <w:r w:rsidRPr="00076B26">
        <w:t>), докладван в Испания и Франция, поражда опасения във връзка с трансгенната устойчивост и въздействието върху околната среда;</w:t>
      </w:r>
    </w:p>
    <w:p w14:paraId="6A1362D8" w14:textId="77777777" w:rsidR="00E42589" w:rsidRPr="00076B26" w:rsidRDefault="00E42589" w:rsidP="00E42589">
      <w:pPr>
        <w:pStyle w:val="NormalHanging12a"/>
      </w:pPr>
      <w:r w:rsidRPr="00076B26">
        <w:t>Й.</w:t>
      </w:r>
      <w:r w:rsidRPr="00076B26">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proofErr w:type="spellStart"/>
      <w:r w:rsidRPr="00076B26">
        <w:t>опрашителите</w:t>
      </w:r>
      <w:proofErr w:type="spellEnd"/>
      <w:r w:rsidRPr="00076B26">
        <w:t xml:space="preserve"> и нецелевите организми продължават да бъдат недостатъчно гарантирани;</w:t>
      </w:r>
    </w:p>
    <w:p w14:paraId="04C3DE9A" w14:textId="77777777" w:rsidR="00E42589" w:rsidRPr="00076B26" w:rsidRDefault="00E42589" w:rsidP="00E42589">
      <w:pPr>
        <w:spacing w:after="240"/>
        <w:ind w:left="567" w:hanging="567"/>
      </w:pPr>
      <w:r w:rsidRPr="00076B26">
        <w:t>К.</w:t>
      </w:r>
      <w:r w:rsidRPr="00076B26">
        <w:tab/>
        <w:t>като има предвид, че принципът на предпазливост, установен в член 191 от Договора за функционирането на Европейския съюз, следва да се прилага при научна несигурност;</w:t>
      </w:r>
    </w:p>
    <w:p w14:paraId="693F742A" w14:textId="77777777" w:rsidR="00E42589" w:rsidRPr="00076B26" w:rsidRDefault="00E42589" w:rsidP="00E42589">
      <w:pPr>
        <w:spacing w:after="240"/>
        <w:ind w:left="567" w:hanging="567"/>
      </w:pPr>
      <w:r w:rsidRPr="00076B26">
        <w:t>Л.</w:t>
      </w:r>
      <w:r w:rsidRPr="00076B26">
        <w:tab/>
        <w:t>като има предвид, че Регламент (ЕО) № 1829/2003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w:t>
      </w:r>
    </w:p>
    <w:p w14:paraId="42584E44" w14:textId="77777777" w:rsidR="00E42589" w:rsidRPr="00076B26" w:rsidRDefault="00E42589" w:rsidP="00E42589">
      <w:pPr>
        <w:pStyle w:val="NormalWeb"/>
        <w:widowControl w:val="0"/>
        <w:spacing w:before="0" w:beforeAutospacing="0" w:after="240" w:afterAutospacing="0"/>
        <w:ind w:left="567" w:hanging="567"/>
      </w:pPr>
      <w:r w:rsidRPr="00076B26">
        <w:t>М.</w:t>
      </w:r>
      <w:r w:rsidRPr="00076B26">
        <w:tab/>
        <w:t xml:space="preserve">като има предвид, че подновяването на разрешението за генетично модифицираната царевица от страна на Съюза не би било в съответствие с </w:t>
      </w:r>
      <w:r w:rsidRPr="00076B26">
        <w:lastRenderedPageBreak/>
        <w:t>международните ангажименти за намаляване на пестицидите</w:t>
      </w:r>
      <w:r w:rsidRPr="00076B26">
        <w:rPr>
          <w:vertAlign w:val="superscript"/>
        </w:rPr>
        <w:footnoteReference w:id="10"/>
      </w:r>
      <w:r w:rsidRPr="00076B26">
        <w:t xml:space="preserve">, като се има предвид повишената експозиция на хората, животните и околната среда на </w:t>
      </w:r>
      <w:proofErr w:type="spellStart"/>
      <w:r w:rsidRPr="00076B26">
        <w:t>глифосат</w:t>
      </w:r>
      <w:proofErr w:type="spellEnd"/>
      <w:r w:rsidRPr="00076B26">
        <w:t xml:space="preserve">, </w:t>
      </w:r>
      <w:proofErr w:type="spellStart"/>
      <w:r w:rsidRPr="00076B26">
        <w:t>дикамба</w:t>
      </w:r>
      <w:proofErr w:type="spellEnd"/>
      <w:r w:rsidRPr="00076B26">
        <w:t xml:space="preserve"> и </w:t>
      </w:r>
      <w:proofErr w:type="spellStart"/>
      <w:r w:rsidRPr="00076B26">
        <w:t>глуфосинат</w:t>
      </w:r>
      <w:proofErr w:type="spellEnd"/>
      <w:r w:rsidRPr="00076B26">
        <w:t xml:space="preserve"> в държавите, в които се отглежда тази устойчива на хербициди генно модифицирана култура, заедно с потенциално сериозните последици за здравето в тази връзка;</w:t>
      </w:r>
    </w:p>
    <w:p w14:paraId="50BF6CD4" w14:textId="77777777" w:rsidR="00E42589" w:rsidRPr="00076B26" w:rsidRDefault="00E42589" w:rsidP="00E42589">
      <w:pPr>
        <w:spacing w:after="240"/>
        <w:ind w:left="567" w:hanging="567"/>
      </w:pPr>
      <w:r w:rsidRPr="00076B26">
        <w:t>Н.</w:t>
      </w:r>
      <w:r w:rsidRPr="00076B26">
        <w:tab/>
        <w:t>като има предвид, че решението за изпълнение на Комисията би продължило да позволява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5ABEF0F5" w14:textId="77777777" w:rsidR="00E42589" w:rsidRPr="00076B26" w:rsidRDefault="00E42589" w:rsidP="00E42589">
      <w:pPr>
        <w:spacing w:after="240"/>
        <w:ind w:left="567" w:hanging="567"/>
      </w:pPr>
      <w:r w:rsidRPr="00076B26">
        <w:t>О.</w:t>
      </w:r>
      <w:r w:rsidRPr="00076B26">
        <w:tab/>
        <w:t>като има предвид, че в заключенията на стратегическия диалог относно бъдещето на селското стопанство в ЕС</w:t>
      </w:r>
      <w:r w:rsidRPr="00076B26">
        <w:rPr>
          <w:rStyle w:val="FootnoteReference"/>
        </w:rPr>
        <w:footnoteReference w:id="11"/>
      </w:r>
      <w:r w:rsidRPr="00076B26">
        <w:t xml:space="preserve"> Комисията се призовава да преразгледа своя подход към достъпа до пазара за вноса и износа на селскостопански хранителни продукти, като се има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и 2024 г.;</w:t>
      </w:r>
    </w:p>
    <w:p w14:paraId="6A2ECF14" w14:textId="77777777" w:rsidR="00E42589" w:rsidRPr="00076B26" w:rsidRDefault="00E42589" w:rsidP="00E42589">
      <w:pPr>
        <w:spacing w:after="240"/>
        <w:ind w:left="567" w:hanging="567"/>
      </w:pPr>
      <w:r w:rsidRPr="00076B26">
        <w:t>П.</w:t>
      </w:r>
      <w:r w:rsidRPr="00076B26">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20CB1792" w14:textId="77777777" w:rsidR="00E42589" w:rsidRPr="00076B26" w:rsidRDefault="00E42589" w:rsidP="00E42589">
      <w:pPr>
        <w:pStyle w:val="NormalWeb"/>
        <w:widowControl w:val="0"/>
        <w:shd w:val="clear" w:color="auto" w:fill="FFFFFF"/>
        <w:spacing w:before="0" w:beforeAutospacing="0" w:after="240" w:afterAutospacing="0"/>
        <w:ind w:left="567" w:hanging="567"/>
        <w:rPr>
          <w:color w:val="000000" w:themeColor="text1"/>
        </w:rPr>
      </w:pPr>
      <w:r w:rsidRPr="00076B26">
        <w:rPr>
          <w:color w:val="000000" w:themeColor="text1"/>
        </w:rPr>
        <w:t>Р.</w:t>
      </w:r>
      <w:r w:rsidRPr="00076B26">
        <w:rPr>
          <w:color w:val="000000" w:themeColor="text1"/>
        </w:rPr>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14:paraId="2A5405B2" w14:textId="77777777" w:rsidR="00E42589" w:rsidRPr="00076B26" w:rsidRDefault="00E42589" w:rsidP="00E42589">
      <w:pPr>
        <w:spacing w:after="240"/>
        <w:ind w:left="567" w:hanging="567"/>
      </w:pPr>
      <w:r w:rsidRPr="00076B26">
        <w:t>С.</w:t>
      </w:r>
      <w:r w:rsidRPr="00076B26">
        <w:tab/>
        <w:t>като има предвид, че подходът „Едно здраве“ изисква да се вземе предвид взаимозависимостта между здравето на хората, животните, растенията и околната среда при оценката на дългосрочната устойчивост и безопасност на ГМО;</w:t>
      </w:r>
    </w:p>
    <w:p w14:paraId="746B4657" w14:textId="77777777" w:rsidR="00E42589" w:rsidRPr="00076B26" w:rsidRDefault="00E42589" w:rsidP="00E42589">
      <w:pPr>
        <w:spacing w:after="240"/>
        <w:ind w:left="567" w:hanging="567"/>
      </w:pPr>
      <w:r w:rsidRPr="00076B26">
        <w:t>1.</w:t>
      </w:r>
      <w:r w:rsidRPr="00076B26">
        <w:tab/>
        <w:t>счита, че проектът на решение за изпълнение на Комисията превишава изпълнителните правомощия, предвидени в Регламент (ЕО) № 1829/2003;</w:t>
      </w:r>
    </w:p>
    <w:p w14:paraId="52767F26" w14:textId="77777777" w:rsidR="00E42589" w:rsidRPr="00076B26" w:rsidRDefault="00E42589" w:rsidP="00E42589">
      <w:pPr>
        <w:spacing w:after="240"/>
        <w:ind w:left="567" w:hanging="567"/>
      </w:pPr>
      <w:r w:rsidRPr="00076B26">
        <w:t>2.</w:t>
      </w:r>
      <w:r w:rsidRPr="00076B26">
        <w:tab/>
        <w:t xml:space="preserve">счита, че проектът на решение за изпълнение на Комисията не е в съответствие с правото на Съюза, тъй като е несъвместим с целта на Регламент (ЕО) № 1829/2003, която в съответствие с общите принципи, </w:t>
      </w:r>
      <w:r w:rsidRPr="00076B26">
        <w:lastRenderedPageBreak/>
        <w:t>определени в Регламент (ЕО) № 178/2002 на Европейския парламент и Съвета</w:t>
      </w:r>
      <w:r w:rsidRPr="00076B26">
        <w:rPr>
          <w:vertAlign w:val="superscript"/>
        </w:rPr>
        <w:footnoteReference w:id="12"/>
      </w:r>
      <w:r w:rsidRPr="00076B26">
        <w:t>, е да се създаде основание за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w:t>
      </w:r>
    </w:p>
    <w:p w14:paraId="26F8C546" w14:textId="77777777" w:rsidR="00E42589" w:rsidRPr="00076B26" w:rsidRDefault="00E42589" w:rsidP="00E42589">
      <w:pPr>
        <w:spacing w:after="240"/>
        <w:ind w:left="567" w:hanging="567"/>
      </w:pPr>
      <w:r w:rsidRPr="00076B26">
        <w:t>3.</w:t>
      </w:r>
      <w:r w:rsidRPr="00076B26">
        <w:tab/>
        <w:t>отправя искане към Комисията да оттегли своето решение за изпълнение;</w:t>
      </w:r>
    </w:p>
    <w:p w14:paraId="30B4DA8F" w14:textId="77777777" w:rsidR="00E42589" w:rsidRPr="00076B26" w:rsidRDefault="00E42589" w:rsidP="00E42589">
      <w:pPr>
        <w:spacing w:after="240"/>
        <w:ind w:left="567" w:hanging="567"/>
      </w:pPr>
      <w:r w:rsidRPr="00076B26">
        <w:t>4.</w:t>
      </w:r>
      <w:r w:rsidRPr="00076B26">
        <w:tab/>
        <w:t>призовава Комисията да не подновява разрешението за генетично модифицираната царевица поради липсата на достатъчно доказателства относно дългосрочните въздействия върху биологичното разнообразие, безопасността на храните, поминъка на земеделските стопани и здравето на животните, в съответствие с подхода „Едно здраве“;</w:t>
      </w:r>
    </w:p>
    <w:p w14:paraId="25316868" w14:textId="77777777" w:rsidR="00E42589" w:rsidRPr="00076B26" w:rsidRDefault="00E42589" w:rsidP="00E42589">
      <w:pPr>
        <w:spacing w:after="240"/>
        <w:ind w:left="567" w:hanging="567"/>
      </w:pPr>
      <w:r w:rsidRPr="00076B26">
        <w:t>5.</w:t>
      </w:r>
      <w:r w:rsidRPr="00076B26">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p>
    <w:p w14:paraId="737F2A0E" w14:textId="77777777" w:rsidR="00E42589" w:rsidRPr="00076B26" w:rsidRDefault="00E42589" w:rsidP="00E42589">
      <w:pPr>
        <w:spacing w:after="240"/>
        <w:ind w:left="567" w:hanging="567"/>
      </w:pPr>
      <w:r w:rsidRPr="00076B26">
        <w:t>6.</w:t>
      </w:r>
      <w:r w:rsidRPr="00076B26">
        <w:tab/>
        <w:t xml:space="preserve">подчертава във връзка с това, че разрешаването на вноса за употреба като храни или фуражи на генетично модифицирани растения, при които е създадена устойчивост на забранени в Съюза хербициди, като например </w:t>
      </w:r>
      <w:proofErr w:type="spellStart"/>
      <w:r w:rsidRPr="00076B26">
        <w:t>глуфосинат</w:t>
      </w:r>
      <w:proofErr w:type="spellEnd"/>
      <w:r w:rsidRPr="00076B26">
        <w:t xml:space="preserve">, е несъвместимо с международните ангажименти на Съюза съгласно, наред с другото, Конвенцията на Организацията на обединените нации (ООН) за биологичното разнообразие и целите на ООН за устойчиво развитие, включително рамката Кунмин – Монреал, и че то създава </w:t>
      </w:r>
      <w:proofErr w:type="spellStart"/>
      <w:r w:rsidRPr="00076B26">
        <w:t>неравнопоставени</w:t>
      </w:r>
      <w:proofErr w:type="spellEnd"/>
      <w:r w:rsidRPr="00076B26">
        <w:t xml:space="preserve"> условия на конкуренция за земеделските стопани в Съюза;</w:t>
      </w:r>
    </w:p>
    <w:p w14:paraId="707D57D7" w14:textId="167CE062" w:rsidR="00076B26" w:rsidRPr="00076B26" w:rsidRDefault="00E42589" w:rsidP="00076B26">
      <w:pPr>
        <w:spacing w:after="240"/>
        <w:ind w:left="567" w:hanging="567"/>
      </w:pPr>
      <w:r w:rsidRPr="00076B26">
        <w:t>7.</w:t>
      </w:r>
      <w:r w:rsidRPr="00076B26">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1CDCA2C8" w14:textId="134E2A88" w:rsidR="00E365E1" w:rsidRPr="00076B26" w:rsidRDefault="00E365E1" w:rsidP="00565B02"/>
    <w:sectPr w:rsidR="00E365E1" w:rsidRPr="00076B26" w:rsidSect="00076B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714C7" w14:textId="77777777" w:rsidR="00565B02" w:rsidRPr="00076B26" w:rsidRDefault="00565B02">
      <w:r w:rsidRPr="00076B26">
        <w:separator/>
      </w:r>
    </w:p>
  </w:endnote>
  <w:endnote w:type="continuationSeparator" w:id="0">
    <w:p w14:paraId="5328BEDD" w14:textId="77777777" w:rsidR="00565B02" w:rsidRPr="00076B26" w:rsidRDefault="00565B02">
      <w:r w:rsidRPr="00076B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A1F0" w14:textId="77777777" w:rsidR="00064002" w:rsidRPr="00076B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0587C" w14:textId="77777777" w:rsidR="00064002" w:rsidRPr="00076B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B592" w14:textId="77777777" w:rsidR="00064002" w:rsidRPr="00076B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84CF8" w14:textId="77777777" w:rsidR="00565B02" w:rsidRPr="00076B26" w:rsidRDefault="00565B02">
      <w:r w:rsidRPr="00076B26">
        <w:separator/>
      </w:r>
    </w:p>
  </w:footnote>
  <w:footnote w:type="continuationSeparator" w:id="0">
    <w:p w14:paraId="13F1E1C4" w14:textId="77777777" w:rsidR="00565B02" w:rsidRPr="00076B26" w:rsidRDefault="00565B02">
      <w:r w:rsidRPr="00076B26">
        <w:continuationSeparator/>
      </w:r>
    </w:p>
  </w:footnote>
  <w:footnote w:id="1">
    <w:p w14:paraId="0482B47C" w14:textId="021FFA26" w:rsidR="00E42589" w:rsidRPr="00076B26" w:rsidRDefault="00E42589" w:rsidP="00076B26">
      <w:pPr>
        <w:pStyle w:val="FootnoteText"/>
        <w:suppressAutoHyphens/>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ОВ L 268, 18.10.2003 г., стр. 1, ELI: </w:t>
      </w:r>
      <w:hyperlink r:id="rId1" w:tooltip="Предоставя достъп до този документ чрез неговия URI в ELI." w:history="1">
        <w:r w:rsidRPr="00076B26">
          <w:rPr>
            <w:rStyle w:val="Hyperlink"/>
            <w:sz w:val="24"/>
            <w:lang w:val="bg-BG"/>
          </w:rPr>
          <w:t>http://data.europa.eu/eli/reg/2003/1829/oj</w:t>
        </w:r>
      </w:hyperlink>
      <w:r w:rsidRPr="00076B26">
        <w:rPr>
          <w:color w:val="0563C1" w:themeColor="hyperlink"/>
          <w:sz w:val="24"/>
          <w:u w:val="single"/>
          <w:lang w:val="bg-BG"/>
        </w:rPr>
        <w:t>.</w:t>
      </w:r>
    </w:p>
  </w:footnote>
  <w:footnote w:id="2">
    <w:p w14:paraId="2552A33C" w14:textId="1CBD7A57" w:rsidR="00E42589" w:rsidRPr="00076B26" w:rsidRDefault="00E42589" w:rsidP="00076B26">
      <w:pPr>
        <w:pStyle w:val="FootnoteText"/>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 xml:space="preserve">ОВ L 55, 28.2.2011 г., стр. </w:t>
      </w:r>
      <w:r w:rsidRPr="00076B26">
        <w:rPr>
          <w:sz w:val="24"/>
          <w:lang w:val="bg-BG"/>
        </w:rPr>
        <w:t xml:space="preserve">13, ELI: </w:t>
      </w:r>
      <w:hyperlink r:id="rId2" w:history="1">
        <w:r w:rsidRPr="00076B26">
          <w:rPr>
            <w:rStyle w:val="Hyperlink"/>
            <w:sz w:val="24"/>
            <w:lang w:val="bg-BG"/>
          </w:rPr>
          <w:t>http://data.europa.eu/eli/reg/2011/182/oj</w:t>
        </w:r>
      </w:hyperlink>
      <w:r w:rsidRPr="00076B26">
        <w:rPr>
          <w:sz w:val="24"/>
          <w:lang w:val="bg-BG"/>
        </w:rPr>
        <w:t>.</w:t>
      </w:r>
    </w:p>
  </w:footnote>
  <w:footnote w:id="3">
    <w:p w14:paraId="6E4CF263" w14:textId="4250C7A4" w:rsidR="00E42589" w:rsidRPr="00076B26" w:rsidRDefault="00E42589" w:rsidP="00076B26">
      <w:pPr>
        <w:pStyle w:val="FootnoteText"/>
        <w:suppressAutoHyphens/>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 xml:space="preserve">Научно становище на експертната група на ЕОБХ по генетично модифицирани организми относно оценката на генетично модифицираната царевица NK603 за подновяване на разрешение съгласно Регламент (ЕО) № 1829/2003 (досие GMFF-2023-21250). </w:t>
      </w:r>
      <w:r w:rsidRPr="00076B26">
        <w:rPr>
          <w:sz w:val="24"/>
          <w:lang w:val="bg-BG"/>
        </w:rPr>
        <w:t xml:space="preserve">EFSA </w:t>
      </w:r>
      <w:proofErr w:type="spellStart"/>
      <w:r w:rsidRPr="00076B26">
        <w:rPr>
          <w:sz w:val="24"/>
          <w:lang w:val="bg-BG"/>
        </w:rPr>
        <w:t>Journal</w:t>
      </w:r>
      <w:proofErr w:type="spellEnd"/>
      <w:r w:rsidRPr="00076B26">
        <w:rPr>
          <w:sz w:val="24"/>
          <w:lang w:val="bg-BG"/>
        </w:rPr>
        <w:t xml:space="preserve"> (Бюлетин на ЕОБХ) 2025 г.; 23(6):9505; </w:t>
      </w:r>
      <w:hyperlink r:id="rId3" w:history="1">
        <w:r w:rsidRPr="00076B26">
          <w:rPr>
            <w:rStyle w:val="Hyperlink"/>
            <w:sz w:val="24"/>
            <w:lang w:val="bg-BG"/>
          </w:rPr>
          <w:t>https://doi.org/10.2903/j.efsa.2025.9505</w:t>
        </w:r>
      </w:hyperlink>
      <w:r w:rsidRPr="00076B26">
        <w:rPr>
          <w:rStyle w:val="Hyperlink"/>
          <w:sz w:val="24"/>
          <w:lang w:val="bg-BG"/>
        </w:rPr>
        <w:t>.</w:t>
      </w:r>
    </w:p>
  </w:footnote>
  <w:footnote w:id="4">
    <w:p w14:paraId="18FBA5A5" w14:textId="345FE55A" w:rsidR="00E42589" w:rsidRPr="00076B26" w:rsidRDefault="00E42589" w:rsidP="00076B26">
      <w:pPr>
        <w:pStyle w:val="FootnoteText"/>
        <w:suppressAutoHyphens/>
        <w:ind w:left="567" w:hanging="567"/>
        <w:rPr>
          <w:color w:val="000000" w:themeColor="text1"/>
          <w:sz w:val="24"/>
          <w:vertAlign w:val="superscript"/>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w:t>
      </w:r>
      <w:r w:rsidRPr="00076B26">
        <w:rPr>
          <w:color w:val="000000" w:themeColor="text1"/>
          <w:sz w:val="24"/>
          <w:lang w:val="bg-BG"/>
        </w:rPr>
        <w:t xml:space="preserve"> Освен това през десетия си мандат Парламентът прие следните резолюции:</w:t>
      </w:r>
    </w:p>
    <w:p w14:paraId="090E7127" w14:textId="66E91AE2" w:rsidR="00E42589" w:rsidRPr="00076B26" w:rsidRDefault="00E42589" w:rsidP="00E51A48">
      <w:pPr>
        <w:pStyle w:val="FootnoteText"/>
        <w:suppressAutoHyphens/>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w:t>
      </w:r>
      <w:r w:rsidRPr="00076B26">
        <w:rPr>
          <w:color w:val="000000" w:themeColor="text1"/>
          <w:sz w:val="24"/>
          <w:lang w:val="bg-BG"/>
        </w:rPr>
        <w:t xml:space="preserve">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hyperlink r:id="rId4" w:history="1">
        <w:r w:rsidRPr="00076B26">
          <w:rPr>
            <w:rStyle w:val="Hyperlink"/>
            <w:sz w:val="24"/>
            <w:lang w:val="bg-BG"/>
          </w:rPr>
          <w:t>http://data.europa.eu/eli/C/2025/1797/oj</w:t>
        </w:r>
      </w:hyperlink>
      <w:r w:rsidRPr="00076B26">
        <w:rPr>
          <w:color w:val="000000" w:themeColor="text1"/>
          <w:sz w:val="24"/>
          <w:lang w:val="bg-BG"/>
        </w:rPr>
        <w:t>).</w:t>
      </w:r>
    </w:p>
    <w:p w14:paraId="0A17A037" w14:textId="17B934F5" w:rsidR="00E42589" w:rsidRPr="00076B26" w:rsidRDefault="00E42589" w:rsidP="00E51A48">
      <w:pPr>
        <w:pStyle w:val="FootnoteText"/>
        <w:suppressAutoHyphens/>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Pr="00076B26">
          <w:rPr>
            <w:rStyle w:val="Hyperlink"/>
            <w:sz w:val="24"/>
            <w:lang w:val="bg-BG"/>
          </w:rPr>
          <w:t>http://data.europa.eu/eli/C/2025/1798/oj</w:t>
        </w:r>
      </w:hyperlink>
      <w:r w:rsidRPr="00076B26">
        <w:rPr>
          <w:color w:val="000000" w:themeColor="text1"/>
          <w:sz w:val="24"/>
          <w:lang w:val="bg-BG"/>
        </w:rPr>
        <w:t>).</w:t>
      </w:r>
    </w:p>
    <w:p w14:paraId="476A168D" w14:textId="37316136" w:rsidR="00E42589" w:rsidRPr="00076B26" w:rsidRDefault="00E42589" w:rsidP="004777B0">
      <w:pPr>
        <w:pStyle w:val="FootnoteText"/>
        <w:suppressAutoHyphens/>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89034 × 1507 × MON 88017 × 59122 и осем нейни </w:t>
      </w:r>
      <w:proofErr w:type="spellStart"/>
      <w:r w:rsidRPr="00076B26">
        <w:rPr>
          <w:color w:val="000000" w:themeColor="text1"/>
          <w:sz w:val="24"/>
          <w:lang w:val="bg-BG"/>
        </w:rPr>
        <w:t>подкомбинации</w:t>
      </w:r>
      <w:proofErr w:type="spellEnd"/>
      <w:r w:rsidRPr="00076B26">
        <w:rPr>
          <w:color w:val="000000" w:themeColor="text1"/>
          <w:sz w:val="24"/>
          <w:lang w:val="bg-BG"/>
        </w:rPr>
        <w:t xml:space="preserve">, в съответствие с Регламент (ЕО) № 1829/2003 на Европейския парламент и на Съвета (ОВ C, C/2025/1799, 4.4.2025 г., ELI: </w:t>
      </w:r>
      <w:hyperlink r:id="rId6" w:history="1">
        <w:r w:rsidRPr="00076B26">
          <w:rPr>
            <w:rStyle w:val="Hyperlink"/>
            <w:sz w:val="24"/>
            <w:lang w:val="bg-BG"/>
          </w:rPr>
          <w:t>http://data.europa.eu/eli/C/2025/1799/oj</w:t>
        </w:r>
      </w:hyperlink>
      <w:r w:rsidRPr="00076B26">
        <w:rPr>
          <w:color w:val="000000" w:themeColor="text1"/>
          <w:sz w:val="24"/>
          <w:lang w:val="bg-BG"/>
        </w:rPr>
        <w:t>).</w:t>
      </w:r>
    </w:p>
    <w:p w14:paraId="4BEFFE62" w14:textId="7C6B3605" w:rsidR="00E42589" w:rsidRPr="00076B26" w:rsidRDefault="00E42589" w:rsidP="004777B0">
      <w:pPr>
        <w:pStyle w:val="FootnoteText"/>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или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Pr="00076B26">
          <w:rPr>
            <w:rStyle w:val="Hyperlink"/>
            <w:sz w:val="24"/>
            <w:lang w:val="bg-BG"/>
          </w:rPr>
          <w:t>http://data.europa.eu/eli/C/2025/1800/oj</w:t>
        </w:r>
      </w:hyperlink>
      <w:r w:rsidRPr="00076B26">
        <w:rPr>
          <w:color w:val="000000" w:themeColor="text1"/>
          <w:sz w:val="24"/>
          <w:lang w:val="bg-BG"/>
        </w:rPr>
        <w:t>).</w:t>
      </w:r>
    </w:p>
    <w:p w14:paraId="50FEC34D" w14:textId="3804631D" w:rsidR="00E42589" w:rsidRPr="00076B26" w:rsidRDefault="00E42589" w:rsidP="004777B0">
      <w:pPr>
        <w:pStyle w:val="FootnoteText"/>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Pr="00076B26">
          <w:rPr>
            <w:rStyle w:val="Hyperlink"/>
            <w:sz w:val="24"/>
            <w:lang w:val="bg-BG"/>
          </w:rPr>
          <w:t>http://data.europa.eu/eli/C/2025/1801/oj</w:t>
        </w:r>
      </w:hyperlink>
      <w:r w:rsidRPr="00076B26">
        <w:rPr>
          <w:color w:val="000000" w:themeColor="text1"/>
          <w:sz w:val="24"/>
          <w:lang w:val="bg-BG"/>
        </w:rPr>
        <w:t>).</w:t>
      </w:r>
    </w:p>
    <w:p w14:paraId="589748AC" w14:textId="1B5B2EC6" w:rsidR="00E42589" w:rsidRPr="00076B26" w:rsidRDefault="00E42589" w:rsidP="004777B0">
      <w:pPr>
        <w:pStyle w:val="FootnoteText"/>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съгласно Регламент (ЕО) № 1829/2003 на Европейския парламент и на Съвета (ОВ C, C/2025/1802, 4.4.2025 г., ELI: </w:t>
      </w:r>
      <w:hyperlink r:id="rId9" w:history="1">
        <w:r w:rsidRPr="00076B26">
          <w:rPr>
            <w:rStyle w:val="Hyperlink"/>
            <w:sz w:val="24"/>
            <w:lang w:val="bg-BG"/>
          </w:rPr>
          <w:t>http://data.europa.eu/eli/C/2025/1802/oj</w:t>
        </w:r>
      </w:hyperlink>
      <w:r w:rsidRPr="00076B26">
        <w:rPr>
          <w:color w:val="000000" w:themeColor="text1"/>
          <w:sz w:val="24"/>
          <w:lang w:val="bg-BG"/>
        </w:rPr>
        <w:t>).</w:t>
      </w:r>
    </w:p>
    <w:p w14:paraId="3ECBD74F" w14:textId="141E103D" w:rsidR="00E42589" w:rsidRPr="00076B26" w:rsidRDefault="00E42589" w:rsidP="004777B0">
      <w:pPr>
        <w:pStyle w:val="FootnoteText"/>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Pr="00076B26">
          <w:rPr>
            <w:rStyle w:val="Hyperlink"/>
            <w:sz w:val="24"/>
            <w:lang w:val="bg-BG"/>
          </w:rPr>
          <w:t>http://data.europa.eu/eli/C/2025/1803/oj</w:t>
        </w:r>
      </w:hyperlink>
      <w:r w:rsidRPr="00076B26">
        <w:rPr>
          <w:color w:val="000000" w:themeColor="text1"/>
          <w:sz w:val="24"/>
          <w:lang w:val="bg-BG"/>
        </w:rPr>
        <w:t>).</w:t>
      </w:r>
    </w:p>
    <w:p w14:paraId="2D0FCFF6" w14:textId="6061B160" w:rsidR="00E42589" w:rsidRPr="00076B26" w:rsidRDefault="00E42589" w:rsidP="004777B0">
      <w:pPr>
        <w:pStyle w:val="FootnoteText"/>
        <w:ind w:left="1134" w:hanging="567"/>
        <w:rPr>
          <w:color w:val="000000" w:themeColor="text1"/>
          <w:sz w:val="24"/>
          <w:vertAlign w:val="superscript"/>
          <w:lang w:val="bg-BG"/>
        </w:rPr>
      </w:pPr>
      <w:r w:rsidRPr="00076B26">
        <w:rPr>
          <w:color w:val="000000" w:themeColor="text1"/>
          <w:sz w:val="24"/>
          <w:lang w:val="bg-BG"/>
        </w:rPr>
        <w:t>–</w:t>
      </w:r>
      <w:r w:rsidRPr="00076B26">
        <w:rPr>
          <w:color w:val="000000" w:themeColor="text1"/>
          <w:sz w:val="24"/>
          <w:lang w:val="bg-BG"/>
        </w:rPr>
        <w:tab/>
        <w:t xml:space="preserve">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hyperlink r:id="rId11" w:history="1">
        <w:r w:rsidRPr="00076B26">
          <w:rPr>
            <w:rStyle w:val="Hyperlink"/>
            <w:sz w:val="24"/>
            <w:lang w:val="bg-BG"/>
          </w:rPr>
          <w:t>http://data.europa.eu/eli/C/2025/1804/oj</w:t>
        </w:r>
      </w:hyperlink>
      <w:r w:rsidRPr="00076B26">
        <w:rPr>
          <w:color w:val="000000" w:themeColor="text1"/>
          <w:sz w:val="24"/>
          <w:lang w:val="bg-BG"/>
        </w:rPr>
        <w:t>).</w:t>
      </w:r>
    </w:p>
    <w:p w14:paraId="52A9D72C" w14:textId="1EDE9914" w:rsidR="00E42589" w:rsidRPr="00076B26" w:rsidRDefault="00076B26" w:rsidP="004777B0">
      <w:pPr>
        <w:pStyle w:val="FootnoteText"/>
        <w:ind w:left="1134" w:hanging="567"/>
        <w:rPr>
          <w:sz w:val="24"/>
          <w:vertAlign w:val="superscript"/>
          <w:lang w:val="bg-BG"/>
        </w:rPr>
      </w:pPr>
      <w:r w:rsidRPr="00076B26">
        <w:rPr>
          <w:color w:val="000000" w:themeColor="text1"/>
          <w:sz w:val="24"/>
          <w:lang w:val="bg-BG"/>
        </w:rPr>
        <w:t xml:space="preserve"> </w:t>
      </w:r>
      <w:r w:rsidR="00E42589" w:rsidRPr="00076B26">
        <w:rPr>
          <w:color w:val="000000" w:themeColor="text1"/>
          <w:sz w:val="24"/>
          <w:lang w:val="bg-BG"/>
        </w:rPr>
        <w:t>–</w:t>
      </w:r>
      <w:r w:rsidR="00E42589" w:rsidRPr="00076B26">
        <w:rPr>
          <w:color w:val="000000" w:themeColor="text1"/>
          <w:sz w:val="24"/>
          <w:lang w:val="bg-BG"/>
        </w:rPr>
        <w:tab/>
      </w:r>
      <w:r w:rsidR="00E42589" w:rsidRPr="00076B26">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URI в ELI." w:history="1">
        <w:r w:rsidR="00E42589" w:rsidRPr="00076B26">
          <w:rPr>
            <w:rStyle w:val="Hyperlink"/>
            <w:sz w:val="24"/>
            <w:lang w:val="bg-BG"/>
          </w:rPr>
          <w:t>http://data.europa.eu/eli/C/2025/2246/oj</w:t>
        </w:r>
      </w:hyperlink>
      <w:r w:rsidR="00E42589" w:rsidRPr="00076B26">
        <w:rPr>
          <w:sz w:val="24"/>
          <w:lang w:val="bg-BG"/>
        </w:rPr>
        <w:t>).</w:t>
      </w:r>
    </w:p>
    <w:p w14:paraId="47312BE4" w14:textId="77777777" w:rsidR="00FF7C23" w:rsidRDefault="00E42589" w:rsidP="00FF7C23">
      <w:pPr>
        <w:pStyle w:val="FootnoteText"/>
        <w:ind w:left="1134" w:hanging="567"/>
        <w:rPr>
          <w:sz w:val="24"/>
          <w:vertAlign w:val="superscript"/>
          <w:lang w:val="bg-BG"/>
        </w:rPr>
      </w:pPr>
      <w:r w:rsidRPr="00076B26">
        <w:rPr>
          <w:sz w:val="24"/>
          <w:lang w:val="bg-BG"/>
        </w:rPr>
        <w:t>–</w:t>
      </w:r>
      <w:r w:rsidRPr="00076B26">
        <w:rPr>
          <w:sz w:val="24"/>
          <w:lang w:val="bg-BG"/>
        </w:rPr>
        <w:tab/>
        <w:t xml:space="preserve">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hyperlink r:id="rId13" w:tooltip="Предоставя достъп до този документ чрез неговия URI в ELI." w:history="1">
        <w:r w:rsidRPr="00076B26">
          <w:rPr>
            <w:rStyle w:val="Hyperlink"/>
            <w:sz w:val="24"/>
            <w:lang w:val="bg-BG"/>
          </w:rPr>
          <w:t>http://data.europa.eu/eli/C/2025/2247/oj</w:t>
        </w:r>
      </w:hyperlink>
      <w:r w:rsidRPr="00076B26">
        <w:rPr>
          <w:sz w:val="24"/>
          <w:lang w:val="bg-BG"/>
        </w:rPr>
        <w:t>).</w:t>
      </w:r>
    </w:p>
    <w:p w14:paraId="2BAE672C" w14:textId="7886C78A" w:rsidR="00E42589" w:rsidRPr="003177E9" w:rsidRDefault="00FF7C23" w:rsidP="00FF7C23">
      <w:pPr>
        <w:pStyle w:val="FootnoteText"/>
        <w:ind w:left="1134" w:hanging="567"/>
        <w:rPr>
          <w:sz w:val="24"/>
          <w:lang w:val="ru-RU"/>
        </w:rPr>
      </w:pPr>
      <w:r w:rsidRPr="00076B26">
        <w:rPr>
          <w:sz w:val="24"/>
          <w:lang w:val="bg-BG"/>
        </w:rPr>
        <w:t>–</w:t>
      </w:r>
      <w:r w:rsidRPr="00076B26">
        <w:rPr>
          <w:sz w:val="24"/>
          <w:lang w:val="bg-BG"/>
        </w:rPr>
        <w:tab/>
      </w:r>
      <w:r w:rsidR="00F119EC" w:rsidRPr="00F119EC">
        <w:rPr>
          <w:sz w:val="24"/>
          <w:lang w:val="bg-BG"/>
        </w:rPr>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(P10_TA(2025)0106)</w:t>
      </w:r>
      <w:r w:rsidR="00F119EC" w:rsidRPr="003177E9">
        <w:rPr>
          <w:sz w:val="24"/>
          <w:lang w:val="ru-RU"/>
        </w:rPr>
        <w:t>.</w:t>
      </w:r>
    </w:p>
    <w:p w14:paraId="37DFAC7B" w14:textId="0FC2229E" w:rsidR="00E42589" w:rsidRPr="00076B26" w:rsidRDefault="00F119EC" w:rsidP="00F119EC">
      <w:pPr>
        <w:pStyle w:val="FootnoteText"/>
        <w:numPr>
          <w:ilvl w:val="0"/>
          <w:numId w:val="45"/>
        </w:numPr>
        <w:ind w:left="1134" w:hanging="567"/>
        <w:rPr>
          <w:sz w:val="24"/>
          <w:lang w:val="bg-BG"/>
        </w:rPr>
      </w:pPr>
      <w:r w:rsidRPr="00F119EC">
        <w:rPr>
          <w:sz w:val="24"/>
          <w:lang w:val="bg-BG"/>
        </w:rPr>
        <w:t>Резолюция на Европейския парламент от 8 октомври 2025 г. относно Решение за изпълнение (ЕС) 2025/1898 на Комисията от 22 септември 2025</w:t>
      </w:r>
      <w:r>
        <w:rPr>
          <w:sz w:val="24"/>
          <w:lang w:val="en-GB"/>
        </w:rPr>
        <w:t> </w:t>
      </w:r>
      <w:r w:rsidRPr="00F119EC">
        <w:rPr>
          <w:sz w:val="24"/>
          <w:lang w:val="bg-BG"/>
        </w:rPr>
        <w:t>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(P10_TA(2025)0222).</w:t>
      </w:r>
    </w:p>
    <w:p w14:paraId="39BF904F" w14:textId="1943FA5B" w:rsidR="00E42589" w:rsidRPr="00076B26" w:rsidRDefault="00E42589" w:rsidP="004777B0">
      <w:pPr>
        <w:pStyle w:val="FootnoteText"/>
        <w:ind w:left="1134" w:hanging="567"/>
        <w:rPr>
          <w:sz w:val="24"/>
          <w:vertAlign w:val="superscript"/>
          <w:lang w:val="bg-BG"/>
        </w:rPr>
      </w:pPr>
      <w:bookmarkStart w:id="7" w:name="_Hlk215330280"/>
      <w:r w:rsidRPr="00076B26">
        <w:rPr>
          <w:sz w:val="24"/>
          <w:lang w:val="bg-BG"/>
        </w:rPr>
        <w:t>–</w:t>
      </w:r>
      <w:r w:rsidRPr="00076B26">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 (P10_TA(2025)0288).</w:t>
      </w:r>
    </w:p>
    <w:p w14:paraId="7C3851E8" w14:textId="6697D4D1" w:rsidR="00E42589" w:rsidRPr="00076B26" w:rsidRDefault="00E42589" w:rsidP="004777B0">
      <w:pPr>
        <w:pStyle w:val="FootnoteText"/>
        <w:ind w:left="1134" w:hanging="567"/>
        <w:rPr>
          <w:sz w:val="24"/>
          <w:vertAlign w:val="superscript"/>
          <w:lang w:val="bg-BG"/>
        </w:rPr>
      </w:pPr>
      <w:r w:rsidRPr="00076B26">
        <w:rPr>
          <w:sz w:val="24"/>
          <w:lang w:val="bg-BG"/>
        </w:rPr>
        <w:t>–</w:t>
      </w:r>
      <w:r w:rsidRPr="00076B26">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(P10_TA(2025)0289).</w:t>
      </w:r>
    </w:p>
    <w:p w14:paraId="17AB3010" w14:textId="69CC4B1D" w:rsidR="00E42589" w:rsidRPr="00076B26" w:rsidRDefault="00E42589" w:rsidP="004777B0">
      <w:pPr>
        <w:pStyle w:val="FootnoteText"/>
        <w:ind w:left="1134" w:hanging="567"/>
        <w:rPr>
          <w:sz w:val="24"/>
          <w:vertAlign w:val="superscript"/>
          <w:lang w:val="bg-BG"/>
        </w:rPr>
      </w:pPr>
      <w:r w:rsidRPr="00076B26">
        <w:rPr>
          <w:sz w:val="24"/>
          <w:lang w:val="bg-BG"/>
        </w:rPr>
        <w:t>–</w:t>
      </w:r>
      <w:r w:rsidRPr="00076B26">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(P10_TA(2025)0290).</w:t>
      </w:r>
    </w:p>
    <w:p w14:paraId="1D5F962E" w14:textId="5D6A74AB" w:rsidR="00E42589" w:rsidRPr="00076B26" w:rsidRDefault="00E42589" w:rsidP="004777B0">
      <w:pPr>
        <w:pStyle w:val="FootnoteText"/>
        <w:ind w:left="1134" w:hanging="567"/>
        <w:rPr>
          <w:sz w:val="24"/>
          <w:vertAlign w:val="superscript"/>
          <w:lang w:val="bg-BG"/>
        </w:rPr>
      </w:pPr>
      <w:r w:rsidRPr="00076B26">
        <w:rPr>
          <w:sz w:val="24"/>
          <w:lang w:val="bg-BG"/>
        </w:rPr>
        <w:t>–</w:t>
      </w:r>
      <w:r w:rsidRPr="00076B26">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(P10_TA(2025)0291).</w:t>
      </w:r>
    </w:p>
    <w:p w14:paraId="7711174F" w14:textId="580ABBDB" w:rsidR="00E42589" w:rsidRPr="00076B26" w:rsidRDefault="00E42589" w:rsidP="004777B0">
      <w:pPr>
        <w:pStyle w:val="FootnoteText"/>
        <w:ind w:left="1134" w:hanging="567"/>
        <w:rPr>
          <w:sz w:val="24"/>
          <w:lang w:val="bg-BG"/>
        </w:rPr>
      </w:pPr>
      <w:r w:rsidRPr="00076B26">
        <w:rPr>
          <w:sz w:val="24"/>
          <w:lang w:val="bg-BG"/>
        </w:rPr>
        <w:t>–</w:t>
      </w:r>
      <w:r w:rsidRPr="00076B26">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 (P10_TA(2025)0292).</w:t>
      </w:r>
      <w:bookmarkEnd w:id="7"/>
    </w:p>
  </w:footnote>
  <w:footnote w:id="5">
    <w:p w14:paraId="14CB1E5B" w14:textId="40C70DA2" w:rsidR="00E42589" w:rsidRPr="00076B26" w:rsidRDefault="00E42589" w:rsidP="00F119EC">
      <w:pPr>
        <w:pStyle w:val="FootnoteText"/>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 xml:space="preserve">Решение за изпълнение (ЕС) 2015/684 на Комисията от 24 април 2015 година за разрешаване на пускането на пазара на генетично модифицирана царевица NK603 (MON-ØØ6Ø3-6) и за подновяване на разрешенията за съществуващите продукти, съдържащи царевица NK603 (MON-ØØ6Ø3-6), в съответствие с Регламент (ЕО) № 1829/2003 на Европейския парламент и на Съвета (ОВ L 112, </w:t>
      </w:r>
      <w:r w:rsidR="003177E9" w:rsidRPr="003177E9">
        <w:rPr>
          <w:sz w:val="24"/>
          <w:lang w:val="ru-RU"/>
        </w:rPr>
        <w:t>3</w:t>
      </w:r>
      <w:r w:rsidRPr="00076B26">
        <w:rPr>
          <w:sz w:val="24"/>
          <w:lang w:val="bg-BG"/>
        </w:rPr>
        <w:t>0.</w:t>
      </w:r>
      <w:r w:rsidR="003177E9" w:rsidRPr="003177E9">
        <w:rPr>
          <w:sz w:val="24"/>
          <w:lang w:val="ru-RU"/>
        </w:rPr>
        <w:t>4</w:t>
      </w:r>
      <w:r w:rsidRPr="00076B26">
        <w:rPr>
          <w:sz w:val="24"/>
          <w:lang w:val="bg-BG"/>
        </w:rPr>
        <w:t>.201</w:t>
      </w:r>
      <w:r w:rsidR="003177E9">
        <w:rPr>
          <w:sz w:val="24"/>
          <w:lang w:val="en-GB"/>
        </w:rPr>
        <w:t>5</w:t>
      </w:r>
      <w:r w:rsidRPr="00076B26">
        <w:rPr>
          <w:sz w:val="24"/>
          <w:lang w:val="bg-BG"/>
        </w:rPr>
        <w:t> г., стр. 6), ELI: </w:t>
      </w:r>
      <w:hyperlink r:id="rId14" w:tooltip="Предоставя достъп до този документ чрез неговия URI в ELI." w:history="1">
        <w:r w:rsidRPr="00076B26">
          <w:rPr>
            <w:rStyle w:val="Hyperlink"/>
            <w:sz w:val="24"/>
            <w:lang w:val="bg-BG"/>
          </w:rPr>
          <w:t>http://data.europa.eu/eli/dec_impl/2015/684/oj</w:t>
        </w:r>
      </w:hyperlink>
      <w:r w:rsidRPr="00076B26">
        <w:rPr>
          <w:sz w:val="24"/>
          <w:lang w:val="bg-BG"/>
        </w:rPr>
        <w:t>).</w:t>
      </w:r>
    </w:p>
  </w:footnote>
  <w:footnote w:id="6">
    <w:p w14:paraId="63909CFF" w14:textId="64FCEAC3" w:rsidR="00E42589" w:rsidRPr="004777B0" w:rsidRDefault="00E42589" w:rsidP="00076B26">
      <w:pPr>
        <w:pStyle w:val="FootnoteText"/>
        <w:ind w:left="567" w:hanging="567"/>
        <w:rPr>
          <w:sz w:val="24"/>
          <w:szCs w:val="24"/>
          <w:shd w:val="clear" w:color="auto" w:fill="FFFFFF"/>
          <w:lang w:val="bg-BG"/>
        </w:rPr>
      </w:pPr>
      <w:r w:rsidRPr="00E51A48">
        <w:rPr>
          <w:rStyle w:val="FootnoteReference"/>
          <w:sz w:val="24"/>
          <w:lang w:val="bg-BG"/>
        </w:rPr>
        <w:footnoteRef/>
      </w:r>
      <w:r w:rsidR="00076B26" w:rsidRPr="004777B0">
        <w:rPr>
          <w:rStyle w:val="Hyperlink"/>
          <w:color w:val="auto"/>
          <w:sz w:val="24"/>
          <w:u w:val="none"/>
          <w:lang w:val="bg-BG"/>
        </w:rPr>
        <w:t xml:space="preserve"> </w:t>
      </w:r>
      <w:r w:rsidR="00076B26" w:rsidRPr="004777B0">
        <w:rPr>
          <w:rStyle w:val="Hyperlink"/>
          <w:color w:val="auto"/>
          <w:sz w:val="24"/>
          <w:u w:val="none"/>
          <w:lang w:val="bg-BG"/>
        </w:rPr>
        <w:tab/>
      </w:r>
      <w:proofErr w:type="spellStart"/>
      <w:r w:rsidRPr="003177E9">
        <w:rPr>
          <w:szCs w:val="24"/>
          <w:shd w:val="clear" w:color="auto" w:fill="FFFFFF"/>
          <w:lang w:val="ru-RU"/>
        </w:rPr>
        <w:t>Експертна</w:t>
      </w:r>
      <w:proofErr w:type="spellEnd"/>
      <w:r w:rsidRPr="003177E9">
        <w:rPr>
          <w:szCs w:val="24"/>
          <w:shd w:val="clear" w:color="auto" w:fill="FFFFFF"/>
          <w:lang w:val="ru-RU"/>
        </w:rPr>
        <w:t xml:space="preserve"> </w:t>
      </w:r>
      <w:proofErr w:type="spellStart"/>
      <w:r w:rsidRPr="003177E9">
        <w:rPr>
          <w:szCs w:val="24"/>
          <w:shd w:val="clear" w:color="auto" w:fill="FFFFFF"/>
          <w:lang w:val="ru-RU"/>
        </w:rPr>
        <w:t>група</w:t>
      </w:r>
      <w:proofErr w:type="spellEnd"/>
      <w:r w:rsidRPr="003177E9">
        <w:rPr>
          <w:szCs w:val="24"/>
          <w:shd w:val="clear" w:color="auto" w:fill="FFFFFF"/>
          <w:lang w:val="ru-RU"/>
        </w:rPr>
        <w:t xml:space="preserve"> на ЕОБХ по ГМО, Научно становище от 2009 г. на </w:t>
      </w:r>
      <w:proofErr w:type="spellStart"/>
      <w:r w:rsidRPr="003177E9">
        <w:rPr>
          <w:szCs w:val="24"/>
          <w:shd w:val="clear" w:color="auto" w:fill="FFFFFF"/>
          <w:lang w:val="ru-RU"/>
        </w:rPr>
        <w:t>Експертната</w:t>
      </w:r>
      <w:proofErr w:type="spellEnd"/>
      <w:r w:rsidRPr="003177E9">
        <w:rPr>
          <w:szCs w:val="24"/>
          <w:shd w:val="clear" w:color="auto" w:fill="FFFFFF"/>
          <w:lang w:val="ru-RU"/>
        </w:rPr>
        <w:t xml:space="preserve"> </w:t>
      </w:r>
      <w:proofErr w:type="spellStart"/>
      <w:r w:rsidRPr="003177E9">
        <w:rPr>
          <w:szCs w:val="24"/>
          <w:shd w:val="clear" w:color="auto" w:fill="FFFFFF"/>
          <w:lang w:val="ru-RU"/>
        </w:rPr>
        <w:t>група</w:t>
      </w:r>
      <w:proofErr w:type="spellEnd"/>
      <w:r w:rsidRPr="003177E9">
        <w:rPr>
          <w:szCs w:val="24"/>
          <w:shd w:val="clear" w:color="auto" w:fill="FFFFFF"/>
          <w:lang w:val="ru-RU"/>
        </w:rPr>
        <w:t xml:space="preserve"> по </w:t>
      </w:r>
      <w:proofErr w:type="spellStart"/>
      <w:r w:rsidRPr="003177E9">
        <w:rPr>
          <w:szCs w:val="24"/>
          <w:shd w:val="clear" w:color="auto" w:fill="FFFFFF"/>
          <w:lang w:val="ru-RU"/>
        </w:rPr>
        <w:t>генетично</w:t>
      </w:r>
      <w:proofErr w:type="spellEnd"/>
      <w:r w:rsidRPr="003177E9">
        <w:rPr>
          <w:szCs w:val="24"/>
          <w:shd w:val="clear" w:color="auto" w:fill="FFFFFF"/>
          <w:lang w:val="ru-RU"/>
        </w:rPr>
        <w:t xml:space="preserve"> </w:t>
      </w:r>
      <w:proofErr w:type="spellStart"/>
      <w:r w:rsidRPr="003177E9">
        <w:rPr>
          <w:szCs w:val="24"/>
          <w:shd w:val="clear" w:color="auto" w:fill="FFFFFF"/>
          <w:lang w:val="ru-RU"/>
        </w:rPr>
        <w:t>модифицирани</w:t>
      </w:r>
      <w:proofErr w:type="spellEnd"/>
      <w:r w:rsidRPr="003177E9">
        <w:rPr>
          <w:szCs w:val="24"/>
          <w:shd w:val="clear" w:color="auto" w:fill="FFFFFF"/>
          <w:lang w:val="ru-RU"/>
        </w:rPr>
        <w:t xml:space="preserve"> </w:t>
      </w:r>
      <w:proofErr w:type="spellStart"/>
      <w:r w:rsidRPr="003177E9">
        <w:rPr>
          <w:szCs w:val="24"/>
          <w:shd w:val="clear" w:color="auto" w:fill="FFFFFF"/>
          <w:lang w:val="ru-RU"/>
        </w:rPr>
        <w:t>организми</w:t>
      </w:r>
      <w:proofErr w:type="spellEnd"/>
      <w:r w:rsidRPr="003177E9">
        <w:rPr>
          <w:szCs w:val="24"/>
          <w:shd w:val="clear" w:color="auto" w:fill="FFFFFF"/>
          <w:lang w:val="ru-RU"/>
        </w:rPr>
        <w:t xml:space="preserve"> </w:t>
      </w:r>
      <w:proofErr w:type="spellStart"/>
      <w:r w:rsidRPr="003177E9">
        <w:rPr>
          <w:szCs w:val="24"/>
          <w:shd w:val="clear" w:color="auto" w:fill="FFFFFF"/>
          <w:lang w:val="ru-RU"/>
        </w:rPr>
        <w:t>относно</w:t>
      </w:r>
      <w:proofErr w:type="spellEnd"/>
      <w:r w:rsidRPr="003177E9">
        <w:rPr>
          <w:szCs w:val="24"/>
          <w:shd w:val="clear" w:color="auto" w:fill="FFFFFF"/>
          <w:lang w:val="ru-RU"/>
        </w:rPr>
        <w:t xml:space="preserve"> </w:t>
      </w:r>
      <w:proofErr w:type="spellStart"/>
      <w:r w:rsidRPr="003177E9">
        <w:rPr>
          <w:szCs w:val="24"/>
          <w:shd w:val="clear" w:color="auto" w:fill="FFFFFF"/>
          <w:lang w:val="ru-RU"/>
        </w:rPr>
        <w:t>заявленията</w:t>
      </w:r>
      <w:proofErr w:type="spellEnd"/>
      <w:r w:rsidRPr="003177E9">
        <w:rPr>
          <w:szCs w:val="24"/>
          <w:shd w:val="clear" w:color="auto" w:fill="FFFFFF"/>
          <w:lang w:val="ru-RU"/>
        </w:rPr>
        <w:t xml:space="preserve"> (</w:t>
      </w:r>
      <w:r w:rsidRPr="004777B0">
        <w:rPr>
          <w:szCs w:val="24"/>
          <w:shd w:val="clear" w:color="auto" w:fill="FFFFFF"/>
        </w:rPr>
        <w:t>EFSA</w:t>
      </w:r>
      <w:r w:rsidRPr="003177E9">
        <w:rPr>
          <w:szCs w:val="24"/>
          <w:shd w:val="clear" w:color="auto" w:fill="FFFFFF"/>
          <w:lang w:val="ru-RU"/>
        </w:rPr>
        <w:t>-</w:t>
      </w:r>
      <w:r w:rsidRPr="004777B0">
        <w:rPr>
          <w:szCs w:val="24"/>
          <w:shd w:val="clear" w:color="auto" w:fill="FFFFFF"/>
        </w:rPr>
        <w:t>GMO</w:t>
      </w:r>
      <w:r w:rsidRPr="003177E9">
        <w:rPr>
          <w:szCs w:val="24"/>
          <w:shd w:val="clear" w:color="auto" w:fill="FFFFFF"/>
          <w:lang w:val="ru-RU"/>
        </w:rPr>
        <w:t>-</w:t>
      </w:r>
      <w:r w:rsidRPr="004777B0">
        <w:rPr>
          <w:szCs w:val="24"/>
          <w:shd w:val="clear" w:color="auto" w:fill="FFFFFF"/>
        </w:rPr>
        <w:t>NL</w:t>
      </w:r>
      <w:r w:rsidRPr="003177E9">
        <w:rPr>
          <w:szCs w:val="24"/>
          <w:shd w:val="clear" w:color="auto" w:fill="FFFFFF"/>
          <w:lang w:val="ru-RU"/>
        </w:rPr>
        <w:t xml:space="preserve">-2005—22 и </w:t>
      </w:r>
      <w:r w:rsidRPr="004777B0">
        <w:rPr>
          <w:szCs w:val="24"/>
          <w:shd w:val="clear" w:color="auto" w:fill="FFFFFF"/>
        </w:rPr>
        <w:t>EFSA</w:t>
      </w:r>
      <w:r w:rsidRPr="003177E9">
        <w:rPr>
          <w:szCs w:val="24"/>
          <w:shd w:val="clear" w:color="auto" w:fill="FFFFFF"/>
          <w:lang w:val="ru-RU"/>
        </w:rPr>
        <w:t>-</w:t>
      </w:r>
      <w:r w:rsidRPr="004777B0">
        <w:rPr>
          <w:szCs w:val="24"/>
          <w:shd w:val="clear" w:color="auto" w:fill="FFFFFF"/>
        </w:rPr>
        <w:t>GMO</w:t>
      </w:r>
      <w:r w:rsidRPr="003177E9">
        <w:rPr>
          <w:szCs w:val="24"/>
          <w:shd w:val="clear" w:color="auto" w:fill="FFFFFF"/>
          <w:lang w:val="ru-RU"/>
        </w:rPr>
        <w:t>-</w:t>
      </w:r>
      <w:r w:rsidRPr="004777B0">
        <w:rPr>
          <w:szCs w:val="24"/>
          <w:shd w:val="clear" w:color="auto" w:fill="FFFFFF"/>
        </w:rPr>
        <w:t>RX</w:t>
      </w:r>
      <w:r w:rsidRPr="003177E9">
        <w:rPr>
          <w:szCs w:val="24"/>
          <w:shd w:val="clear" w:color="auto" w:fill="FFFFFF"/>
          <w:lang w:val="ru-RU"/>
        </w:rPr>
        <w:t>-</w:t>
      </w:r>
      <w:r w:rsidRPr="004777B0">
        <w:rPr>
          <w:szCs w:val="24"/>
          <w:shd w:val="clear" w:color="auto" w:fill="FFFFFF"/>
        </w:rPr>
        <w:t>NK</w:t>
      </w:r>
      <w:r w:rsidRPr="003177E9">
        <w:rPr>
          <w:szCs w:val="24"/>
          <w:shd w:val="clear" w:color="auto" w:fill="FFFFFF"/>
          <w:lang w:val="ru-RU"/>
        </w:rPr>
        <w:t xml:space="preserve">603) за </w:t>
      </w:r>
      <w:proofErr w:type="spellStart"/>
      <w:r w:rsidRPr="003177E9">
        <w:rPr>
          <w:szCs w:val="24"/>
          <w:shd w:val="clear" w:color="auto" w:fill="FFFFFF"/>
          <w:lang w:val="ru-RU"/>
        </w:rPr>
        <w:t>пускане</w:t>
      </w:r>
      <w:proofErr w:type="spellEnd"/>
      <w:r w:rsidRPr="003177E9">
        <w:rPr>
          <w:szCs w:val="24"/>
          <w:shd w:val="clear" w:color="auto" w:fill="FFFFFF"/>
          <w:lang w:val="ru-RU"/>
        </w:rPr>
        <w:t xml:space="preserve"> на </w:t>
      </w:r>
      <w:proofErr w:type="spellStart"/>
      <w:r w:rsidRPr="003177E9">
        <w:rPr>
          <w:szCs w:val="24"/>
          <w:shd w:val="clear" w:color="auto" w:fill="FFFFFF"/>
          <w:lang w:val="ru-RU"/>
        </w:rPr>
        <w:t>пазара</w:t>
      </w:r>
      <w:proofErr w:type="spellEnd"/>
      <w:r w:rsidRPr="003177E9">
        <w:rPr>
          <w:szCs w:val="24"/>
          <w:shd w:val="clear" w:color="auto" w:fill="FFFFFF"/>
          <w:lang w:val="ru-RU"/>
        </w:rPr>
        <w:t xml:space="preserve"> на устойчива на </w:t>
      </w:r>
      <w:proofErr w:type="spellStart"/>
      <w:r w:rsidRPr="003177E9">
        <w:rPr>
          <w:szCs w:val="24"/>
          <w:shd w:val="clear" w:color="auto" w:fill="FFFFFF"/>
          <w:lang w:val="ru-RU"/>
        </w:rPr>
        <w:t>глифосат</w:t>
      </w:r>
      <w:proofErr w:type="spellEnd"/>
      <w:r w:rsidRPr="003177E9">
        <w:rPr>
          <w:szCs w:val="24"/>
          <w:shd w:val="clear" w:color="auto" w:fill="FFFFFF"/>
          <w:lang w:val="ru-RU"/>
        </w:rPr>
        <w:t xml:space="preserve"> </w:t>
      </w:r>
      <w:proofErr w:type="spellStart"/>
      <w:r w:rsidRPr="003177E9">
        <w:rPr>
          <w:szCs w:val="24"/>
          <w:shd w:val="clear" w:color="auto" w:fill="FFFFFF"/>
          <w:lang w:val="ru-RU"/>
        </w:rPr>
        <w:t>генетично</w:t>
      </w:r>
      <w:proofErr w:type="spellEnd"/>
      <w:r w:rsidRPr="003177E9">
        <w:rPr>
          <w:szCs w:val="24"/>
          <w:shd w:val="clear" w:color="auto" w:fill="FFFFFF"/>
          <w:lang w:val="ru-RU"/>
        </w:rPr>
        <w:t xml:space="preserve"> </w:t>
      </w:r>
      <w:proofErr w:type="spellStart"/>
      <w:r w:rsidRPr="003177E9">
        <w:rPr>
          <w:szCs w:val="24"/>
          <w:shd w:val="clear" w:color="auto" w:fill="FFFFFF"/>
          <w:lang w:val="ru-RU"/>
        </w:rPr>
        <w:t>модифицирана</w:t>
      </w:r>
      <w:proofErr w:type="spellEnd"/>
      <w:r w:rsidRPr="003177E9">
        <w:rPr>
          <w:szCs w:val="24"/>
          <w:shd w:val="clear" w:color="auto" w:fill="FFFFFF"/>
          <w:lang w:val="ru-RU"/>
        </w:rPr>
        <w:t xml:space="preserve"> </w:t>
      </w:r>
      <w:proofErr w:type="spellStart"/>
      <w:r w:rsidRPr="003177E9">
        <w:rPr>
          <w:szCs w:val="24"/>
          <w:shd w:val="clear" w:color="auto" w:fill="FFFFFF"/>
          <w:lang w:val="ru-RU"/>
        </w:rPr>
        <w:t>царевица</w:t>
      </w:r>
      <w:proofErr w:type="spellEnd"/>
      <w:r w:rsidRPr="003177E9">
        <w:rPr>
          <w:szCs w:val="24"/>
          <w:shd w:val="clear" w:color="auto" w:fill="FFFFFF"/>
          <w:lang w:val="ru-RU"/>
        </w:rPr>
        <w:t xml:space="preserve"> </w:t>
      </w:r>
      <w:r w:rsidRPr="004777B0">
        <w:rPr>
          <w:szCs w:val="24"/>
          <w:shd w:val="clear" w:color="auto" w:fill="FFFFFF"/>
        </w:rPr>
        <w:t>NK</w:t>
      </w:r>
      <w:r w:rsidRPr="003177E9">
        <w:rPr>
          <w:szCs w:val="24"/>
          <w:shd w:val="clear" w:color="auto" w:fill="FFFFFF"/>
          <w:lang w:val="ru-RU"/>
        </w:rPr>
        <w:t xml:space="preserve">603 за </w:t>
      </w:r>
      <w:proofErr w:type="spellStart"/>
      <w:r w:rsidRPr="003177E9">
        <w:rPr>
          <w:szCs w:val="24"/>
          <w:shd w:val="clear" w:color="auto" w:fill="FFFFFF"/>
          <w:lang w:val="ru-RU"/>
        </w:rPr>
        <w:t>отглеждане</w:t>
      </w:r>
      <w:proofErr w:type="spellEnd"/>
      <w:r w:rsidRPr="003177E9">
        <w:rPr>
          <w:szCs w:val="24"/>
          <w:shd w:val="clear" w:color="auto" w:fill="FFFFFF"/>
          <w:lang w:val="ru-RU"/>
        </w:rPr>
        <w:t xml:space="preserve">, </w:t>
      </w:r>
      <w:proofErr w:type="spellStart"/>
      <w:r w:rsidRPr="003177E9">
        <w:rPr>
          <w:szCs w:val="24"/>
          <w:shd w:val="clear" w:color="auto" w:fill="FFFFFF"/>
          <w:lang w:val="ru-RU"/>
        </w:rPr>
        <w:t>употреба</w:t>
      </w:r>
      <w:proofErr w:type="spellEnd"/>
      <w:r w:rsidRPr="003177E9">
        <w:rPr>
          <w:szCs w:val="24"/>
          <w:shd w:val="clear" w:color="auto" w:fill="FFFFFF"/>
          <w:lang w:val="ru-RU"/>
        </w:rPr>
        <w:t xml:space="preserve"> в храни и фуражи, внос и </w:t>
      </w:r>
      <w:proofErr w:type="spellStart"/>
      <w:r w:rsidRPr="003177E9">
        <w:rPr>
          <w:szCs w:val="24"/>
          <w:shd w:val="clear" w:color="auto" w:fill="FFFFFF"/>
          <w:lang w:val="ru-RU"/>
        </w:rPr>
        <w:t>преработка</w:t>
      </w:r>
      <w:proofErr w:type="spellEnd"/>
      <w:r w:rsidRPr="003177E9">
        <w:rPr>
          <w:szCs w:val="24"/>
          <w:shd w:val="clear" w:color="auto" w:fill="FFFFFF"/>
          <w:lang w:val="ru-RU"/>
        </w:rPr>
        <w:t xml:space="preserve">, </w:t>
      </w:r>
      <w:proofErr w:type="spellStart"/>
      <w:r w:rsidRPr="003177E9">
        <w:rPr>
          <w:szCs w:val="24"/>
          <w:shd w:val="clear" w:color="auto" w:fill="FFFFFF"/>
          <w:lang w:val="ru-RU"/>
        </w:rPr>
        <w:t>както</w:t>
      </w:r>
      <w:proofErr w:type="spellEnd"/>
      <w:r w:rsidRPr="003177E9">
        <w:rPr>
          <w:szCs w:val="24"/>
          <w:shd w:val="clear" w:color="auto" w:fill="FFFFFF"/>
          <w:lang w:val="ru-RU"/>
        </w:rPr>
        <w:t xml:space="preserve"> и за </w:t>
      </w:r>
      <w:proofErr w:type="spellStart"/>
      <w:r w:rsidRPr="003177E9">
        <w:rPr>
          <w:szCs w:val="24"/>
          <w:shd w:val="clear" w:color="auto" w:fill="FFFFFF"/>
          <w:lang w:val="ru-RU"/>
        </w:rPr>
        <w:t>подновяване</w:t>
      </w:r>
      <w:proofErr w:type="spellEnd"/>
      <w:r w:rsidRPr="003177E9">
        <w:rPr>
          <w:szCs w:val="24"/>
          <w:shd w:val="clear" w:color="auto" w:fill="FFFFFF"/>
          <w:lang w:val="ru-RU"/>
        </w:rPr>
        <w:t xml:space="preserve"> на </w:t>
      </w:r>
      <w:proofErr w:type="spellStart"/>
      <w:r w:rsidRPr="003177E9">
        <w:rPr>
          <w:szCs w:val="24"/>
          <w:shd w:val="clear" w:color="auto" w:fill="FFFFFF"/>
          <w:lang w:val="ru-RU"/>
        </w:rPr>
        <w:t>разрешението</w:t>
      </w:r>
      <w:proofErr w:type="spellEnd"/>
      <w:r w:rsidRPr="003177E9">
        <w:rPr>
          <w:szCs w:val="24"/>
          <w:shd w:val="clear" w:color="auto" w:fill="FFFFFF"/>
          <w:lang w:val="ru-RU"/>
        </w:rPr>
        <w:t xml:space="preserve"> за </w:t>
      </w:r>
      <w:proofErr w:type="spellStart"/>
      <w:r w:rsidRPr="003177E9">
        <w:rPr>
          <w:szCs w:val="24"/>
          <w:shd w:val="clear" w:color="auto" w:fill="FFFFFF"/>
          <w:lang w:val="ru-RU"/>
        </w:rPr>
        <w:t>царевица</w:t>
      </w:r>
      <w:proofErr w:type="spellEnd"/>
      <w:r w:rsidRPr="003177E9">
        <w:rPr>
          <w:szCs w:val="24"/>
          <w:shd w:val="clear" w:color="auto" w:fill="FFFFFF"/>
          <w:lang w:val="ru-RU"/>
        </w:rPr>
        <w:t xml:space="preserve"> </w:t>
      </w:r>
      <w:r w:rsidRPr="004777B0">
        <w:rPr>
          <w:szCs w:val="24"/>
          <w:shd w:val="clear" w:color="auto" w:fill="FFFFFF"/>
        </w:rPr>
        <w:t>NK</w:t>
      </w:r>
      <w:r w:rsidRPr="003177E9">
        <w:rPr>
          <w:szCs w:val="24"/>
          <w:shd w:val="clear" w:color="auto" w:fill="FFFFFF"/>
          <w:lang w:val="ru-RU"/>
        </w:rPr>
        <w:t xml:space="preserve">603 </w:t>
      </w:r>
      <w:proofErr w:type="spellStart"/>
      <w:r w:rsidRPr="003177E9">
        <w:rPr>
          <w:szCs w:val="24"/>
          <w:shd w:val="clear" w:color="auto" w:fill="FFFFFF"/>
          <w:lang w:val="ru-RU"/>
        </w:rPr>
        <w:t>като</w:t>
      </w:r>
      <w:proofErr w:type="spellEnd"/>
      <w:r w:rsidRPr="003177E9">
        <w:rPr>
          <w:szCs w:val="24"/>
          <w:shd w:val="clear" w:color="auto" w:fill="FFFFFF"/>
          <w:lang w:val="ru-RU"/>
        </w:rPr>
        <w:t xml:space="preserve"> </w:t>
      </w:r>
      <w:proofErr w:type="spellStart"/>
      <w:r w:rsidRPr="003177E9">
        <w:rPr>
          <w:szCs w:val="24"/>
          <w:shd w:val="clear" w:color="auto" w:fill="FFFFFF"/>
          <w:lang w:val="ru-RU"/>
        </w:rPr>
        <w:t>съществуващ</w:t>
      </w:r>
      <w:proofErr w:type="spellEnd"/>
      <w:r w:rsidRPr="003177E9">
        <w:rPr>
          <w:szCs w:val="24"/>
          <w:shd w:val="clear" w:color="auto" w:fill="FFFFFF"/>
          <w:lang w:val="ru-RU"/>
        </w:rPr>
        <w:t xml:space="preserve"> продукт. </w:t>
      </w:r>
      <w:r w:rsidRPr="004777B0">
        <w:rPr>
          <w:szCs w:val="24"/>
          <w:shd w:val="clear" w:color="auto" w:fill="FFFFFF"/>
        </w:rPr>
        <w:t>EFSA</w:t>
      </w:r>
      <w:r w:rsidRPr="003177E9">
        <w:rPr>
          <w:szCs w:val="24"/>
          <w:shd w:val="clear" w:color="auto" w:fill="FFFFFF"/>
          <w:lang w:val="ru-RU"/>
        </w:rPr>
        <w:t xml:space="preserve"> </w:t>
      </w:r>
      <w:r w:rsidRPr="004777B0">
        <w:rPr>
          <w:szCs w:val="24"/>
          <w:shd w:val="clear" w:color="auto" w:fill="FFFFFF"/>
        </w:rPr>
        <w:t>Journal</w:t>
      </w:r>
      <w:r w:rsidRPr="003177E9">
        <w:rPr>
          <w:szCs w:val="24"/>
          <w:shd w:val="clear" w:color="auto" w:fill="FFFFFF"/>
          <w:lang w:val="ru-RU"/>
        </w:rPr>
        <w:t xml:space="preserve"> (</w:t>
      </w:r>
      <w:proofErr w:type="spellStart"/>
      <w:r w:rsidRPr="003177E9">
        <w:rPr>
          <w:szCs w:val="24"/>
          <w:shd w:val="clear" w:color="auto" w:fill="FFFFFF"/>
          <w:lang w:val="ru-RU"/>
        </w:rPr>
        <w:t>Бюлетин</w:t>
      </w:r>
      <w:proofErr w:type="spellEnd"/>
      <w:r w:rsidRPr="003177E9">
        <w:rPr>
          <w:szCs w:val="24"/>
          <w:shd w:val="clear" w:color="auto" w:fill="FFFFFF"/>
          <w:lang w:val="ru-RU"/>
        </w:rPr>
        <w:t xml:space="preserve"> на ЕОБХ), 7(6), стр.</w:t>
      </w:r>
      <w:r w:rsidRPr="004777B0">
        <w:rPr>
          <w:szCs w:val="24"/>
          <w:shd w:val="clear" w:color="auto" w:fill="FFFFFF"/>
        </w:rPr>
        <w:t> </w:t>
      </w:r>
      <w:r w:rsidRPr="003177E9">
        <w:rPr>
          <w:szCs w:val="24"/>
          <w:shd w:val="clear" w:color="auto" w:fill="FFFFFF"/>
          <w:lang w:val="ru-RU"/>
        </w:rPr>
        <w:t xml:space="preserve">1–1137. </w:t>
      </w:r>
      <w:hyperlink r:id="rId15" w:history="1">
        <w:r w:rsidRPr="00CD385C">
          <w:rPr>
            <w:rStyle w:val="Hyperlink"/>
            <w:sz w:val="24"/>
            <w:szCs w:val="24"/>
            <w:lang w:val="bg-BG"/>
          </w:rPr>
          <w:t>https://doi.org/10.2903/j.efsa.2009.1137</w:t>
        </w:r>
      </w:hyperlink>
      <w:r w:rsidRPr="003177E9">
        <w:rPr>
          <w:szCs w:val="24"/>
          <w:shd w:val="clear" w:color="auto" w:fill="FFFFFF"/>
          <w:lang w:val="ru-RU"/>
        </w:rPr>
        <w:t>.</w:t>
      </w:r>
    </w:p>
  </w:footnote>
  <w:footnote w:id="7">
    <w:p w14:paraId="3DE3BD73" w14:textId="5E935F3F" w:rsidR="00E42589" w:rsidRPr="00076B26" w:rsidRDefault="00E42589" w:rsidP="00076B26">
      <w:pPr>
        <w:pStyle w:val="FootnoteText"/>
        <w:ind w:left="567" w:hanging="567"/>
        <w:rPr>
          <w:sz w:val="24"/>
          <w:lang w:val="bg-BG"/>
        </w:rPr>
      </w:pPr>
      <w:r w:rsidRPr="00076B26">
        <w:rPr>
          <w:rStyle w:val="FootnoteReference"/>
          <w:sz w:val="24"/>
          <w:lang w:val="bg-BG"/>
        </w:rPr>
        <w:footnoteRef/>
      </w:r>
      <w:r w:rsidR="00076B26" w:rsidRPr="00076B26">
        <w:rPr>
          <w:sz w:val="24"/>
          <w:shd w:val="clear" w:color="auto" w:fill="FFFFFF"/>
          <w:lang w:val="bg-BG"/>
        </w:rPr>
        <w:t xml:space="preserve"> </w:t>
      </w:r>
      <w:r w:rsidR="00076B26" w:rsidRPr="00076B26">
        <w:rPr>
          <w:sz w:val="24"/>
          <w:shd w:val="clear" w:color="auto" w:fill="FFFFFF"/>
          <w:lang w:val="bg-BG"/>
        </w:rPr>
        <w:tab/>
      </w:r>
      <w:r w:rsidRPr="00076B26">
        <w:rPr>
          <w:sz w:val="24"/>
          <w:shd w:val="clear" w:color="auto" w:fill="FFFFFF"/>
          <w:lang w:val="bg-BG"/>
        </w:rPr>
        <w:t xml:space="preserve">Вж. например </w:t>
      </w:r>
      <w:proofErr w:type="spellStart"/>
      <w:r w:rsidRPr="00076B26">
        <w:rPr>
          <w:sz w:val="24"/>
          <w:shd w:val="clear" w:color="auto" w:fill="FFFFFF"/>
          <w:lang w:val="bg-BG"/>
        </w:rPr>
        <w:t>Bonny</w:t>
      </w:r>
      <w:proofErr w:type="spellEnd"/>
      <w:r w:rsidRPr="00076B26">
        <w:rPr>
          <w:sz w:val="24"/>
          <w:shd w:val="clear" w:color="auto" w:fill="FFFFFF"/>
          <w:lang w:val="bg-BG"/>
        </w:rPr>
        <w:t>, S., „</w:t>
      </w:r>
      <w:proofErr w:type="spellStart"/>
      <w:r w:rsidRPr="00076B26">
        <w:rPr>
          <w:sz w:val="24"/>
          <w:shd w:val="clear" w:color="auto" w:fill="FFFFFF"/>
          <w:lang w:val="bg-BG"/>
        </w:rPr>
        <w:t>Genetically</w:t>
      </w:r>
      <w:proofErr w:type="spellEnd"/>
      <w:r w:rsidRPr="00076B26">
        <w:rPr>
          <w:sz w:val="24"/>
          <w:shd w:val="clear" w:color="auto" w:fill="FFFFFF"/>
          <w:lang w:val="bg-BG"/>
        </w:rPr>
        <w:t xml:space="preserve"> </w:t>
      </w:r>
      <w:proofErr w:type="spellStart"/>
      <w:r w:rsidRPr="00076B26">
        <w:rPr>
          <w:sz w:val="24"/>
          <w:shd w:val="clear" w:color="auto" w:fill="FFFFFF"/>
          <w:lang w:val="bg-BG"/>
        </w:rPr>
        <w:t>Modified</w:t>
      </w:r>
      <w:proofErr w:type="spellEnd"/>
      <w:r w:rsidRPr="00076B26">
        <w:rPr>
          <w:sz w:val="24"/>
          <w:shd w:val="clear" w:color="auto" w:fill="FFFFFF"/>
          <w:lang w:val="bg-BG"/>
        </w:rPr>
        <w:t xml:space="preserve"> </w:t>
      </w:r>
      <w:proofErr w:type="spellStart"/>
      <w:r w:rsidRPr="00076B26">
        <w:rPr>
          <w:sz w:val="24"/>
          <w:shd w:val="clear" w:color="auto" w:fill="FFFFFF"/>
          <w:lang w:val="bg-BG"/>
        </w:rPr>
        <w:t>Herbicide-Tolerant</w:t>
      </w:r>
      <w:proofErr w:type="spellEnd"/>
      <w:r w:rsidRPr="00076B26">
        <w:rPr>
          <w:sz w:val="24"/>
          <w:shd w:val="clear" w:color="auto" w:fill="FFFFFF"/>
          <w:lang w:val="bg-BG"/>
        </w:rPr>
        <w:t xml:space="preserve"> </w:t>
      </w:r>
      <w:proofErr w:type="spellStart"/>
      <w:r w:rsidRPr="00076B26">
        <w:rPr>
          <w:sz w:val="24"/>
          <w:shd w:val="clear" w:color="auto" w:fill="FFFFFF"/>
          <w:lang w:val="bg-BG"/>
        </w:rPr>
        <w:t>Crops</w:t>
      </w:r>
      <w:proofErr w:type="spellEnd"/>
      <w:r w:rsidRPr="00076B26">
        <w:rPr>
          <w:sz w:val="24"/>
          <w:shd w:val="clear" w:color="auto" w:fill="FFFFFF"/>
          <w:lang w:val="bg-BG"/>
        </w:rPr>
        <w:t xml:space="preserve">, </w:t>
      </w:r>
      <w:proofErr w:type="spellStart"/>
      <w:r w:rsidRPr="00076B26">
        <w:rPr>
          <w:sz w:val="24"/>
          <w:shd w:val="clear" w:color="auto" w:fill="FFFFFF"/>
          <w:lang w:val="bg-BG"/>
        </w:rPr>
        <w:t>Weeds</w:t>
      </w:r>
      <w:proofErr w:type="spellEnd"/>
      <w:r w:rsidRPr="00076B26">
        <w:rPr>
          <w:sz w:val="24"/>
          <w:shd w:val="clear" w:color="auto" w:fill="FFFFFF"/>
          <w:lang w:val="bg-BG"/>
        </w:rPr>
        <w:t xml:space="preserve">, </w:t>
      </w:r>
      <w:proofErr w:type="spellStart"/>
      <w:r w:rsidRPr="00076B26">
        <w:rPr>
          <w:sz w:val="24"/>
          <w:shd w:val="clear" w:color="auto" w:fill="FFFFFF"/>
          <w:lang w:val="bg-BG"/>
        </w:rPr>
        <w:t>and</w:t>
      </w:r>
      <w:proofErr w:type="spellEnd"/>
      <w:r w:rsidRPr="00076B26">
        <w:rPr>
          <w:sz w:val="24"/>
          <w:shd w:val="clear" w:color="auto" w:fill="FFFFFF"/>
          <w:lang w:val="bg-BG"/>
        </w:rPr>
        <w:t xml:space="preserve"> </w:t>
      </w:r>
      <w:proofErr w:type="spellStart"/>
      <w:r w:rsidRPr="00076B26">
        <w:rPr>
          <w:sz w:val="24"/>
          <w:shd w:val="clear" w:color="auto" w:fill="FFFFFF"/>
          <w:lang w:val="bg-BG"/>
        </w:rPr>
        <w:t>Herbicides</w:t>
      </w:r>
      <w:proofErr w:type="spellEnd"/>
      <w:r w:rsidRPr="00076B26">
        <w:rPr>
          <w:sz w:val="24"/>
          <w:shd w:val="clear" w:color="auto" w:fill="FFFFFF"/>
          <w:lang w:val="bg-BG"/>
        </w:rPr>
        <w:t xml:space="preserve">: </w:t>
      </w:r>
      <w:proofErr w:type="spellStart"/>
      <w:r w:rsidRPr="00076B26">
        <w:rPr>
          <w:sz w:val="24"/>
          <w:shd w:val="clear" w:color="auto" w:fill="FFFFFF"/>
          <w:lang w:val="bg-BG"/>
        </w:rPr>
        <w:t>Overview</w:t>
      </w:r>
      <w:proofErr w:type="spellEnd"/>
      <w:r w:rsidRPr="00076B26">
        <w:rPr>
          <w:sz w:val="24"/>
          <w:shd w:val="clear" w:color="auto" w:fill="FFFFFF"/>
          <w:lang w:val="bg-BG"/>
        </w:rPr>
        <w:t xml:space="preserve"> </w:t>
      </w:r>
      <w:proofErr w:type="spellStart"/>
      <w:r w:rsidRPr="00076B26">
        <w:rPr>
          <w:sz w:val="24"/>
          <w:shd w:val="clear" w:color="auto" w:fill="FFFFFF"/>
          <w:lang w:val="bg-BG"/>
        </w:rPr>
        <w:t>and</w:t>
      </w:r>
      <w:proofErr w:type="spellEnd"/>
      <w:r w:rsidRPr="00076B26">
        <w:rPr>
          <w:sz w:val="24"/>
          <w:shd w:val="clear" w:color="auto" w:fill="FFFFFF"/>
          <w:lang w:val="bg-BG"/>
        </w:rPr>
        <w:t xml:space="preserve"> </w:t>
      </w:r>
      <w:proofErr w:type="spellStart"/>
      <w:r w:rsidRPr="00076B26">
        <w:rPr>
          <w:sz w:val="24"/>
          <w:shd w:val="clear" w:color="auto" w:fill="FFFFFF"/>
          <w:lang w:val="bg-BG"/>
        </w:rPr>
        <w:t>Impact</w:t>
      </w:r>
      <w:proofErr w:type="spellEnd"/>
      <w:r w:rsidRPr="00076B26">
        <w:rPr>
          <w:sz w:val="24"/>
          <w:shd w:val="clear" w:color="auto" w:fill="FFFFFF"/>
          <w:lang w:val="bg-BG"/>
        </w:rPr>
        <w:t xml:space="preserve">“ (Устойчиви на хербициди генетично модифицирани култури, плевели и хербициди: преглед и въздействие), </w:t>
      </w:r>
      <w:proofErr w:type="spellStart"/>
      <w:r w:rsidRPr="00076B26">
        <w:rPr>
          <w:sz w:val="24"/>
          <w:shd w:val="clear" w:color="auto" w:fill="FFFFFF"/>
          <w:lang w:val="bg-BG"/>
        </w:rPr>
        <w:t>Environmental</w:t>
      </w:r>
      <w:proofErr w:type="spellEnd"/>
      <w:r w:rsidRPr="00076B26">
        <w:rPr>
          <w:sz w:val="24"/>
          <w:shd w:val="clear" w:color="auto" w:fill="FFFFFF"/>
          <w:lang w:val="bg-BG"/>
        </w:rPr>
        <w:t xml:space="preserve"> </w:t>
      </w:r>
      <w:proofErr w:type="spellStart"/>
      <w:r w:rsidRPr="00076B26">
        <w:rPr>
          <w:sz w:val="24"/>
          <w:shd w:val="clear" w:color="auto" w:fill="FFFFFF"/>
          <w:lang w:val="bg-BG"/>
        </w:rPr>
        <w:t>Management</w:t>
      </w:r>
      <w:proofErr w:type="spellEnd"/>
      <w:r w:rsidRPr="00076B26">
        <w:rPr>
          <w:sz w:val="24"/>
          <w:shd w:val="clear" w:color="auto" w:fill="FFFFFF"/>
          <w:lang w:val="bg-BG"/>
        </w:rPr>
        <w:t>, януари 2016 г.; 57(1), стр. </w:t>
      </w:r>
      <w:r w:rsidRPr="00076B26">
        <w:rPr>
          <w:sz w:val="24"/>
          <w:shd w:val="clear" w:color="auto" w:fill="FFFFFF"/>
          <w:lang w:val="bg-BG"/>
        </w:rPr>
        <w:t>31 – 48,</w:t>
      </w:r>
      <w:r w:rsidRPr="00076B26">
        <w:rPr>
          <w:sz w:val="24"/>
          <w:lang w:val="bg-BG"/>
        </w:rPr>
        <w:t xml:space="preserve"> </w:t>
      </w:r>
      <w:hyperlink r:id="rId16" w:history="1">
        <w:r w:rsidRPr="00076B26">
          <w:rPr>
            <w:rStyle w:val="Hyperlink"/>
            <w:sz w:val="24"/>
            <w:shd w:val="clear" w:color="auto" w:fill="FFFFFF"/>
            <w:lang w:val="bg-BG"/>
          </w:rPr>
          <w:t>https://doi.org/10.1007/s00267-015-0589-7</w:t>
        </w:r>
      </w:hyperlink>
      <w:r w:rsidRPr="00076B26">
        <w:rPr>
          <w:sz w:val="24"/>
          <w:shd w:val="clear" w:color="auto" w:fill="FFFFFF"/>
          <w:lang w:val="bg-BG"/>
        </w:rPr>
        <w:t xml:space="preserve">, и </w:t>
      </w:r>
      <w:proofErr w:type="spellStart"/>
      <w:r w:rsidRPr="00076B26">
        <w:rPr>
          <w:sz w:val="24"/>
          <w:shd w:val="clear" w:color="auto" w:fill="FFFFFF"/>
          <w:lang w:val="bg-BG"/>
        </w:rPr>
        <w:t>Benbrook</w:t>
      </w:r>
      <w:proofErr w:type="spellEnd"/>
      <w:r w:rsidRPr="00076B26">
        <w:rPr>
          <w:sz w:val="24"/>
          <w:shd w:val="clear" w:color="auto" w:fill="FFFFFF"/>
          <w:lang w:val="bg-BG"/>
        </w:rPr>
        <w:t>, C. M., „</w:t>
      </w:r>
      <w:proofErr w:type="spellStart"/>
      <w:r w:rsidRPr="00076B26">
        <w:rPr>
          <w:sz w:val="24"/>
          <w:shd w:val="clear" w:color="auto" w:fill="FFFFFF"/>
          <w:lang w:val="bg-BG"/>
        </w:rPr>
        <w:t>Impacts</w:t>
      </w:r>
      <w:proofErr w:type="spellEnd"/>
      <w:r w:rsidRPr="00076B26">
        <w:rPr>
          <w:sz w:val="24"/>
          <w:shd w:val="clear" w:color="auto" w:fill="FFFFFF"/>
          <w:lang w:val="bg-BG"/>
        </w:rPr>
        <w:t xml:space="preserve"> </w:t>
      </w:r>
      <w:proofErr w:type="spellStart"/>
      <w:r w:rsidRPr="00076B26">
        <w:rPr>
          <w:sz w:val="24"/>
          <w:shd w:val="clear" w:color="auto" w:fill="FFFFFF"/>
          <w:lang w:val="bg-BG"/>
        </w:rPr>
        <w:t>of</w:t>
      </w:r>
      <w:proofErr w:type="spellEnd"/>
      <w:r w:rsidRPr="00076B26">
        <w:rPr>
          <w:sz w:val="24"/>
          <w:shd w:val="clear" w:color="auto" w:fill="FFFFFF"/>
          <w:lang w:val="bg-BG"/>
        </w:rPr>
        <w:t xml:space="preserve"> </w:t>
      </w:r>
      <w:proofErr w:type="spellStart"/>
      <w:r w:rsidRPr="00076B26">
        <w:rPr>
          <w:sz w:val="24"/>
          <w:shd w:val="clear" w:color="auto" w:fill="FFFFFF"/>
          <w:lang w:val="bg-BG"/>
        </w:rPr>
        <w:t>genetically</w:t>
      </w:r>
      <w:proofErr w:type="spellEnd"/>
      <w:r w:rsidRPr="00076B26">
        <w:rPr>
          <w:sz w:val="24"/>
          <w:shd w:val="clear" w:color="auto" w:fill="FFFFFF"/>
          <w:lang w:val="bg-BG"/>
        </w:rPr>
        <w:t xml:space="preserve"> </w:t>
      </w:r>
      <w:proofErr w:type="spellStart"/>
      <w:r w:rsidRPr="00076B26">
        <w:rPr>
          <w:sz w:val="24"/>
          <w:shd w:val="clear" w:color="auto" w:fill="FFFFFF"/>
          <w:lang w:val="bg-BG"/>
        </w:rPr>
        <w:t>enginered</w:t>
      </w:r>
      <w:proofErr w:type="spellEnd"/>
      <w:r w:rsidRPr="00076B26">
        <w:rPr>
          <w:sz w:val="24"/>
          <w:shd w:val="clear" w:color="auto" w:fill="FFFFFF"/>
          <w:lang w:val="bg-BG"/>
        </w:rPr>
        <w:t xml:space="preserve"> </w:t>
      </w:r>
      <w:proofErr w:type="spellStart"/>
      <w:r w:rsidRPr="00076B26">
        <w:rPr>
          <w:sz w:val="24"/>
          <w:shd w:val="clear" w:color="auto" w:fill="FFFFFF"/>
          <w:lang w:val="bg-BG"/>
        </w:rPr>
        <w:t>crops</w:t>
      </w:r>
      <w:proofErr w:type="spellEnd"/>
      <w:r w:rsidRPr="00076B26">
        <w:rPr>
          <w:sz w:val="24"/>
          <w:shd w:val="clear" w:color="auto" w:fill="FFFFFF"/>
          <w:lang w:val="bg-BG"/>
        </w:rPr>
        <w:t xml:space="preserve"> </w:t>
      </w:r>
      <w:proofErr w:type="spellStart"/>
      <w:r w:rsidRPr="00076B26">
        <w:rPr>
          <w:sz w:val="24"/>
          <w:shd w:val="clear" w:color="auto" w:fill="FFFFFF"/>
          <w:lang w:val="bg-BG"/>
        </w:rPr>
        <w:t>on</w:t>
      </w:r>
      <w:proofErr w:type="spellEnd"/>
      <w:r w:rsidRPr="00076B26">
        <w:rPr>
          <w:sz w:val="24"/>
          <w:shd w:val="clear" w:color="auto" w:fill="FFFFFF"/>
          <w:lang w:val="bg-BG"/>
        </w:rPr>
        <w:t xml:space="preserve"> </w:t>
      </w:r>
      <w:proofErr w:type="spellStart"/>
      <w:r w:rsidRPr="00076B26">
        <w:rPr>
          <w:sz w:val="24"/>
          <w:shd w:val="clear" w:color="auto" w:fill="FFFFFF"/>
          <w:lang w:val="bg-BG"/>
        </w:rPr>
        <w:t>pesticide</w:t>
      </w:r>
      <w:proofErr w:type="spellEnd"/>
      <w:r w:rsidRPr="00076B26">
        <w:rPr>
          <w:sz w:val="24"/>
          <w:shd w:val="clear" w:color="auto" w:fill="FFFFFF"/>
          <w:lang w:val="bg-BG"/>
        </w:rPr>
        <w:t xml:space="preserve"> </w:t>
      </w:r>
      <w:proofErr w:type="spellStart"/>
      <w:r w:rsidRPr="00076B26">
        <w:rPr>
          <w:sz w:val="24"/>
          <w:shd w:val="clear" w:color="auto" w:fill="FFFFFF"/>
          <w:lang w:val="bg-BG"/>
        </w:rPr>
        <w:t>use</w:t>
      </w:r>
      <w:proofErr w:type="spellEnd"/>
      <w:r w:rsidRPr="00076B26">
        <w:rPr>
          <w:sz w:val="24"/>
          <w:shd w:val="clear" w:color="auto" w:fill="FFFFFF"/>
          <w:lang w:val="bg-BG"/>
        </w:rPr>
        <w:t xml:space="preserve"> </w:t>
      </w:r>
      <w:proofErr w:type="spellStart"/>
      <w:r w:rsidRPr="00076B26">
        <w:rPr>
          <w:sz w:val="24"/>
          <w:shd w:val="clear" w:color="auto" w:fill="FFFFFF"/>
          <w:lang w:val="bg-BG"/>
        </w:rPr>
        <w:t>in</w:t>
      </w:r>
      <w:proofErr w:type="spellEnd"/>
      <w:r w:rsidRPr="00076B26">
        <w:rPr>
          <w:sz w:val="24"/>
          <w:shd w:val="clear" w:color="auto" w:fill="FFFFFF"/>
          <w:lang w:val="bg-BG"/>
        </w:rPr>
        <w:t xml:space="preserve"> </w:t>
      </w:r>
      <w:proofErr w:type="spellStart"/>
      <w:r w:rsidRPr="00076B26">
        <w:rPr>
          <w:sz w:val="24"/>
          <w:shd w:val="clear" w:color="auto" w:fill="FFFFFF"/>
          <w:lang w:val="bg-BG"/>
        </w:rPr>
        <w:t>the</w:t>
      </w:r>
      <w:proofErr w:type="spellEnd"/>
      <w:r w:rsidRPr="00076B26">
        <w:rPr>
          <w:sz w:val="24"/>
          <w:shd w:val="clear" w:color="auto" w:fill="FFFFFF"/>
          <w:lang w:val="bg-BG"/>
        </w:rPr>
        <w:t xml:space="preserve"> U.S. – </w:t>
      </w:r>
      <w:proofErr w:type="spellStart"/>
      <w:r w:rsidRPr="00076B26">
        <w:rPr>
          <w:sz w:val="24"/>
          <w:shd w:val="clear" w:color="auto" w:fill="FFFFFF"/>
          <w:lang w:val="bg-BG"/>
        </w:rPr>
        <w:t>the</w:t>
      </w:r>
      <w:proofErr w:type="spellEnd"/>
      <w:r w:rsidRPr="00076B26">
        <w:rPr>
          <w:sz w:val="24"/>
          <w:shd w:val="clear" w:color="auto" w:fill="FFFFFF"/>
          <w:lang w:val="bg-BG"/>
        </w:rPr>
        <w:t xml:space="preserve"> </w:t>
      </w:r>
      <w:proofErr w:type="spellStart"/>
      <w:r w:rsidRPr="00076B26">
        <w:rPr>
          <w:sz w:val="24"/>
          <w:shd w:val="clear" w:color="auto" w:fill="FFFFFF"/>
          <w:lang w:val="bg-BG"/>
        </w:rPr>
        <w:t>first</w:t>
      </w:r>
      <w:proofErr w:type="spellEnd"/>
      <w:r w:rsidRPr="00076B26">
        <w:rPr>
          <w:sz w:val="24"/>
          <w:shd w:val="clear" w:color="auto" w:fill="FFFFFF"/>
          <w:lang w:val="bg-BG"/>
        </w:rPr>
        <w:t xml:space="preserve"> </w:t>
      </w:r>
      <w:proofErr w:type="spellStart"/>
      <w:r w:rsidRPr="00076B26">
        <w:rPr>
          <w:sz w:val="24"/>
          <w:shd w:val="clear" w:color="auto" w:fill="FFFFFF"/>
          <w:lang w:val="bg-BG"/>
        </w:rPr>
        <w:t>sixteen</w:t>
      </w:r>
      <w:proofErr w:type="spellEnd"/>
      <w:r w:rsidRPr="00076B26">
        <w:rPr>
          <w:sz w:val="24"/>
          <w:shd w:val="clear" w:color="auto" w:fill="FFFFFF"/>
          <w:lang w:val="bg-BG"/>
        </w:rPr>
        <w:t xml:space="preserve"> </w:t>
      </w:r>
      <w:proofErr w:type="spellStart"/>
      <w:r w:rsidRPr="00076B26">
        <w:rPr>
          <w:sz w:val="24"/>
          <w:shd w:val="clear" w:color="auto" w:fill="FFFFFF"/>
          <w:lang w:val="bg-BG"/>
        </w:rPr>
        <w:t>years</w:t>
      </w:r>
      <w:proofErr w:type="spellEnd"/>
      <w:r w:rsidRPr="00076B26">
        <w:rPr>
          <w:sz w:val="24"/>
          <w:shd w:val="clear" w:color="auto" w:fill="FFFFFF"/>
          <w:lang w:val="bg-BG"/>
        </w:rPr>
        <w:t xml:space="preserve">“ (Въздействия на културите, продукт на генно инженерство, върху употребата на пестициди в САЩ – първите шестнадесет години), </w:t>
      </w:r>
      <w:proofErr w:type="spellStart"/>
      <w:r w:rsidRPr="00076B26">
        <w:rPr>
          <w:sz w:val="24"/>
          <w:shd w:val="clear" w:color="auto" w:fill="FFFFFF"/>
          <w:lang w:val="bg-BG"/>
        </w:rPr>
        <w:t>Environmental</w:t>
      </w:r>
      <w:proofErr w:type="spellEnd"/>
      <w:r w:rsidRPr="00076B26">
        <w:rPr>
          <w:sz w:val="24"/>
          <w:shd w:val="clear" w:color="auto" w:fill="FFFFFF"/>
          <w:lang w:val="bg-BG"/>
        </w:rPr>
        <w:t xml:space="preserve"> </w:t>
      </w:r>
      <w:proofErr w:type="spellStart"/>
      <w:r w:rsidRPr="00076B26">
        <w:rPr>
          <w:sz w:val="24"/>
          <w:shd w:val="clear" w:color="auto" w:fill="FFFFFF"/>
          <w:lang w:val="bg-BG"/>
        </w:rPr>
        <w:t>Sciences</w:t>
      </w:r>
      <w:proofErr w:type="spellEnd"/>
      <w:r w:rsidRPr="00076B26">
        <w:rPr>
          <w:sz w:val="24"/>
          <w:shd w:val="clear" w:color="auto" w:fill="FFFFFF"/>
          <w:lang w:val="bg-BG"/>
        </w:rPr>
        <w:t xml:space="preserve"> </w:t>
      </w:r>
      <w:proofErr w:type="spellStart"/>
      <w:r w:rsidRPr="00076B26">
        <w:rPr>
          <w:sz w:val="24"/>
          <w:shd w:val="clear" w:color="auto" w:fill="FFFFFF"/>
          <w:lang w:val="bg-BG"/>
        </w:rPr>
        <w:t>Europe</w:t>
      </w:r>
      <w:proofErr w:type="spellEnd"/>
      <w:r w:rsidRPr="00076B26">
        <w:rPr>
          <w:sz w:val="24"/>
          <w:shd w:val="clear" w:color="auto" w:fill="FFFFFF"/>
          <w:lang w:val="bg-BG"/>
        </w:rPr>
        <w:t xml:space="preserve">; 28 септември 2012 г., том 24(1), </w:t>
      </w:r>
      <w:hyperlink r:id="rId17" w:history="1">
        <w:r w:rsidRPr="00076B26">
          <w:rPr>
            <w:rStyle w:val="Hyperlink"/>
            <w:sz w:val="24"/>
            <w:shd w:val="clear" w:color="auto" w:fill="FFFFFF"/>
            <w:lang w:val="bg-BG"/>
          </w:rPr>
          <w:t>https://doi.org/10.1186/2190-4715-24-24</w:t>
        </w:r>
      </w:hyperlink>
      <w:r w:rsidRPr="00076B26">
        <w:rPr>
          <w:sz w:val="24"/>
          <w:shd w:val="clear" w:color="auto" w:fill="FFFFFF"/>
          <w:lang w:val="bg-BG"/>
        </w:rPr>
        <w:t>.</w:t>
      </w:r>
    </w:p>
  </w:footnote>
  <w:footnote w:id="8">
    <w:p w14:paraId="324D4C9F" w14:textId="6B77BB83" w:rsidR="00E42589" w:rsidRPr="00076B26" w:rsidRDefault="00E42589" w:rsidP="00CD385C">
      <w:pPr>
        <w:pStyle w:val="FootnoteText"/>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 xml:space="preserve">Вж. </w:t>
      </w:r>
      <w:r w:rsidRPr="00076B26">
        <w:rPr>
          <w:sz w:val="24"/>
          <w:lang w:val="bg-BG"/>
        </w:rPr>
        <w:t xml:space="preserve">например: </w:t>
      </w:r>
      <w:r w:rsidR="00CD385C">
        <w:rPr>
          <w:sz w:val="24"/>
          <w:lang w:val="bg-BG"/>
        </w:rPr>
        <w:br/>
      </w:r>
      <w:hyperlink r:id="rId18" w:history="1">
        <w:r w:rsidRPr="00076B26">
          <w:rPr>
            <w:rStyle w:val="Hyperlink"/>
            <w:sz w:val="24"/>
            <w:lang w:val="bg-BG"/>
          </w:rPr>
          <w:t>https://doi.org/10.1002/ps.8105</w:t>
        </w:r>
      </w:hyperlink>
      <w:r w:rsidRPr="00076B26">
        <w:rPr>
          <w:sz w:val="24"/>
          <w:lang w:val="bg-BG"/>
        </w:rPr>
        <w:t>,</w:t>
      </w:r>
      <w:r w:rsidR="00CD385C">
        <w:rPr>
          <w:sz w:val="24"/>
          <w:lang w:val="bg-BG"/>
        </w:rPr>
        <w:t xml:space="preserve"> </w:t>
      </w:r>
      <w:r w:rsidR="00CD385C">
        <w:rPr>
          <w:sz w:val="24"/>
          <w:lang w:val="bg-BG"/>
        </w:rPr>
        <w:br/>
      </w:r>
      <w:hyperlink r:id="rId19" w:tgtFrame="_blank" w:tooltip="Постоянна връзка посредством идентификатор на цифров обект" w:history="1">
        <w:r w:rsidRPr="00076B26">
          <w:rPr>
            <w:rStyle w:val="Hyperlink"/>
            <w:sz w:val="24"/>
            <w:lang w:val="bg-BG"/>
          </w:rPr>
          <w:t>https://doi.org/10.1016/j.geoforum.2009.03.009</w:t>
        </w:r>
      </w:hyperlink>
      <w:r w:rsidRPr="00076B26">
        <w:rPr>
          <w:sz w:val="24"/>
          <w:lang w:val="bg-BG"/>
        </w:rPr>
        <w:t>.</w:t>
      </w:r>
    </w:p>
  </w:footnote>
  <w:footnote w:id="9">
    <w:p w14:paraId="5A813418" w14:textId="74D64DA6" w:rsidR="00E42589" w:rsidRPr="00076B26" w:rsidRDefault="00E42589" w:rsidP="00076B26">
      <w:pPr>
        <w:pStyle w:val="FootnoteText"/>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 xml:space="preserve">Вж. </w:t>
      </w:r>
      <w:r w:rsidRPr="00076B26">
        <w:rPr>
          <w:sz w:val="24"/>
          <w:lang w:val="bg-BG"/>
        </w:rPr>
        <w:t>например:</w:t>
      </w:r>
      <w:r w:rsidRPr="00076B26">
        <w:rPr>
          <w:sz w:val="24"/>
          <w:lang w:val="bg-BG"/>
        </w:rPr>
        <w:br/>
      </w:r>
      <w:hyperlink r:id="rId20" w:tgtFrame="_blank" w:tooltip="Постоянна връзка посредством идентификатор на цифров обект" w:history="1">
        <w:r w:rsidRPr="00076B26">
          <w:rPr>
            <w:rStyle w:val="Hyperlink"/>
            <w:sz w:val="24"/>
            <w:lang w:val="bg-BG"/>
          </w:rPr>
          <w:t>https://doi.org/10.1016/j.mrrev.2019.02.001</w:t>
        </w:r>
      </w:hyperlink>
      <w:r w:rsidRPr="00076B26">
        <w:rPr>
          <w:sz w:val="24"/>
          <w:lang w:val="bg-BG"/>
        </w:rPr>
        <w:t>,</w:t>
      </w:r>
      <w:r w:rsidRPr="00076B26">
        <w:rPr>
          <w:sz w:val="24"/>
          <w:lang w:val="bg-BG"/>
        </w:rPr>
        <w:br/>
      </w:r>
      <w:hyperlink r:id="rId21" w:history="1">
        <w:r w:rsidRPr="00076B26">
          <w:rPr>
            <w:rStyle w:val="Hyperlink"/>
            <w:sz w:val="24"/>
            <w:lang w:val="bg-BG"/>
          </w:rPr>
          <w:t>https://doi.org/10.1093/ije/dyz017</w:t>
        </w:r>
      </w:hyperlink>
      <w:r w:rsidRPr="00076B26">
        <w:rPr>
          <w:sz w:val="24"/>
          <w:lang w:val="bg-BG"/>
        </w:rPr>
        <w:t>,</w:t>
      </w:r>
      <w:r w:rsidRPr="00076B26">
        <w:rPr>
          <w:sz w:val="24"/>
          <w:lang w:val="bg-BG"/>
        </w:rPr>
        <w:br/>
      </w:r>
      <w:hyperlink r:id="rId22" w:history="1">
        <w:r w:rsidRPr="00076B26">
          <w:rPr>
            <w:rStyle w:val="Hyperlink"/>
            <w:sz w:val="24"/>
            <w:lang w:val="bg-BG"/>
          </w:rPr>
          <w:t>https://doi.org/10.1371/journal.pone.0219610</w:t>
        </w:r>
      </w:hyperlink>
      <w:r w:rsidRPr="00076B26">
        <w:rPr>
          <w:sz w:val="24"/>
          <w:lang w:val="bg-BG"/>
        </w:rPr>
        <w:t xml:space="preserve"> </w:t>
      </w:r>
      <w:proofErr w:type="spellStart"/>
      <w:r w:rsidRPr="00076B26">
        <w:rPr>
          <w:sz w:val="24"/>
          <w:lang w:val="bg-BG"/>
        </w:rPr>
        <w:t>and</w:t>
      </w:r>
      <w:proofErr w:type="spellEnd"/>
      <w:r w:rsidRPr="00076B26">
        <w:rPr>
          <w:sz w:val="24"/>
          <w:lang w:val="bg-BG"/>
        </w:rPr>
        <w:br/>
      </w:r>
      <w:hyperlink r:id="rId23" w:history="1">
        <w:r w:rsidRPr="00076B26">
          <w:rPr>
            <w:rStyle w:val="Hyperlink"/>
            <w:sz w:val="24"/>
            <w:lang w:val="bg-BG"/>
          </w:rPr>
          <w:t>https://doi.org/10.1186/s13045-019-0767-9</w:t>
        </w:r>
      </w:hyperlink>
      <w:r w:rsidRPr="00076B26">
        <w:rPr>
          <w:sz w:val="24"/>
          <w:lang w:val="bg-BG"/>
        </w:rPr>
        <w:t>.</w:t>
      </w:r>
    </w:p>
  </w:footnote>
  <w:footnote w:id="10">
    <w:p w14:paraId="29B86FBC" w14:textId="7AF3BC5A" w:rsidR="00E42589" w:rsidRPr="00076B26" w:rsidRDefault="00E42589" w:rsidP="00076B26">
      <w:pPr>
        <w:pStyle w:val="FootnoteText"/>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 xml:space="preserve">През декември 2022 г. на 15-ата конференция на страните по Конвенцията на ООН за биологичното разнообразие беше договорена глобалната рамка за биологичното разнообразие Кунмин – Монреал, която включва глобална цел за намаляване на риска от пестициди с най-малко 50% до 2030 г. </w:t>
      </w:r>
      <w:r w:rsidRPr="00076B26">
        <w:rPr>
          <w:sz w:val="24"/>
          <w:lang w:val="bg-BG"/>
        </w:rPr>
        <w:t>(вж.:</w:t>
      </w:r>
      <w:r w:rsidRPr="00076B26">
        <w:rPr>
          <w:color w:val="000000" w:themeColor="text1"/>
          <w:sz w:val="24"/>
          <w:lang w:val="bg-BG"/>
        </w:rPr>
        <w:t xml:space="preserve"> </w:t>
      </w:r>
      <w:hyperlink r:id="rId24" w:history="1">
        <w:r w:rsidRPr="00076B26">
          <w:rPr>
            <w:rStyle w:val="Hyperlink"/>
            <w:sz w:val="24"/>
            <w:lang w:val="bg-BG"/>
          </w:rPr>
          <w:t>https://ec.europa.eu/commission/presscorner/detail/bg/ip_22_7834</w:t>
        </w:r>
      </w:hyperlink>
      <w:r w:rsidRPr="00076B26">
        <w:rPr>
          <w:sz w:val="24"/>
          <w:lang w:val="bg-BG"/>
        </w:rPr>
        <w:t>)</w:t>
      </w:r>
    </w:p>
  </w:footnote>
  <w:footnote w:id="11">
    <w:p w14:paraId="23A3522B" w14:textId="21DC8BD1" w:rsidR="00E42589" w:rsidRPr="00076B26" w:rsidRDefault="00E42589" w:rsidP="00076B26">
      <w:pPr>
        <w:pStyle w:val="FootnoteText"/>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hyperlink r:id="rId25" w:history="1">
        <w:r w:rsidRPr="00076B26">
          <w:rPr>
            <w:rStyle w:val="Hyperlink"/>
            <w:sz w:val="24"/>
            <w:lang w:val="bg-BG"/>
          </w:rPr>
          <w:t>https://commission.europa.eu/strategy-and-policy/priorities-2019-2024/european-green-deal/agriculture-and-green-deal/strategic-dialogue-future-eu-agriculture_bg</w:t>
        </w:r>
      </w:hyperlink>
      <w:r w:rsidRPr="00076B26">
        <w:rPr>
          <w:rStyle w:val="Hyperlink"/>
          <w:sz w:val="24"/>
          <w:lang w:val="bg-BG"/>
        </w:rPr>
        <w:t>.</w:t>
      </w:r>
      <w:r w:rsidRPr="00076B26">
        <w:rPr>
          <w:sz w:val="24"/>
          <w:lang w:val="bg-BG"/>
        </w:rPr>
        <w:t xml:space="preserve"> </w:t>
      </w:r>
    </w:p>
  </w:footnote>
  <w:footnote w:id="12">
    <w:p w14:paraId="4B94116A" w14:textId="24D90477" w:rsidR="00E42589" w:rsidRPr="00076B26" w:rsidRDefault="00E42589" w:rsidP="00076B26">
      <w:pPr>
        <w:pStyle w:val="FootnoteText"/>
        <w:ind w:left="567" w:hanging="567"/>
        <w:rPr>
          <w:sz w:val="24"/>
          <w:lang w:val="bg-BG"/>
        </w:rPr>
      </w:pPr>
      <w:r w:rsidRPr="00076B26">
        <w:rPr>
          <w:rStyle w:val="FootnoteReference"/>
          <w:sz w:val="24"/>
          <w:lang w:val="bg-BG"/>
        </w:rPr>
        <w:footnoteRef/>
      </w:r>
      <w:r w:rsidR="00076B26" w:rsidRPr="00076B26">
        <w:rPr>
          <w:sz w:val="24"/>
          <w:lang w:val="bg-BG"/>
        </w:rPr>
        <w:t xml:space="preserve"> </w:t>
      </w:r>
      <w:r w:rsidR="00076B26" w:rsidRPr="00076B26">
        <w:rPr>
          <w:sz w:val="24"/>
          <w:lang w:val="bg-BG"/>
        </w:rPr>
        <w:tab/>
      </w:r>
      <w:r w:rsidRPr="00076B26">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w:t>
      </w:r>
      <w:r w:rsidRPr="00076B26">
        <w:rPr>
          <w:sz w:val="24"/>
          <w:lang w:val="bg-BG"/>
        </w:rPr>
        <w:t>1, ELI: </w:t>
      </w:r>
      <w:hyperlink r:id="rId26" w:tgtFrame="Gives%20access%20to%20this%20document%20through%20its%20ELI%20URI." w:history="1">
        <w:r w:rsidRPr="00076B26">
          <w:rPr>
            <w:rStyle w:val="Hyperlink"/>
            <w:sz w:val="24"/>
            <w:lang w:val="bg-BG"/>
          </w:rPr>
          <w:t>http://data.europa.eu/eli/reg/2002/178/oj</w:t>
        </w:r>
      </w:hyperlink>
      <w:r w:rsidRPr="00076B26">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46D8" w14:textId="77777777" w:rsidR="00064002" w:rsidRPr="00076B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EE9" w14:textId="77777777" w:rsidR="00064002" w:rsidRPr="00076B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BE30D" w14:textId="77777777" w:rsidR="00064002" w:rsidRPr="00076B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D25606"/>
    <w:multiLevelType w:val="hybridMultilevel"/>
    <w:tmpl w:val="4EB4D87C"/>
    <w:lvl w:ilvl="0" w:tplc="B0CAE6AE">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851644623">
    <w:abstractNumId w:val="9"/>
  </w:num>
  <w:num w:numId="2" w16cid:durableId="1108156073">
    <w:abstractNumId w:val="9"/>
  </w:num>
  <w:num w:numId="3" w16cid:durableId="1790471517">
    <w:abstractNumId w:val="7"/>
  </w:num>
  <w:num w:numId="4" w16cid:durableId="2145467481">
    <w:abstractNumId w:val="7"/>
  </w:num>
  <w:num w:numId="5" w16cid:durableId="1080443726">
    <w:abstractNumId w:val="6"/>
  </w:num>
  <w:num w:numId="6" w16cid:durableId="1508405200">
    <w:abstractNumId w:val="6"/>
  </w:num>
  <w:num w:numId="7" w16cid:durableId="2096438329">
    <w:abstractNumId w:val="5"/>
  </w:num>
  <w:num w:numId="8" w16cid:durableId="388308952">
    <w:abstractNumId w:val="5"/>
  </w:num>
  <w:num w:numId="9" w16cid:durableId="446891492">
    <w:abstractNumId w:val="4"/>
  </w:num>
  <w:num w:numId="10" w16cid:durableId="1655570823">
    <w:abstractNumId w:val="4"/>
  </w:num>
  <w:num w:numId="11" w16cid:durableId="1491098261">
    <w:abstractNumId w:val="8"/>
  </w:num>
  <w:num w:numId="12" w16cid:durableId="1535001381">
    <w:abstractNumId w:val="8"/>
  </w:num>
  <w:num w:numId="13" w16cid:durableId="1931698092">
    <w:abstractNumId w:val="3"/>
  </w:num>
  <w:num w:numId="14" w16cid:durableId="427387524">
    <w:abstractNumId w:val="3"/>
  </w:num>
  <w:num w:numId="15" w16cid:durableId="1375428602">
    <w:abstractNumId w:val="2"/>
  </w:num>
  <w:num w:numId="16" w16cid:durableId="368073263">
    <w:abstractNumId w:val="2"/>
  </w:num>
  <w:num w:numId="17" w16cid:durableId="1052117258">
    <w:abstractNumId w:val="1"/>
  </w:num>
  <w:num w:numId="18" w16cid:durableId="928388349">
    <w:abstractNumId w:val="1"/>
  </w:num>
  <w:num w:numId="19" w16cid:durableId="171263078">
    <w:abstractNumId w:val="0"/>
  </w:num>
  <w:num w:numId="20" w16cid:durableId="1898467368">
    <w:abstractNumId w:val="0"/>
  </w:num>
  <w:num w:numId="21" w16cid:durableId="93861126">
    <w:abstractNumId w:val="9"/>
  </w:num>
  <w:num w:numId="22" w16cid:durableId="1054893336">
    <w:abstractNumId w:val="7"/>
  </w:num>
  <w:num w:numId="23" w16cid:durableId="722870123">
    <w:abstractNumId w:val="6"/>
  </w:num>
  <w:num w:numId="24" w16cid:durableId="2127654481">
    <w:abstractNumId w:val="5"/>
  </w:num>
  <w:num w:numId="25" w16cid:durableId="910963579">
    <w:abstractNumId w:val="4"/>
  </w:num>
  <w:num w:numId="26" w16cid:durableId="1008294076">
    <w:abstractNumId w:val="8"/>
  </w:num>
  <w:num w:numId="27" w16cid:durableId="418604665">
    <w:abstractNumId w:val="3"/>
  </w:num>
  <w:num w:numId="28" w16cid:durableId="1177186786">
    <w:abstractNumId w:val="2"/>
  </w:num>
  <w:num w:numId="29" w16cid:durableId="647244938">
    <w:abstractNumId w:val="1"/>
  </w:num>
  <w:num w:numId="30" w16cid:durableId="865756051">
    <w:abstractNumId w:val="0"/>
  </w:num>
  <w:num w:numId="31" w16cid:durableId="958102932">
    <w:abstractNumId w:val="9"/>
  </w:num>
  <w:num w:numId="32" w16cid:durableId="794375541">
    <w:abstractNumId w:val="7"/>
  </w:num>
  <w:num w:numId="33" w16cid:durableId="31807789">
    <w:abstractNumId w:val="6"/>
  </w:num>
  <w:num w:numId="34" w16cid:durableId="410126520">
    <w:abstractNumId w:val="5"/>
  </w:num>
  <w:num w:numId="35" w16cid:durableId="1649746388">
    <w:abstractNumId w:val="4"/>
  </w:num>
  <w:num w:numId="36" w16cid:durableId="812455123">
    <w:abstractNumId w:val="8"/>
  </w:num>
  <w:num w:numId="37" w16cid:durableId="1074667248">
    <w:abstractNumId w:val="3"/>
  </w:num>
  <w:num w:numId="38" w16cid:durableId="1582370526">
    <w:abstractNumId w:val="2"/>
  </w:num>
  <w:num w:numId="39" w16cid:durableId="1449739367">
    <w:abstractNumId w:val="1"/>
  </w:num>
  <w:num w:numId="40" w16cid:durableId="1802335151">
    <w:abstractNumId w:val="0"/>
  </w:num>
  <w:num w:numId="41" w16cid:durableId="259333303">
    <w:abstractNumId w:val="10"/>
  </w:num>
  <w:num w:numId="42" w16cid:durableId="1513184444">
    <w:abstractNumId w:val="10"/>
  </w:num>
  <w:num w:numId="43" w16cid:durableId="986711867">
    <w:abstractNumId w:val="10"/>
  </w:num>
  <w:num w:numId="44" w16cid:durableId="92477242">
    <w:abstractNumId w:val="11"/>
  </w:num>
  <w:num w:numId="45" w16cid:durableId="1426247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BG"/>
    <w:docVar w:name="dvnumam" w:val="0"/>
    <w:docVar w:name="dvpe" w:val="779.397"/>
    <w:docVar w:name="dvtitre" w:val="Резолюция на Европейския парламент от ...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D110123/02 – 2025/2958(RSP))"/>
  </w:docVars>
  <w:rsids>
    <w:rsidRoot w:val="00565B02"/>
    <w:rsid w:val="00002272"/>
    <w:rsid w:val="00064002"/>
    <w:rsid w:val="00066BCA"/>
    <w:rsid w:val="000677B9"/>
    <w:rsid w:val="00076B26"/>
    <w:rsid w:val="000831BA"/>
    <w:rsid w:val="000A42CC"/>
    <w:rsid w:val="000E7DD9"/>
    <w:rsid w:val="0010095E"/>
    <w:rsid w:val="00125B37"/>
    <w:rsid w:val="00187494"/>
    <w:rsid w:val="001F32AE"/>
    <w:rsid w:val="002767FF"/>
    <w:rsid w:val="002B18FE"/>
    <w:rsid w:val="002B5493"/>
    <w:rsid w:val="003177E9"/>
    <w:rsid w:val="00343214"/>
    <w:rsid w:val="00361C00"/>
    <w:rsid w:val="00395FA1"/>
    <w:rsid w:val="003E15D4"/>
    <w:rsid w:val="00411CCE"/>
    <w:rsid w:val="0041666E"/>
    <w:rsid w:val="00421060"/>
    <w:rsid w:val="00471C19"/>
    <w:rsid w:val="004777B0"/>
    <w:rsid w:val="004867E3"/>
    <w:rsid w:val="00494A28"/>
    <w:rsid w:val="004C0004"/>
    <w:rsid w:val="004C5D52"/>
    <w:rsid w:val="0050519A"/>
    <w:rsid w:val="005072A1"/>
    <w:rsid w:val="00514517"/>
    <w:rsid w:val="00545827"/>
    <w:rsid w:val="00560270"/>
    <w:rsid w:val="00565B0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88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EFC"/>
    <w:rsid w:val="00CC2357"/>
    <w:rsid w:val="00CD385C"/>
    <w:rsid w:val="00CF071A"/>
    <w:rsid w:val="00D058B8"/>
    <w:rsid w:val="00D56C11"/>
    <w:rsid w:val="00D834A0"/>
    <w:rsid w:val="00D872DF"/>
    <w:rsid w:val="00D91E21"/>
    <w:rsid w:val="00DA7FCD"/>
    <w:rsid w:val="00DE622E"/>
    <w:rsid w:val="00E365E1"/>
    <w:rsid w:val="00E42589"/>
    <w:rsid w:val="00E51A48"/>
    <w:rsid w:val="00E820A4"/>
    <w:rsid w:val="00EB006A"/>
    <w:rsid w:val="00EB4772"/>
    <w:rsid w:val="00ED169E"/>
    <w:rsid w:val="00ED4235"/>
    <w:rsid w:val="00F04346"/>
    <w:rsid w:val="00F075DC"/>
    <w:rsid w:val="00F119EC"/>
    <w:rsid w:val="00F149E9"/>
    <w:rsid w:val="00F2245F"/>
    <w:rsid w:val="00F5134D"/>
    <w:rsid w:val="00F74202"/>
    <w:rsid w:val="00F87713"/>
    <w:rsid w:val="00FB4360"/>
    <w:rsid w:val="00FD0C70"/>
    <w:rsid w:val="00FF7C2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B4EE0"/>
  <w15:chartTrackingRefBased/>
  <w15:docId w15:val="{424F1949-2709-4882-84F8-26D75C35C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E42589"/>
    <w:pPr>
      <w:spacing w:before="480" w:after="240"/>
    </w:pPr>
  </w:style>
  <w:style w:type="paragraph" w:customStyle="1" w:styleId="NormalHanging12a">
    <w:name w:val="NormalHanging12a"/>
    <w:basedOn w:val="Normal"/>
    <w:uiPriority w:val="99"/>
    <w:qFormat/>
    <w:rsid w:val="00E42589"/>
    <w:pPr>
      <w:spacing w:after="240"/>
      <w:ind w:left="567" w:hanging="567"/>
    </w:pPr>
  </w:style>
  <w:style w:type="character" w:styleId="Hyperlink">
    <w:name w:val="Hyperlink"/>
    <w:basedOn w:val="DefaultParagraphFont"/>
    <w:uiPriority w:val="99"/>
    <w:rsid w:val="00E42589"/>
    <w:rPr>
      <w:color w:val="0563C1" w:themeColor="hyperlink"/>
      <w:u w:val="single"/>
    </w:rPr>
  </w:style>
  <w:style w:type="paragraph" w:styleId="NormalWeb">
    <w:name w:val="Normal (Web)"/>
    <w:basedOn w:val="Normal"/>
    <w:uiPriority w:val="99"/>
    <w:unhideWhenUsed/>
    <w:rsid w:val="00E42589"/>
    <w:pPr>
      <w:widowControl/>
      <w:spacing w:before="100" w:beforeAutospacing="1" w:after="100" w:afterAutospacing="1"/>
    </w:pPr>
    <w:rPr>
      <w:szCs w:val="24"/>
    </w:rPr>
  </w:style>
  <w:style w:type="paragraph" w:styleId="Revision">
    <w:name w:val="Revision"/>
    <w:hidden/>
    <w:uiPriority w:val="99"/>
    <w:semiHidden/>
    <w:rsid w:val="00E51A4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bg"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bg/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1682</Words>
  <Characters>9955</Characters>
  <Application>Microsoft Office Word</Application>
  <DocSecurity>0</DocSecurity>
  <Lines>269</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2026-01-27T11:25:00Z</dcterms:created>
  <dcterms:modified xsi:type="dcterms:W3CDTF">2026-01-27T11:25:00Z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B10-0562/2025</vt:lpwstr>
  </property>
  <property fmtid="{D5CDD505-2E9C-101B-9397-08002B2CF9AE}" pid="4" name="&lt;Type&gt;">
    <vt:lpwstr>RR</vt:lpwstr>
  </property>
</Properties>
</file>