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229C" w14:paraId="461DFDEE" w14:textId="77777777" w:rsidTr="0010095E">
        <w:trPr>
          <w:trHeight w:hRule="exact" w:val="1418"/>
        </w:trPr>
        <w:tc>
          <w:tcPr>
            <w:tcW w:w="6804" w:type="dxa"/>
            <w:shd w:val="clear" w:color="auto" w:fill="auto"/>
            <w:vAlign w:val="center"/>
          </w:tcPr>
          <w:p w14:paraId="759471B7" w14:textId="77777777" w:rsidR="00751A4A" w:rsidRPr="000E229C" w:rsidRDefault="00217055" w:rsidP="0010095E">
            <w:pPr>
              <w:pStyle w:val="EPName"/>
            </w:pPr>
            <w:r w:rsidRPr="000E229C">
              <w:t>Evropský parlament</w:t>
            </w:r>
          </w:p>
          <w:p w14:paraId="5ADB79D5" w14:textId="77777777" w:rsidR="00751A4A" w:rsidRPr="000E229C" w:rsidRDefault="005F1B17" w:rsidP="005F1B17">
            <w:pPr>
              <w:pStyle w:val="EPTerm"/>
              <w:rPr>
                <w:rStyle w:val="HideTWBExt"/>
                <w:noProof w:val="0"/>
                <w:vanish w:val="0"/>
                <w:color w:val="auto"/>
              </w:rPr>
            </w:pPr>
            <w:r w:rsidRPr="000E229C">
              <w:t>2024</w:t>
            </w:r>
            <w:r w:rsidR="00817416" w:rsidRPr="000E229C">
              <w:t>-202</w:t>
            </w:r>
            <w:r w:rsidRPr="000E229C">
              <w:t>9</w:t>
            </w:r>
          </w:p>
        </w:tc>
        <w:tc>
          <w:tcPr>
            <w:tcW w:w="2268" w:type="dxa"/>
            <w:shd w:val="clear" w:color="auto" w:fill="auto"/>
          </w:tcPr>
          <w:p w14:paraId="30DDC010" w14:textId="77777777" w:rsidR="00751A4A" w:rsidRPr="000E229C" w:rsidRDefault="00187494" w:rsidP="0010095E">
            <w:pPr>
              <w:pStyle w:val="EPLogo"/>
            </w:pPr>
            <w:r w:rsidRPr="000E229C">
              <w:rPr>
                <w:noProof/>
                <w:lang w:eastAsia="ja-JP"/>
              </w:rPr>
              <w:drawing>
                <wp:inline distT="0" distB="0" distL="0" distR="0" wp14:anchorId="2BCC9527" wp14:editId="6282D1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A35E51" w14:textId="77777777" w:rsidR="00D058B8" w:rsidRPr="000E229C" w:rsidRDefault="00D058B8" w:rsidP="004C5D52">
      <w:pPr>
        <w:pStyle w:val="LineTop"/>
      </w:pPr>
    </w:p>
    <w:p w14:paraId="21660E83" w14:textId="77777777" w:rsidR="00680577" w:rsidRPr="000E229C" w:rsidRDefault="00217055" w:rsidP="00680577">
      <w:pPr>
        <w:pStyle w:val="EPBodyTA1"/>
      </w:pPr>
      <w:r w:rsidRPr="000E229C">
        <w:t>PŘIJATÉ TEXTY</w:t>
      </w:r>
    </w:p>
    <w:p w14:paraId="63477D32" w14:textId="77777777" w:rsidR="00D058B8" w:rsidRPr="000E229C" w:rsidRDefault="00D058B8" w:rsidP="00D058B8">
      <w:pPr>
        <w:pStyle w:val="LineBottom"/>
      </w:pPr>
    </w:p>
    <w:p w14:paraId="489ADD8D" w14:textId="01EF9113" w:rsidR="00217055" w:rsidRPr="000E229C" w:rsidRDefault="00217055" w:rsidP="00217055">
      <w:pPr>
        <w:pStyle w:val="ATHeading1"/>
      </w:pPr>
      <w:bookmarkStart w:id="0" w:name="TANumber"/>
      <w:r w:rsidRPr="000E229C">
        <w:t>P10_TA(2025)0</w:t>
      </w:r>
      <w:r w:rsidR="00D87BC2">
        <w:t>327</w:t>
      </w:r>
      <w:bookmarkEnd w:id="0"/>
    </w:p>
    <w:p w14:paraId="783243C2" w14:textId="4E761876" w:rsidR="00217055" w:rsidRPr="000E229C" w:rsidRDefault="00A30A74" w:rsidP="00217055">
      <w:pPr>
        <w:pStyle w:val="ATHeading2"/>
      </w:pPr>
      <w:bookmarkStart w:id="1" w:name="title"/>
      <w:bookmarkStart w:id="2" w:name="_Hlk216701509"/>
      <w:r>
        <w:t>G</w:t>
      </w:r>
      <w:r w:rsidR="00217055" w:rsidRPr="000E229C">
        <w:t>eneticky modifikovaná kukuřice NK603</w:t>
      </w:r>
      <w:bookmarkEnd w:id="1"/>
    </w:p>
    <w:bookmarkEnd w:id="2"/>
    <w:p w14:paraId="3B5E6C01" w14:textId="77777777" w:rsidR="00217055" w:rsidRPr="000E229C" w:rsidRDefault="00217055" w:rsidP="00217055">
      <w:pPr>
        <w:rPr>
          <w:i/>
          <w:vanish/>
        </w:rPr>
      </w:pPr>
      <w:r w:rsidRPr="000E229C">
        <w:rPr>
          <w:i/>
        </w:rPr>
        <w:fldChar w:fldCharType="begin"/>
      </w:r>
      <w:r w:rsidRPr="000E229C">
        <w:rPr>
          <w:i/>
        </w:rPr>
        <w:instrText xml:space="preserve"> TC"(</w:instrText>
      </w:r>
      <w:bookmarkStart w:id="3" w:name="DocNumber"/>
      <w:r w:rsidRPr="000E229C">
        <w:rPr>
          <w:i/>
        </w:rPr>
        <w:instrText>B10-0562/2025</w:instrText>
      </w:r>
      <w:bookmarkEnd w:id="3"/>
      <w:r w:rsidRPr="000E229C">
        <w:rPr>
          <w:i/>
        </w:rPr>
        <w:instrText xml:space="preserve">)"\l3 \n&gt; \* MERGEFORMAT </w:instrText>
      </w:r>
      <w:r w:rsidRPr="000E229C">
        <w:rPr>
          <w:i/>
        </w:rPr>
        <w:fldChar w:fldCharType="end"/>
      </w:r>
    </w:p>
    <w:p w14:paraId="30622606" w14:textId="77777777" w:rsidR="00217055" w:rsidRPr="000E229C" w:rsidRDefault="00217055" w:rsidP="00217055">
      <w:pPr>
        <w:rPr>
          <w:vanish/>
        </w:rPr>
      </w:pPr>
      <w:bookmarkStart w:id="4" w:name="PE"/>
      <w:r w:rsidRPr="000E229C">
        <w:rPr>
          <w:vanish/>
        </w:rPr>
        <w:t>PE779.397</w:t>
      </w:r>
      <w:bookmarkEnd w:id="4"/>
    </w:p>
    <w:p w14:paraId="40598ED8" w14:textId="25702F11" w:rsidR="00217055" w:rsidRPr="000E229C" w:rsidRDefault="00217055" w:rsidP="00217055">
      <w:pPr>
        <w:pStyle w:val="ATHeading3"/>
      </w:pPr>
      <w:bookmarkStart w:id="5" w:name="Sujet"/>
      <w:r w:rsidRPr="000E229C">
        <w:t>Usnesení Evropského parlamentu ze dne</w:t>
      </w:r>
      <w:r w:rsidR="00A30A74">
        <w:t xml:space="preserve"> 16. prosince</w:t>
      </w:r>
      <w:r w:rsidRPr="000E229C">
        <w:t xml:space="preserve"> 2025 o návrhu prováděcího rozhodnutí Komise, kterým se obnovuje povolení uvedení produktů, které obsahují geneticky modifikovanou kukuřici NK603, sestávají z ní nebo jsou z ní vyrobeny, na trh, podle nařízení Evropského parlamentu a Rady (ES) č. 1829/2003</w:t>
      </w:r>
      <w:bookmarkEnd w:id="5"/>
      <w:r w:rsidRPr="000E229C">
        <w:t xml:space="preserve"> </w:t>
      </w:r>
      <w:bookmarkStart w:id="6" w:name="References"/>
      <w:r w:rsidRPr="000E229C">
        <w:t>(D110123/02 – 2025/2958(RSP))</w:t>
      </w:r>
      <w:bookmarkEnd w:id="6"/>
    </w:p>
    <w:p w14:paraId="71D27CF2" w14:textId="77777777" w:rsidR="00A90747" w:rsidRPr="000E229C" w:rsidRDefault="00A90747" w:rsidP="00A90747">
      <w:pPr>
        <w:pStyle w:val="EPComma"/>
      </w:pPr>
      <w:bookmarkStart w:id="7" w:name="TextBodyBegin"/>
      <w:bookmarkEnd w:id="7"/>
      <w:r w:rsidRPr="000E229C">
        <w:rPr>
          <w:i/>
          <w:iCs/>
        </w:rPr>
        <w:t>Evropský parlament</w:t>
      </w:r>
      <w:r w:rsidRPr="000E229C">
        <w:t>,</w:t>
      </w:r>
    </w:p>
    <w:p w14:paraId="33104627" w14:textId="77777777" w:rsidR="00A90747" w:rsidRPr="000E229C" w:rsidRDefault="00A90747" w:rsidP="00A90747">
      <w:pPr>
        <w:pStyle w:val="NormalHanging12a"/>
      </w:pPr>
      <w:r w:rsidRPr="000E229C">
        <w:t>–</w:t>
      </w:r>
      <w:r w:rsidRPr="000E229C">
        <w:tab/>
        <w:t>s ohledem na návrh prováděcího rozhodnutí Komise, kterým se obnovuje povolení uvedení produktů, které obsahují geneticky modifikovanou kukuřici NK603, sestávají z ní nebo jsou z ní vyrobeny, na trh podle nařízení Evropského parlamentu a Rady (ES) č. 1829/2003 (D110123/02),</w:t>
      </w:r>
    </w:p>
    <w:p w14:paraId="126011EC" w14:textId="77777777" w:rsidR="00A90747" w:rsidRPr="000E229C" w:rsidRDefault="00A90747" w:rsidP="00A90747">
      <w:pPr>
        <w:pStyle w:val="NormalHanging12a"/>
      </w:pPr>
      <w:r w:rsidRPr="000E229C">
        <w:t>–</w:t>
      </w:r>
      <w:r w:rsidRPr="000E229C">
        <w:tab/>
        <w:t>s ohledem na nařízení Evropského parlamentu a Rady (ES) č. 1829/2003 ze dne 22. září 2003 o geneticky modifikovaných potravinách a krmivech</w:t>
      </w:r>
      <w:r w:rsidRPr="000E229C">
        <w:rPr>
          <w:vertAlign w:val="superscript"/>
        </w:rPr>
        <w:footnoteReference w:id="1"/>
      </w:r>
      <w:r w:rsidRPr="000E229C">
        <w:t>, a zejména na čl. 11 odst. 3 a čl. 22 odst. 3 uvedeného nařízení,</w:t>
      </w:r>
    </w:p>
    <w:p w14:paraId="0A9C56B7" w14:textId="2F3B98F1" w:rsidR="00A90747" w:rsidRPr="000E229C" w:rsidRDefault="00A90747" w:rsidP="00A90747">
      <w:pPr>
        <w:pStyle w:val="NormalHanging12a"/>
      </w:pPr>
      <w:r w:rsidRPr="000E229C">
        <w:t>–</w:t>
      </w:r>
      <w:r w:rsidRPr="000E229C">
        <w:tab/>
        <w:t>s ohledem na hlasování Stálého výboru pro rostliny, zvířata, potraviny a krmiva uvedeného v článku 35 nařízení (ES) č. 1829/2003, které proběhlo dne 14. října 2025 a během něhož nebylo přijato žádné stanovisko,</w:t>
      </w:r>
      <w:r w:rsidR="00A30A74">
        <w:t xml:space="preserve"> </w:t>
      </w:r>
      <w:r w:rsidR="00A30A74" w:rsidRPr="00A30A74">
        <w:t>a na hlasování odvolacího výboru ze dne 28. listopadu 2025, na němž opět nebylo vydáno žádné stanovisko,</w:t>
      </w:r>
    </w:p>
    <w:p w14:paraId="2AB76500" w14:textId="77777777" w:rsidR="00A90747" w:rsidRPr="000E229C" w:rsidRDefault="00A90747" w:rsidP="00A90747">
      <w:pPr>
        <w:pStyle w:val="NormalHanging12a"/>
        <w:widowControl/>
        <w:rPr>
          <w:szCs w:val="24"/>
        </w:rPr>
      </w:pPr>
      <w:r w:rsidRPr="000E229C">
        <w:t>–</w:t>
      </w:r>
      <w:r w:rsidRPr="000E229C">
        <w:tab/>
        <w:t>s ohledem na článek 11 nařízení Evropského parlamentu a Rady (EU) č. 182/2011 ze dne 16. února 2011, kterým se stanoví pravidla a obecné zásady způsobu, jakým členské státy kontrolují Komisi při výkonu prováděcích pravomocí</w:t>
      </w:r>
      <w:r w:rsidRPr="000E229C">
        <w:rPr>
          <w:rStyle w:val="FootnoteReference"/>
          <w:szCs w:val="24"/>
        </w:rPr>
        <w:footnoteReference w:id="2"/>
      </w:r>
      <w:r w:rsidRPr="000E229C">
        <w:t>,</w:t>
      </w:r>
    </w:p>
    <w:p w14:paraId="58AA8585" w14:textId="77777777" w:rsidR="00A90747" w:rsidRPr="000E229C" w:rsidRDefault="00A90747" w:rsidP="00A90747">
      <w:pPr>
        <w:pStyle w:val="NormalHanging12a"/>
      </w:pPr>
      <w:r w:rsidRPr="000E229C">
        <w:t>–</w:t>
      </w:r>
      <w:r w:rsidRPr="000E229C">
        <w:tab/>
        <w:t>s ohledem na stanovisko Evropského úřadu pro bezpečnost potravin (EFSA) ze dne 22. května 2025, které bylo zveřejněno dne 20. června 2025</w:t>
      </w:r>
      <w:r w:rsidRPr="000E229C">
        <w:rPr>
          <w:rStyle w:val="FootnoteReference"/>
        </w:rPr>
        <w:footnoteReference w:id="3"/>
      </w:r>
      <w:r w:rsidRPr="000E229C">
        <w:t>,</w:t>
      </w:r>
    </w:p>
    <w:p w14:paraId="20D114F6" w14:textId="77777777" w:rsidR="00A90747" w:rsidRPr="000E229C" w:rsidRDefault="00A90747" w:rsidP="00A90747">
      <w:pPr>
        <w:pStyle w:val="NormalHanging12a"/>
      </w:pPr>
      <w:r w:rsidRPr="000E229C">
        <w:t>–</w:t>
      </w:r>
      <w:r w:rsidRPr="000E229C">
        <w:tab/>
        <w:t xml:space="preserve">s ohledem na svá předchozí usnesení o námitkách proti povolení geneticky </w:t>
      </w:r>
      <w:r w:rsidRPr="000E229C">
        <w:lastRenderedPageBreak/>
        <w:t>modifikovaných organismů (GMO)</w:t>
      </w:r>
      <w:r w:rsidRPr="000E229C">
        <w:rPr>
          <w:rStyle w:val="FootnoteReference"/>
        </w:rPr>
        <w:footnoteReference w:id="4"/>
      </w:r>
      <w:r w:rsidRPr="000E229C">
        <w:t>,</w:t>
      </w:r>
    </w:p>
    <w:p w14:paraId="101DEC73" w14:textId="77777777" w:rsidR="00A90747" w:rsidRPr="000E229C" w:rsidRDefault="00A90747" w:rsidP="00A90747">
      <w:pPr>
        <w:pStyle w:val="NormalHanging12a"/>
      </w:pPr>
      <w:r w:rsidRPr="000E229C">
        <w:lastRenderedPageBreak/>
        <w:t>–</w:t>
      </w:r>
      <w:r w:rsidRPr="000E229C">
        <w:tab/>
        <w:t>s ohledem na čl. 115 odst. 2 a 3 jednacího řádu,</w:t>
      </w:r>
    </w:p>
    <w:p w14:paraId="6704AB67" w14:textId="77777777" w:rsidR="00A90747" w:rsidRPr="000E229C" w:rsidRDefault="00A90747" w:rsidP="00A90747">
      <w:pPr>
        <w:pStyle w:val="NormalHanging12a"/>
      </w:pPr>
      <w:r w:rsidRPr="000E229C">
        <w:t>–</w:t>
      </w:r>
      <w:r w:rsidRPr="000E229C">
        <w:tab/>
        <w:t>s ohledem na návrh usnesení Výboru pro životní prostředí, klima a bezpečnost potravin,</w:t>
      </w:r>
    </w:p>
    <w:p w14:paraId="39306E07" w14:textId="4876F2F1" w:rsidR="00A90747" w:rsidRPr="000E229C" w:rsidRDefault="00A90747" w:rsidP="00A90747">
      <w:pPr>
        <w:pStyle w:val="NormalHanging12a"/>
      </w:pPr>
      <w:r w:rsidRPr="000E229C">
        <w:lastRenderedPageBreak/>
        <w:t>A.</w:t>
      </w:r>
      <w:r w:rsidRPr="000E229C">
        <w:tab/>
        <w:t xml:space="preserve">vzhledem k tomu, že prováděcím rozhodnutím Komise </w:t>
      </w:r>
      <w:r w:rsidR="003620B9" w:rsidRPr="00EA56D3">
        <w:t>(EU)</w:t>
      </w:r>
      <w:r w:rsidR="003620B9">
        <w:t xml:space="preserve"> </w:t>
      </w:r>
      <w:r w:rsidRPr="000E229C">
        <w:t>2015/684</w:t>
      </w:r>
      <w:r w:rsidRPr="000E229C">
        <w:rPr>
          <w:rStyle w:val="FootnoteReference"/>
        </w:rPr>
        <w:footnoteReference w:id="5"/>
      </w:r>
      <w:r w:rsidRPr="000E229C">
        <w:t xml:space="preserve"> se povoluje uvedení produktů, které obsahují geneticky modifikovanou kukuřici NK603, sestávají z ní nebo jsou z ní vyrobeny, na trh (dále jen „geneticky modifikovaná kukuřice“). Oblast působnosti uvedeného povolení se rovněž vztahuje na uvedení jiných produktů než potravin a krmiv, které obsahují kukuřici NK603 nebo z ní sestávají, na trh pro stejná použití jako jiná kukuřice, s výjimkou pěstování.</w:t>
      </w:r>
    </w:p>
    <w:p w14:paraId="11F9D3B2" w14:textId="77777777" w:rsidR="00A90747" w:rsidRPr="000E229C" w:rsidRDefault="00A90747" w:rsidP="00A90747">
      <w:pPr>
        <w:pStyle w:val="NormalHanging12a"/>
      </w:pPr>
      <w:r w:rsidRPr="000E229C">
        <w:t>B.</w:t>
      </w:r>
      <w:r w:rsidRPr="000E229C">
        <w:tab/>
        <w:t xml:space="preserve">vzhledem tomu, že dne 11. března 2024 předložila společnost Bayer </w:t>
      </w:r>
      <w:proofErr w:type="spellStart"/>
      <w:r w:rsidRPr="000E229C">
        <w:t>Agriculture</w:t>
      </w:r>
      <w:proofErr w:type="spellEnd"/>
      <w:r w:rsidRPr="000E229C">
        <w:t xml:space="preserve"> B. V. se sídlem v Belgii jménem společnosti Bayer </w:t>
      </w:r>
      <w:proofErr w:type="spellStart"/>
      <w:r w:rsidRPr="000E229C">
        <w:t>CropScience</w:t>
      </w:r>
      <w:proofErr w:type="spellEnd"/>
      <w:r w:rsidRPr="000E229C">
        <w:t xml:space="preserve"> LP se sídlem ve Spojených státech amerických v souladu s články 11 a 23 nařízení (ES) č. 1829/2003 Komisi žádost o obnovení uvedeného povolení;</w:t>
      </w:r>
    </w:p>
    <w:p w14:paraId="383AFC47" w14:textId="77777777" w:rsidR="00A90747" w:rsidRPr="000E229C" w:rsidRDefault="00A90747" w:rsidP="00A90747">
      <w:pPr>
        <w:pStyle w:val="NormalHanging12a"/>
      </w:pPr>
      <w:r w:rsidRPr="000E229C">
        <w:rPr>
          <w:color w:val="000000"/>
        </w:rPr>
        <w:t>C.</w:t>
      </w:r>
      <w:r w:rsidRPr="000E229C">
        <w:rPr>
          <w:color w:val="000000"/>
        </w:rPr>
        <w:tab/>
      </w:r>
      <w:r w:rsidRPr="000E229C">
        <w:t>vzhledem k tomu, že dne 20. června 2025 vydal úřad EFSA v souladu s články 6 a 18 nařízení (ES) č. 1829/2003 příznivé stanovisko, v němž dospěl k závěru, že žádost o obnovení povolení neobsahovala žádné důkazy o existenci nových nebezpečí, změněné expozici ani nejistotách vědců, které by vedly ke změně závěrů původního hodnocení rizika geneticky modifikované kukuřice, přijatého úřadem EFSA v roce 2009</w:t>
      </w:r>
      <w:r w:rsidRPr="000E229C">
        <w:rPr>
          <w:rStyle w:val="FootnoteReference"/>
          <w:szCs w:val="24"/>
        </w:rPr>
        <w:footnoteReference w:id="6"/>
      </w:r>
      <w:r w:rsidRPr="000E229C">
        <w:t>; vzhledem k tomu, že úřad EFSA se ve svých stanoviscích nezabýval několika širšími environmentálními, socioekonomickými a kumulativními dopady, které podle jeho názoru nespadají do jeho působnosti;</w:t>
      </w:r>
    </w:p>
    <w:p w14:paraId="49ECF480" w14:textId="77777777" w:rsidR="00A90747" w:rsidRPr="000E229C" w:rsidRDefault="00A90747" w:rsidP="00A90747">
      <w:pPr>
        <w:pStyle w:val="NormalHanging12a"/>
      </w:pPr>
      <w:r w:rsidRPr="000E229C">
        <w:t>D.</w:t>
      </w:r>
      <w:r w:rsidRPr="000E229C">
        <w:tab/>
        <w:t xml:space="preserve">vzhledem k tomu, že geneticky modifikovaná kukuřice byla vyvinuta tak, aby byla tolerantní vůči glyfosátu; </w:t>
      </w:r>
    </w:p>
    <w:p w14:paraId="226CC1FF" w14:textId="77777777" w:rsidR="00A90747" w:rsidRPr="000E229C" w:rsidRDefault="00A90747" w:rsidP="00A90747">
      <w:pPr>
        <w:pStyle w:val="NormalHanging12a"/>
      </w:pPr>
      <w:r w:rsidRPr="000E229C">
        <w:t>E.</w:t>
      </w:r>
      <w:r w:rsidRPr="000E229C">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kukuřice;</w:t>
      </w:r>
    </w:p>
    <w:p w14:paraId="415B11E7" w14:textId="77777777" w:rsidR="00A90747" w:rsidRPr="000E229C" w:rsidRDefault="00A90747" w:rsidP="00A90747">
      <w:pPr>
        <w:pStyle w:val="NormalHanging12a"/>
        <w:rPr>
          <w:color w:val="000000" w:themeColor="text1"/>
          <w:szCs w:val="24"/>
        </w:rPr>
      </w:pPr>
      <w:r w:rsidRPr="000E229C">
        <w:rPr>
          <w:color w:val="000000" w:themeColor="text1"/>
        </w:rPr>
        <w:t>F.</w:t>
      </w:r>
      <w:r w:rsidRPr="000E229C">
        <w:rPr>
          <w:color w:val="000000" w:themeColor="text1"/>
        </w:rPr>
        <w:tab/>
      </w:r>
      <w:r w:rsidRPr="000E229C">
        <w:t xml:space="preserve">vzhledem k tomu, že naprostá většina geneticky modifikovaných plodin, včetně geneticky modifikované kukuřice, je geneticky upravena tak, aby byla tolerantní vůči jednomu či více „doplňkovým“ herbicidům, které lze použít po celou dobu jejich pěstování, aniž by plodiny uhynuly, jak by tomu bylo v případě, kdyby nebyly vůči herbicidům tolerantní; </w:t>
      </w:r>
      <w:r w:rsidRPr="000E229C">
        <w:rPr>
          <w:color w:val="000000" w:themeColor="text1"/>
        </w:rPr>
        <w:t xml:space="preserve">vzhledem k tomu, že řada studií ukazuje, že geneticky modifikované plodiny, které jsou tolerantní vůči herbicidům, vedou k vyššímu používání doplňkových herbicidů, zejména kvůli častějšímu výskytu plevele odolného </w:t>
      </w:r>
      <w:r w:rsidRPr="000E229C">
        <w:rPr>
          <w:color w:val="000000" w:themeColor="text1"/>
        </w:rPr>
        <w:lastRenderedPageBreak/>
        <w:t>vůči herbicidům</w:t>
      </w:r>
      <w:r w:rsidRPr="000E229C">
        <w:rPr>
          <w:rStyle w:val="FootnoteReference"/>
          <w:color w:val="000000" w:themeColor="text1"/>
          <w:szCs w:val="24"/>
        </w:rPr>
        <w:footnoteReference w:id="7"/>
      </w:r>
      <w:r w:rsidRPr="000E229C">
        <w:rPr>
          <w:color w:val="000000" w:themeColor="text1"/>
        </w:rPr>
        <w:t>;</w:t>
      </w:r>
    </w:p>
    <w:p w14:paraId="5DCAA295" w14:textId="77777777" w:rsidR="00A90747" w:rsidRPr="000E229C" w:rsidRDefault="00A90747" w:rsidP="00A90747">
      <w:pPr>
        <w:spacing w:after="240"/>
        <w:ind w:left="567" w:hanging="567"/>
        <w:rPr>
          <w:szCs w:val="24"/>
        </w:rPr>
      </w:pPr>
      <w:r w:rsidRPr="000E229C">
        <w:t>G.</w:t>
      </w:r>
      <w:r w:rsidRPr="000E229C">
        <w:tab/>
        <w:t>vzhledem k tomu, že 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w:t>
      </w:r>
      <w:r w:rsidRPr="000E229C">
        <w:rPr>
          <w:color w:val="000000" w:themeColor="text1"/>
        </w:rPr>
        <w:t xml:space="preserve"> vzhledem k tomu, že větší závislost zemědělských podniků, které pěstují geneticky modifikovanou kukuřici,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sidRPr="000E229C">
        <w:rPr>
          <w:rStyle w:val="FootnoteReference"/>
          <w:color w:val="000000" w:themeColor="text1"/>
          <w:szCs w:val="24"/>
        </w:rPr>
        <w:footnoteReference w:id="8"/>
      </w:r>
      <w:r w:rsidRPr="000E229C">
        <w:rPr>
          <w:color w:val="000000" w:themeColor="text1"/>
        </w:rPr>
        <w:t>;</w:t>
      </w:r>
    </w:p>
    <w:p w14:paraId="41CC1BE6" w14:textId="77777777" w:rsidR="00A90747" w:rsidRPr="000E229C" w:rsidRDefault="00A90747" w:rsidP="00A90747">
      <w:pPr>
        <w:pStyle w:val="NormalHanging12a"/>
      </w:pPr>
      <w:r w:rsidRPr="000E229C">
        <w:t>H.</w:t>
      </w:r>
      <w:r w:rsidRPr="000E229C">
        <w:tab/>
        <w:t>vzhledem k tomu, že stále přetrvávají závažné otázky ohledně karcinogenity glyfosátu; vzhledem k tomu, že úřad EFSA dospěl v listopadu 2015 k závěru, že glyfosát pravděpodobně není karcinogenní, a Evropská agentura pro chemické látky došla 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sidRPr="000E229C">
        <w:rPr>
          <w:rStyle w:val="FootnoteReference"/>
        </w:rPr>
        <w:footnoteReference w:id="9"/>
      </w:r>
      <w:r w:rsidRPr="000E229C">
        <w:t>;</w:t>
      </w:r>
    </w:p>
    <w:p w14:paraId="4E57245D" w14:textId="77777777" w:rsidR="00A90747" w:rsidRPr="000E229C" w:rsidRDefault="00A90747" w:rsidP="00A90747">
      <w:pPr>
        <w:pStyle w:val="NormalHanging12a"/>
      </w:pPr>
      <w:r w:rsidRPr="000E229C">
        <w:t>I.</w:t>
      </w:r>
      <w:r w:rsidRPr="000E229C">
        <w:tab/>
        <w:t xml:space="preserve">vzhledem k tomu, že riziko genového toku, tedy přenosu genů z kukuřice do volně žijících příbuzných druhů, jako je </w:t>
      </w:r>
      <w:proofErr w:type="spellStart"/>
      <w:r w:rsidRPr="000E229C">
        <w:t>teosinte</w:t>
      </w:r>
      <w:proofErr w:type="spellEnd"/>
      <w:r w:rsidRPr="000E229C">
        <w:t xml:space="preserve">, které bylo pozorováno ve Španělsku a Francii, vyvolává obavy ohledně přetrvávání </w:t>
      </w:r>
      <w:proofErr w:type="spellStart"/>
      <w:r w:rsidRPr="000E229C">
        <w:t>transgenů</w:t>
      </w:r>
      <w:proofErr w:type="spellEnd"/>
      <w:r w:rsidRPr="000E229C">
        <w:t xml:space="preserve"> a dopadů na životní prostředí;</w:t>
      </w:r>
    </w:p>
    <w:p w14:paraId="001AED83" w14:textId="77777777" w:rsidR="00A90747" w:rsidRPr="000E229C" w:rsidRDefault="00A90747" w:rsidP="00A90747">
      <w:pPr>
        <w:pStyle w:val="NormalHanging12a"/>
      </w:pPr>
      <w:r w:rsidRPr="000E229C">
        <w:t>J.</w:t>
      </w:r>
      <w:r w:rsidRPr="000E229C">
        <w:tab/>
        <w:t>vzhledem k tomu, že nezávislé monitorování a dohled nad možnými nepříznivými účinky na biologickou rozmanitost, zdraví půdy, opylovače a necílové organismy stále nejsou dostatečně zaručeny;</w:t>
      </w:r>
    </w:p>
    <w:p w14:paraId="24167962" w14:textId="77777777" w:rsidR="00A90747" w:rsidRPr="000E229C" w:rsidRDefault="00A90747" w:rsidP="00A90747">
      <w:pPr>
        <w:spacing w:after="240"/>
        <w:ind w:left="567" w:hanging="567"/>
      </w:pPr>
      <w:r w:rsidRPr="000E229C">
        <w:t>K.</w:t>
      </w:r>
      <w:r w:rsidRPr="000E229C">
        <w:tab/>
        <w:t xml:space="preserve">vzhledem k tomu, že v případech vědecké nejistoty by se měla uplatňovat zásada </w:t>
      </w:r>
      <w:r w:rsidRPr="000E229C">
        <w:lastRenderedPageBreak/>
        <w:t>obezřetnosti zakotvená v článku 191 Smlouvy o fungování Evropské unie;</w:t>
      </w:r>
    </w:p>
    <w:p w14:paraId="0D3B6053" w14:textId="77777777" w:rsidR="00A90747" w:rsidRPr="000E229C" w:rsidRDefault="00A90747" w:rsidP="00A90747">
      <w:pPr>
        <w:spacing w:after="240"/>
        <w:ind w:left="567" w:hanging="567"/>
      </w:pPr>
      <w:r w:rsidRPr="000E229C">
        <w:t>L.</w:t>
      </w:r>
      <w:r w:rsidRPr="000E229C">
        <w:tab/>
        <w:t>vzhledem k tomu, že nařízení (ES) č. 1829/2003 stanoví, že geneticky modifikované potraviny a krmiva nesmí mít nepříznivé účinky na lidské zdraví, zdraví zvířat nebo životní prostředí;</w:t>
      </w:r>
    </w:p>
    <w:p w14:paraId="39EB0919" w14:textId="77777777" w:rsidR="00A90747" w:rsidRPr="000E229C" w:rsidRDefault="00A90747" w:rsidP="00A90747">
      <w:pPr>
        <w:pStyle w:val="NormalWeb"/>
        <w:widowControl w:val="0"/>
        <w:spacing w:before="0" w:beforeAutospacing="0" w:after="240" w:afterAutospacing="0"/>
        <w:ind w:left="567" w:hanging="567"/>
      </w:pPr>
      <w:r w:rsidRPr="000E229C">
        <w:t>M.</w:t>
      </w:r>
      <w:r w:rsidRPr="000E229C">
        <w:tab/>
        <w:t>vzhledem k tomu, že obnovení povolení geneticky modifikované kukuřice ze strany Unie by nebylo v souladu s mezinárodními závazky týkajícími se snižování pesticidů</w:t>
      </w:r>
      <w:r w:rsidRPr="000E229C">
        <w:rPr>
          <w:vertAlign w:val="superscript"/>
        </w:rPr>
        <w:footnoteReference w:id="10"/>
      </w:r>
      <w:r w:rsidRPr="000E229C">
        <w:t xml:space="preserve">, a to vzhledem ke zvýšené expozici lidí, zvířat a životního prostředí glyfosátu, </w:t>
      </w:r>
      <w:proofErr w:type="spellStart"/>
      <w:r w:rsidRPr="000E229C">
        <w:t>dikambě</w:t>
      </w:r>
      <w:proofErr w:type="spellEnd"/>
      <w:r w:rsidRPr="000E229C">
        <w:t xml:space="preserve"> a </w:t>
      </w:r>
      <w:proofErr w:type="spellStart"/>
      <w:r w:rsidRPr="000E229C">
        <w:t>glufosinátu</w:t>
      </w:r>
      <w:proofErr w:type="spellEnd"/>
      <w:r w:rsidRPr="000E229C">
        <w:t xml:space="preserve"> v zemích, které pěstují tuto geneticky modifikovanou plodinu tolerantní k herbicidům, a s tím souvisejícím možným závažným zdravotním dopadům;</w:t>
      </w:r>
    </w:p>
    <w:p w14:paraId="08C8DFB9" w14:textId="77777777" w:rsidR="00A90747" w:rsidRPr="000E229C" w:rsidRDefault="00A90747" w:rsidP="00A90747">
      <w:pPr>
        <w:spacing w:after="240"/>
        <w:ind w:left="567" w:hanging="567"/>
      </w:pPr>
      <w:r w:rsidRPr="000E229C">
        <w:t>N.</w:t>
      </w:r>
      <w:r w:rsidRPr="000E229C">
        <w:tab/>
        <w:t>vzhledem k tomu, že prováděcí rozhodnutí Komise by nadále umožňovalo dovoz do Unie, který by nesplňoval normy dodržované zemědělci v Unii, což by je znevýhodnilo v hospodářské soutěži;</w:t>
      </w:r>
    </w:p>
    <w:p w14:paraId="1D3B754E" w14:textId="77777777" w:rsidR="00A90747" w:rsidRPr="000E229C" w:rsidRDefault="00A90747" w:rsidP="00A90747">
      <w:pPr>
        <w:spacing w:after="240"/>
        <w:ind w:left="567" w:hanging="567"/>
      </w:pPr>
      <w:r w:rsidRPr="000E229C">
        <w:t>O.</w:t>
      </w:r>
      <w:r w:rsidRPr="000E229C">
        <w:tab/>
        <w:t>vzhledem k tomu, že v závěrech strategického dialogu o budoucnosti zemědělství v EU</w:t>
      </w:r>
      <w:r w:rsidRPr="000E229C">
        <w:rPr>
          <w:rStyle w:val="FootnoteReference"/>
        </w:rPr>
        <w:footnoteReference w:id="11"/>
      </w:r>
      <w:r w:rsidRPr="000E229C">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a 2024;</w:t>
      </w:r>
    </w:p>
    <w:p w14:paraId="0D0FF48D" w14:textId="77777777" w:rsidR="00A90747" w:rsidRPr="000E229C" w:rsidRDefault="00A90747" w:rsidP="00A90747">
      <w:pPr>
        <w:spacing w:after="240"/>
        <w:ind w:left="567" w:hanging="567"/>
      </w:pPr>
      <w:r w:rsidRPr="000E229C">
        <w:t>P.</w:t>
      </w:r>
      <w:r w:rsidRPr="000E229C">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14:paraId="38257614" w14:textId="77777777" w:rsidR="00A90747" w:rsidRPr="000E229C" w:rsidRDefault="00A90747" w:rsidP="00A90747">
      <w:pPr>
        <w:pStyle w:val="NormalWeb"/>
        <w:widowControl w:val="0"/>
        <w:shd w:val="clear" w:color="auto" w:fill="FFFFFF"/>
        <w:spacing w:before="0" w:beforeAutospacing="0" w:after="240" w:afterAutospacing="0"/>
        <w:ind w:left="567" w:hanging="567"/>
        <w:rPr>
          <w:color w:val="000000" w:themeColor="text1"/>
        </w:rPr>
      </w:pPr>
      <w:r w:rsidRPr="000E229C">
        <w:rPr>
          <w:color w:val="000000" w:themeColor="text1"/>
        </w:rPr>
        <w:t>Q.</w:t>
      </w:r>
      <w:r w:rsidRPr="000E229C">
        <w:rPr>
          <w:color w:val="000000" w:themeColor="text1"/>
        </w:rPr>
        <w:tab/>
        <w:t>vzhledem k tomu, že Komise geneticky modifikované organismy nadále povoluje, ačkoli sama uznává, že v této oblasti existuje demokratický deficit, absenci podpory členských států a námitky Parlamentu;</w:t>
      </w:r>
    </w:p>
    <w:p w14:paraId="102FA13B" w14:textId="77777777" w:rsidR="00A90747" w:rsidRPr="000E229C" w:rsidRDefault="00A90747" w:rsidP="00A90747">
      <w:pPr>
        <w:spacing w:after="240"/>
        <w:ind w:left="567" w:hanging="567"/>
      </w:pPr>
      <w:r w:rsidRPr="000E229C">
        <w:t>R.</w:t>
      </w:r>
      <w:r w:rsidRPr="000E229C">
        <w:tab/>
        <w:t>vzhledem k tomu, že přístup „jedno zdraví“ vyžaduje, aby při posuzování dlouhodobé udržitelnosti a bezpečnosti geneticky modifikovaných organismů byla zohledňována provázanost zdraví lidí, zvířat, rostlin a životního prostředí;</w:t>
      </w:r>
    </w:p>
    <w:p w14:paraId="0E48FE3F" w14:textId="77777777" w:rsidR="00A90747" w:rsidRPr="000E229C" w:rsidRDefault="00A90747" w:rsidP="00A90747">
      <w:pPr>
        <w:spacing w:after="240"/>
        <w:ind w:left="567" w:hanging="567"/>
      </w:pPr>
      <w:r w:rsidRPr="000E229C">
        <w:t>1.</w:t>
      </w:r>
      <w:r w:rsidRPr="000E229C">
        <w:tab/>
        <w:t>domnívá se, že návrh prováděcího rozhodnutí Komise překračuje prováděcí pravomoci stanovené v nařízení (ES) č. 1829/2003;</w:t>
      </w:r>
    </w:p>
    <w:p w14:paraId="214E7800" w14:textId="77777777" w:rsidR="00A90747" w:rsidRPr="000E229C" w:rsidRDefault="00A90747" w:rsidP="00A90747">
      <w:pPr>
        <w:spacing w:after="240"/>
        <w:ind w:left="567" w:hanging="567"/>
      </w:pPr>
      <w:r w:rsidRPr="000E229C">
        <w:t>2.</w:t>
      </w:r>
      <w:r w:rsidRPr="000E229C">
        <w:tab/>
        <w:t xml:space="preserve">domnívá se, že návrh prováděcího rozhodnutí Komise není v souladu s právními předpisy Unie, neboť není slučitelný s cílem nařízení (ES) č. 1829/2003, který podle obecných zásad, jež jsou stanoveny v nařízení Evropského parlamentu a Rady </w:t>
      </w:r>
      <w:r w:rsidRPr="000E229C">
        <w:lastRenderedPageBreak/>
        <w:t>(ES) č. 178/2002</w:t>
      </w:r>
      <w:r w:rsidRPr="000E229C">
        <w:rPr>
          <w:vertAlign w:val="superscript"/>
        </w:rPr>
        <w:footnoteReference w:id="12"/>
      </w:r>
      <w:r w:rsidRPr="000E229C">
        <w:t>,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w:t>
      </w:r>
    </w:p>
    <w:p w14:paraId="5A5E6BEB" w14:textId="77777777" w:rsidR="00A90747" w:rsidRPr="000E229C" w:rsidRDefault="00A90747" w:rsidP="00A90747">
      <w:pPr>
        <w:spacing w:after="240"/>
        <w:ind w:left="567" w:hanging="567"/>
      </w:pPr>
      <w:r w:rsidRPr="000E229C">
        <w:t>3.</w:t>
      </w:r>
      <w:r w:rsidRPr="000E229C">
        <w:tab/>
        <w:t>vyzývá Komisi, aby své prováděcí rozhodnutí vzala zpět;</w:t>
      </w:r>
    </w:p>
    <w:p w14:paraId="735F00FE" w14:textId="77777777" w:rsidR="00A90747" w:rsidRPr="000E229C" w:rsidRDefault="00A90747" w:rsidP="00A90747">
      <w:pPr>
        <w:spacing w:after="240"/>
        <w:ind w:left="567" w:hanging="567"/>
      </w:pPr>
      <w:r w:rsidRPr="000E229C">
        <w:t>4.</w:t>
      </w:r>
      <w:r w:rsidRPr="000E229C">
        <w:tab/>
        <w:t>vyzývá Komisi, aby neprodloužila povolení geneticky modifikované kukuřice kvůli nedostatku dostatečných důkazů o dlouhodobých dopadech na biologickou rozmanitost, bezpečnost potravin, živobytí zemědělců a zdraví zvířat v souladu s přístupem „jedno zdraví“;</w:t>
      </w:r>
    </w:p>
    <w:p w14:paraId="1EB5FC53" w14:textId="77777777" w:rsidR="00A90747" w:rsidRPr="000E229C" w:rsidRDefault="00A90747" w:rsidP="00A90747">
      <w:pPr>
        <w:spacing w:after="240"/>
        <w:ind w:left="567" w:hanging="567"/>
      </w:pPr>
      <w:r w:rsidRPr="000E229C">
        <w:t>5.</w:t>
      </w:r>
      <w:r w:rsidRPr="000E229C">
        <w:tab/>
        <w:t>vyzývá Komisi, aby neprodleně předložila legislativní návrh na změnu postupu rozhodování o geneticky modifikovaných organismech, který by zohlednil soustavné námitky Parlamentu a chybějící podporu kvalifikované většiny členských států;</w:t>
      </w:r>
    </w:p>
    <w:p w14:paraId="469DACEE" w14:textId="77777777" w:rsidR="00A90747" w:rsidRPr="000E229C" w:rsidRDefault="00A90747" w:rsidP="00A90747">
      <w:pPr>
        <w:spacing w:after="240"/>
        <w:ind w:left="567" w:hanging="567"/>
      </w:pPr>
      <w:r w:rsidRPr="000E229C">
        <w:t>6.</w:t>
      </w:r>
      <w:r w:rsidRPr="000E229C">
        <w:tab/>
        <w:t xml:space="preserve">v této souvislosti zdůrazňuje, že povolení dovozu jakýchkoli geneticky modifikovaných rostlin, které jsou tolerantní vůči herbicidům, jež jsou v Unii zakázány, jako je </w:t>
      </w:r>
      <w:proofErr w:type="spellStart"/>
      <w:r w:rsidRPr="000E229C">
        <w:t>glufosinát</w:t>
      </w:r>
      <w:proofErr w:type="spellEnd"/>
      <w:r w:rsidRPr="000E229C">
        <w:t>, pro použití jako potravina nebo krmivo je v rozporu s mezinárodními závazky Unie, které vyplývají mimo jiné z Úmluvy Organizace spojených národů (OSN) o biologické rozmanitosti a cílů udržitelného rozvoje OSN, včetně rámce z </w:t>
      </w:r>
      <w:proofErr w:type="spellStart"/>
      <w:r w:rsidRPr="000E229C">
        <w:t>Kchun-mingu</w:t>
      </w:r>
      <w:proofErr w:type="spellEnd"/>
      <w:r w:rsidRPr="000E229C">
        <w:t xml:space="preserve"> a Montrealu, a že vytváří nerovné podmínky pro zemědělce v Unii;</w:t>
      </w:r>
    </w:p>
    <w:p w14:paraId="2A0009D1" w14:textId="07F30BD2" w:rsidR="000E229C" w:rsidRPr="000E229C" w:rsidRDefault="00A90747" w:rsidP="000E229C">
      <w:pPr>
        <w:spacing w:after="240"/>
        <w:ind w:left="567" w:hanging="567"/>
      </w:pPr>
      <w:r w:rsidRPr="000E229C">
        <w:t>7.</w:t>
      </w:r>
      <w:r w:rsidRPr="000E229C">
        <w:tab/>
        <w:t>pověřuje svou předsedkyni, aby předala toto usnesení Radě a Komisi, jakož i vládám a parlamentům členských států.</w:t>
      </w:r>
    </w:p>
    <w:p w14:paraId="7D475BED" w14:textId="2FE9433D" w:rsidR="00E365E1" w:rsidRPr="000E229C" w:rsidRDefault="00E365E1" w:rsidP="00217055"/>
    <w:sectPr w:rsidR="00E365E1" w:rsidRPr="000E229C" w:rsidSect="000E22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940F9" w14:textId="77777777" w:rsidR="00217055" w:rsidRPr="000E229C" w:rsidRDefault="00217055">
      <w:r w:rsidRPr="000E229C">
        <w:separator/>
      </w:r>
    </w:p>
  </w:endnote>
  <w:endnote w:type="continuationSeparator" w:id="0">
    <w:p w14:paraId="583ECBEA" w14:textId="77777777" w:rsidR="00217055" w:rsidRPr="000E229C" w:rsidRDefault="00217055">
      <w:r w:rsidRPr="000E22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F5141" w14:textId="77777777" w:rsidR="00064002" w:rsidRPr="000E22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7907" w14:textId="77777777" w:rsidR="00064002" w:rsidRPr="000E22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2327" w14:textId="77777777" w:rsidR="00064002" w:rsidRPr="000E22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C1531" w14:textId="77777777" w:rsidR="00217055" w:rsidRPr="000E229C" w:rsidRDefault="00217055">
      <w:r w:rsidRPr="000E229C">
        <w:separator/>
      </w:r>
    </w:p>
  </w:footnote>
  <w:footnote w:type="continuationSeparator" w:id="0">
    <w:p w14:paraId="573AEB6D" w14:textId="77777777" w:rsidR="00217055" w:rsidRPr="000E229C" w:rsidRDefault="00217055">
      <w:r w:rsidRPr="000E229C">
        <w:continuationSeparator/>
      </w:r>
    </w:p>
  </w:footnote>
  <w:footnote w:id="1">
    <w:p w14:paraId="26BC2EDB" w14:textId="1C25AFBC" w:rsidR="00A90747" w:rsidRPr="000E229C" w:rsidRDefault="00A90747" w:rsidP="000E229C">
      <w:pPr>
        <w:pStyle w:val="FootnoteText"/>
        <w:suppressAutoHyphens/>
        <w:ind w:left="567" w:hanging="567"/>
        <w:rPr>
          <w:sz w:val="24"/>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proofErr w:type="spellStart"/>
      <w:r w:rsidRPr="000E229C">
        <w:rPr>
          <w:sz w:val="24"/>
          <w:lang w:val="cs-CZ"/>
        </w:rPr>
        <w:t>Úř</w:t>
      </w:r>
      <w:proofErr w:type="spellEnd"/>
      <w:r w:rsidRPr="000E229C">
        <w:rPr>
          <w:sz w:val="24"/>
          <w:lang w:val="cs-CZ"/>
        </w:rPr>
        <w:t xml:space="preserve">. </w:t>
      </w:r>
      <w:proofErr w:type="spellStart"/>
      <w:r w:rsidRPr="000E229C">
        <w:rPr>
          <w:sz w:val="24"/>
          <w:lang w:val="cs-CZ"/>
        </w:rPr>
        <w:t>věst</w:t>
      </w:r>
      <w:proofErr w:type="spellEnd"/>
      <w:r w:rsidRPr="000E229C">
        <w:rPr>
          <w:sz w:val="24"/>
          <w:lang w:val="cs-CZ"/>
        </w:rPr>
        <w:t>. L 268, 18.10.2003, s. 1, ELI: </w:t>
      </w:r>
      <w:hyperlink r:id="rId1" w:tooltip="Umožňuje přístup k tomuto dokumentu prostřednictvím jeho ELI URI." w:history="1">
        <w:r w:rsidRPr="000E229C">
          <w:rPr>
            <w:rStyle w:val="Hyperlink"/>
            <w:sz w:val="24"/>
            <w:lang w:val="cs-CZ"/>
          </w:rPr>
          <w:t>http://data.europa.eu/eli/reg/2003/1829/oj</w:t>
        </w:r>
      </w:hyperlink>
      <w:r w:rsidRPr="000E229C">
        <w:rPr>
          <w:color w:val="0563C1" w:themeColor="hyperlink"/>
          <w:sz w:val="24"/>
          <w:u w:val="single"/>
          <w:lang w:val="cs-CZ"/>
        </w:rPr>
        <w:t>.</w:t>
      </w:r>
    </w:p>
  </w:footnote>
  <w:footnote w:id="2">
    <w:p w14:paraId="1C5E606D" w14:textId="5F62F32C" w:rsidR="00A90747" w:rsidRPr="000E229C" w:rsidRDefault="00A90747" w:rsidP="000E229C">
      <w:pPr>
        <w:pStyle w:val="FootnoteText"/>
        <w:ind w:left="567" w:hanging="567"/>
        <w:rPr>
          <w:sz w:val="24"/>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proofErr w:type="spellStart"/>
      <w:r w:rsidRPr="000E229C">
        <w:rPr>
          <w:sz w:val="24"/>
          <w:lang w:val="cs-CZ"/>
        </w:rPr>
        <w:t>Úř</w:t>
      </w:r>
      <w:proofErr w:type="spellEnd"/>
      <w:r w:rsidRPr="000E229C">
        <w:rPr>
          <w:sz w:val="24"/>
          <w:lang w:val="cs-CZ"/>
        </w:rPr>
        <w:t xml:space="preserve">. </w:t>
      </w:r>
      <w:proofErr w:type="spellStart"/>
      <w:r w:rsidRPr="000E229C">
        <w:rPr>
          <w:sz w:val="24"/>
          <w:lang w:val="cs-CZ"/>
        </w:rPr>
        <w:t>věst</w:t>
      </w:r>
      <w:proofErr w:type="spellEnd"/>
      <w:r w:rsidRPr="000E229C">
        <w:rPr>
          <w:sz w:val="24"/>
          <w:lang w:val="cs-CZ"/>
        </w:rPr>
        <w:t xml:space="preserve">. L 55, 28.2.2011, s. 13, ELI: </w:t>
      </w:r>
      <w:hyperlink r:id="rId2" w:history="1">
        <w:r w:rsidRPr="000E229C">
          <w:rPr>
            <w:rStyle w:val="Hyperlink"/>
            <w:sz w:val="24"/>
            <w:lang w:val="cs-CZ"/>
          </w:rPr>
          <w:t>http://data.europa.eu/eli/reg/2011/182/oj</w:t>
        </w:r>
      </w:hyperlink>
      <w:r w:rsidRPr="000E229C">
        <w:rPr>
          <w:sz w:val="24"/>
          <w:lang w:val="cs-CZ"/>
        </w:rPr>
        <w:t>.</w:t>
      </w:r>
    </w:p>
  </w:footnote>
  <w:footnote w:id="3">
    <w:p w14:paraId="6BA5F968" w14:textId="367B1A3E" w:rsidR="00A90747" w:rsidRPr="000E229C" w:rsidRDefault="00A90747" w:rsidP="000E229C">
      <w:pPr>
        <w:pStyle w:val="FootnoteText"/>
        <w:suppressAutoHyphens/>
        <w:ind w:left="567" w:hanging="567"/>
        <w:rPr>
          <w:sz w:val="24"/>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r w:rsidRPr="000E229C">
        <w:rPr>
          <w:sz w:val="24"/>
          <w:lang w:val="cs-CZ"/>
        </w:rPr>
        <w:t xml:space="preserve">Vědecké stanovisko panelu EFSA pro geneticky modifikované organismy k posouzení geneticky modifikované kukuřice NK603 pro obnovení povolení podle nařízení (ES) č. 1829/2003 (dokument GMFF-2023-21250). EFSA </w:t>
      </w:r>
      <w:proofErr w:type="spellStart"/>
      <w:r w:rsidRPr="000E229C">
        <w:rPr>
          <w:sz w:val="24"/>
          <w:lang w:val="cs-CZ"/>
        </w:rPr>
        <w:t>Journal</w:t>
      </w:r>
      <w:proofErr w:type="spellEnd"/>
      <w:r w:rsidRPr="000E229C">
        <w:rPr>
          <w:sz w:val="24"/>
          <w:lang w:val="cs-CZ"/>
        </w:rPr>
        <w:t xml:space="preserve"> 2025;23(6):9505. </w:t>
      </w:r>
      <w:hyperlink r:id="rId3" w:history="1">
        <w:r w:rsidRPr="000E229C">
          <w:rPr>
            <w:rStyle w:val="Hyperlink"/>
            <w:sz w:val="24"/>
            <w:lang w:val="cs-CZ"/>
          </w:rPr>
          <w:t>https://doi.org/10.2903/j.efsa.2025.9505</w:t>
        </w:r>
      </w:hyperlink>
      <w:r w:rsidRPr="000E229C">
        <w:rPr>
          <w:rStyle w:val="Hyperlink"/>
          <w:sz w:val="24"/>
          <w:lang w:val="cs-CZ"/>
        </w:rPr>
        <w:t>.</w:t>
      </w:r>
    </w:p>
  </w:footnote>
  <w:footnote w:id="4">
    <w:p w14:paraId="595DF361" w14:textId="7C89CAB7" w:rsidR="00A90747" w:rsidRPr="000E229C" w:rsidRDefault="00A90747" w:rsidP="000E229C">
      <w:pPr>
        <w:pStyle w:val="FootnoteText"/>
        <w:suppressAutoHyphens/>
        <w:ind w:left="567" w:hanging="567"/>
        <w:rPr>
          <w:color w:val="000000" w:themeColor="text1"/>
          <w:sz w:val="24"/>
          <w:vertAlign w:val="superscript"/>
          <w:lang w:val="cs-CZ"/>
        </w:rPr>
      </w:pPr>
      <w:r w:rsidRPr="000E229C">
        <w:rPr>
          <w:rStyle w:val="FootnoteReference"/>
          <w:sz w:val="24"/>
          <w:lang w:val="cs-CZ"/>
        </w:rPr>
        <w:footnoteRef/>
      </w:r>
      <w:r w:rsidR="000E229C" w:rsidRPr="000E229C">
        <w:rPr>
          <w:color w:val="000000" w:themeColor="text1"/>
          <w:sz w:val="24"/>
          <w:lang w:val="cs-CZ"/>
        </w:rPr>
        <w:t xml:space="preserve"> </w:t>
      </w:r>
      <w:r w:rsidR="000E229C" w:rsidRPr="000E229C">
        <w:rPr>
          <w:color w:val="000000" w:themeColor="text1"/>
          <w:sz w:val="24"/>
          <w:lang w:val="cs-CZ"/>
        </w:rPr>
        <w:tab/>
      </w:r>
      <w:r w:rsidRPr="000E229C">
        <w:rPr>
          <w:color w:val="000000" w:themeColor="text1"/>
          <w:sz w:val="24"/>
          <w:lang w:val="cs-CZ"/>
        </w:rPr>
        <w:t>Parlament v osmém volebním období přijal 36 usnesení a v devátém volebním období 38 usnesení, v nichž vyslovil námitku vůči povolení geneticky modifikovaných organismů. V desátém volebním období pak přijal tato usnesení:</w:t>
      </w:r>
    </w:p>
    <w:p w14:paraId="044EBFF6" w14:textId="4F064855" w:rsidR="00A90747" w:rsidRPr="000E229C" w:rsidRDefault="000E229C" w:rsidP="000E229C">
      <w:pPr>
        <w:pStyle w:val="FootnoteText"/>
        <w:suppressAutoHyphens/>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C/2025/1797, 4.4.2025, ELI: </w:t>
      </w:r>
      <w:hyperlink r:id="rId4" w:history="1">
        <w:r w:rsidR="00A90747" w:rsidRPr="000E229C">
          <w:rPr>
            <w:rStyle w:val="Hyperlink"/>
            <w:sz w:val="24"/>
            <w:lang w:val="cs-CZ"/>
          </w:rPr>
          <w:t>http://data.europa.eu/eli/C/2025/1797/oj</w:t>
        </w:r>
      </w:hyperlink>
      <w:r w:rsidR="00A90747" w:rsidRPr="000E229C">
        <w:rPr>
          <w:color w:val="000000" w:themeColor="text1"/>
          <w:sz w:val="24"/>
          <w:lang w:val="cs-CZ"/>
        </w:rPr>
        <w:t>);</w:t>
      </w:r>
    </w:p>
    <w:p w14:paraId="5C26ED2C" w14:textId="333B09C9" w:rsidR="00A90747" w:rsidRPr="000E229C" w:rsidRDefault="000E229C" w:rsidP="000E229C">
      <w:pPr>
        <w:pStyle w:val="FootnoteText"/>
        <w:suppressAutoHyphens/>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C/2025/1798, 4.4.2025, ELI: </w:t>
      </w:r>
      <w:hyperlink r:id="rId5" w:history="1">
        <w:r w:rsidR="00A90747" w:rsidRPr="000E229C">
          <w:rPr>
            <w:rStyle w:val="Hyperlink"/>
            <w:sz w:val="24"/>
            <w:lang w:val="cs-CZ"/>
          </w:rPr>
          <w:t>http://data.europa.eu/eli/C/2025/1798/oj</w:t>
        </w:r>
      </w:hyperlink>
      <w:r w:rsidR="00A90747" w:rsidRPr="000E229C">
        <w:rPr>
          <w:color w:val="000000" w:themeColor="text1"/>
          <w:sz w:val="24"/>
          <w:lang w:val="cs-CZ"/>
        </w:rPr>
        <w:t>);</w:t>
      </w:r>
    </w:p>
    <w:p w14:paraId="5C65A2A6" w14:textId="7AF32F3F" w:rsidR="00A90747" w:rsidRPr="000E229C" w:rsidRDefault="000E229C" w:rsidP="000E229C">
      <w:pPr>
        <w:pStyle w:val="FootnoteText"/>
        <w:suppressAutoHyphens/>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 xml:space="preserve">usnesení Evropského parlamentu ze dne 26. listopadu 2024 o prováděcím rozhodnutí Komise (EU) 2024/2629, kterým se obnovuje povolení uvedení produktů, které obsahují geneticky modifikovanou kukuřici MON 89034 × 1507 × MON 88017 × 59122 nebo osm z jejích </w:t>
      </w:r>
      <w:proofErr w:type="spellStart"/>
      <w:r w:rsidR="00A90747" w:rsidRPr="000E229C">
        <w:rPr>
          <w:color w:val="000000" w:themeColor="text1"/>
          <w:sz w:val="24"/>
          <w:lang w:val="cs-CZ"/>
        </w:rPr>
        <w:t>podkombinací</w:t>
      </w:r>
      <w:proofErr w:type="spellEnd"/>
      <w:r w:rsidR="00A90747" w:rsidRPr="000E229C">
        <w:rPr>
          <w:color w:val="000000" w:themeColor="text1"/>
          <w:sz w:val="24"/>
          <w:lang w:val="cs-CZ"/>
        </w:rPr>
        <w:t>, sestávají z nich nebo jsou z nich vyrobeny, na trh, v souladu s nařízením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C/2025/1799, 4.4.2025, ELI: </w:t>
      </w:r>
      <w:hyperlink r:id="rId6" w:history="1">
        <w:r w:rsidR="00A90747" w:rsidRPr="000E229C">
          <w:rPr>
            <w:rStyle w:val="Hyperlink"/>
            <w:sz w:val="24"/>
            <w:lang w:val="cs-CZ"/>
          </w:rPr>
          <w:t>http://data.europa.eu/eli/C/2025/1799/oj</w:t>
        </w:r>
      </w:hyperlink>
      <w:r w:rsidR="00A90747" w:rsidRPr="000E229C">
        <w:rPr>
          <w:color w:val="000000" w:themeColor="text1"/>
          <w:sz w:val="24"/>
          <w:lang w:val="cs-CZ"/>
        </w:rPr>
        <w:t>);</w:t>
      </w:r>
    </w:p>
    <w:p w14:paraId="421DA933" w14:textId="5E686BD0" w:rsidR="00A90747" w:rsidRPr="000E229C" w:rsidRDefault="000E229C" w:rsidP="000E229C">
      <w:pPr>
        <w:pStyle w:val="FootnoteText"/>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C/2025/1800, 4.4.2025, ELI: </w:t>
      </w:r>
      <w:hyperlink r:id="rId7" w:history="1">
        <w:r w:rsidR="00A90747" w:rsidRPr="000E229C">
          <w:rPr>
            <w:rStyle w:val="Hyperlink"/>
            <w:sz w:val="24"/>
            <w:lang w:val="cs-CZ"/>
          </w:rPr>
          <w:t>http://data.europa.eu/eli/C/2025/1800/oj</w:t>
        </w:r>
      </w:hyperlink>
      <w:r w:rsidR="00A90747" w:rsidRPr="000E229C">
        <w:rPr>
          <w:color w:val="000000" w:themeColor="text1"/>
          <w:sz w:val="24"/>
          <w:lang w:val="cs-CZ"/>
        </w:rPr>
        <w:t>);</w:t>
      </w:r>
    </w:p>
    <w:p w14:paraId="06F0DCC7" w14:textId="66FCE200" w:rsidR="00A90747" w:rsidRPr="000E229C" w:rsidRDefault="000E229C" w:rsidP="000E229C">
      <w:pPr>
        <w:pStyle w:val="FootnoteText"/>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prováděcím rozhodnutí Komise (EU) 2024/1822 o povolení uvedení produktů, které obsahují geneticky modifikovanou kukuřici DP915635, sestávají z ní nebo jsou z ní vyrobeny, na trh podle nařízení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C/2025/1801, 4.4.2025, ELI: </w:t>
      </w:r>
      <w:hyperlink r:id="rId8" w:history="1">
        <w:r w:rsidR="00A90747" w:rsidRPr="000E229C">
          <w:rPr>
            <w:rStyle w:val="Hyperlink"/>
            <w:sz w:val="24"/>
            <w:lang w:val="cs-CZ"/>
          </w:rPr>
          <w:t>http://data.europa.eu/eli/C/2025/1801/oj</w:t>
        </w:r>
      </w:hyperlink>
      <w:r w:rsidR="00A90747" w:rsidRPr="000E229C">
        <w:rPr>
          <w:color w:val="000000" w:themeColor="text1"/>
          <w:sz w:val="24"/>
          <w:lang w:val="cs-CZ"/>
        </w:rPr>
        <w:t>);</w:t>
      </w:r>
    </w:p>
    <w:p w14:paraId="61526A33" w14:textId="0E77193B" w:rsidR="00A90747" w:rsidRPr="000E229C" w:rsidRDefault="000E229C" w:rsidP="000E229C">
      <w:pPr>
        <w:pStyle w:val="FootnoteText"/>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prováděcím rozhodnutí Komise (EU) 2024/1826 o povolení uvedení produktů, které obsahují geneticky modifikovanou kukuřici DP23211, sestávají z ní nebo jsou z ní vyrobeny, na trh podle nařízení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C/2025/1802, 4.4.2025, ELI: </w:t>
      </w:r>
      <w:hyperlink r:id="rId9" w:history="1">
        <w:r w:rsidR="00A90747" w:rsidRPr="000E229C">
          <w:rPr>
            <w:rStyle w:val="Hyperlink"/>
            <w:sz w:val="24"/>
            <w:lang w:val="cs-CZ"/>
          </w:rPr>
          <w:t>http://data.europa.eu/eli/C/2025/1802/oj</w:t>
        </w:r>
      </w:hyperlink>
      <w:r w:rsidR="00A90747" w:rsidRPr="000E229C">
        <w:rPr>
          <w:color w:val="000000" w:themeColor="text1"/>
          <w:sz w:val="24"/>
          <w:lang w:val="cs-CZ"/>
        </w:rPr>
        <w:t>);</w:t>
      </w:r>
    </w:p>
    <w:p w14:paraId="31C1114D" w14:textId="0A0FB03F" w:rsidR="00A90747" w:rsidRPr="000E229C" w:rsidRDefault="000E229C" w:rsidP="000E229C">
      <w:pPr>
        <w:pStyle w:val="FootnoteText"/>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C/2025/1803, 4.4.2025, ELI: </w:t>
      </w:r>
      <w:hyperlink r:id="rId10" w:history="1">
        <w:r w:rsidR="00A90747" w:rsidRPr="000E229C">
          <w:rPr>
            <w:rStyle w:val="Hyperlink"/>
            <w:sz w:val="24"/>
            <w:lang w:val="cs-CZ"/>
          </w:rPr>
          <w:t>http://data.europa.eu/eli/C/2025/1803/oj</w:t>
        </w:r>
      </w:hyperlink>
      <w:r w:rsidR="00A90747" w:rsidRPr="000E229C">
        <w:rPr>
          <w:color w:val="000000" w:themeColor="text1"/>
          <w:sz w:val="24"/>
          <w:lang w:val="cs-CZ"/>
        </w:rPr>
        <w:t>);</w:t>
      </w:r>
    </w:p>
    <w:p w14:paraId="56C18A97" w14:textId="16E92320" w:rsidR="00A90747" w:rsidRPr="000E229C" w:rsidRDefault="000E229C" w:rsidP="000E229C">
      <w:pPr>
        <w:pStyle w:val="FootnoteText"/>
        <w:ind w:left="567" w:hanging="567"/>
        <w:rPr>
          <w:color w:val="000000" w:themeColor="text1"/>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w:t>
      </w:r>
      <w:proofErr w:type="spellStart"/>
      <w:r w:rsidR="00A90747" w:rsidRPr="000E229C">
        <w:rPr>
          <w:color w:val="000000" w:themeColor="text1"/>
          <w:sz w:val="24"/>
          <w:lang w:val="cs-CZ"/>
        </w:rPr>
        <w:t>Úř</w:t>
      </w:r>
      <w:proofErr w:type="spellEnd"/>
      <w:r w:rsidR="00A90747" w:rsidRPr="000E229C">
        <w:rPr>
          <w:color w:val="000000" w:themeColor="text1"/>
          <w:sz w:val="24"/>
          <w:lang w:val="cs-CZ"/>
        </w:rPr>
        <w:t xml:space="preserve">. </w:t>
      </w:r>
      <w:proofErr w:type="spellStart"/>
      <w:r w:rsidR="00A90747" w:rsidRPr="000E229C">
        <w:rPr>
          <w:color w:val="000000" w:themeColor="text1"/>
          <w:sz w:val="24"/>
          <w:lang w:val="cs-CZ"/>
        </w:rPr>
        <w:t>věst</w:t>
      </w:r>
      <w:proofErr w:type="spellEnd"/>
      <w:r w:rsidR="00A90747" w:rsidRPr="000E229C">
        <w:rPr>
          <w:color w:val="000000" w:themeColor="text1"/>
          <w:sz w:val="24"/>
          <w:lang w:val="cs-CZ"/>
        </w:rPr>
        <w:t xml:space="preserve">. C, C/2025/1804, 4.4.2025, ELI: </w:t>
      </w:r>
      <w:hyperlink r:id="rId11" w:history="1">
        <w:r w:rsidR="00A90747" w:rsidRPr="000E229C">
          <w:rPr>
            <w:rStyle w:val="Hyperlink"/>
            <w:sz w:val="24"/>
            <w:lang w:val="cs-CZ"/>
          </w:rPr>
          <w:t>http://data.europa.eu/eli/C/2025/1804/oj</w:t>
        </w:r>
      </w:hyperlink>
      <w:r w:rsidR="00A90747" w:rsidRPr="000E229C">
        <w:rPr>
          <w:color w:val="000000" w:themeColor="text1"/>
          <w:sz w:val="24"/>
          <w:lang w:val="cs-CZ"/>
        </w:rPr>
        <w:t>);</w:t>
      </w:r>
    </w:p>
    <w:p w14:paraId="59EEB7F8" w14:textId="1DDB270B" w:rsidR="00A90747" w:rsidRPr="000E229C" w:rsidRDefault="000E229C" w:rsidP="000E229C">
      <w:pPr>
        <w:pStyle w:val="FootnoteText"/>
        <w:ind w:left="567" w:hanging="567"/>
        <w:rPr>
          <w:sz w:val="24"/>
          <w:vertAlign w:val="superscript"/>
          <w:lang w:val="cs-CZ"/>
        </w:rPr>
      </w:pPr>
      <w:r w:rsidRPr="000E229C">
        <w:rPr>
          <w:color w:val="000000" w:themeColor="text1"/>
          <w:sz w:val="24"/>
          <w:lang w:val="cs-CZ"/>
        </w:rPr>
        <w:t xml:space="preserve"> </w:t>
      </w:r>
      <w:r w:rsidRPr="000E229C">
        <w:rPr>
          <w:color w:val="000000" w:themeColor="text1"/>
          <w:sz w:val="24"/>
          <w:lang w:val="cs-CZ"/>
        </w:rPr>
        <w:tab/>
      </w:r>
      <w:r w:rsidR="00A90747" w:rsidRPr="000E229C">
        <w:rPr>
          <w:color w:val="000000" w:themeColor="text1"/>
          <w:sz w:val="24"/>
          <w:lang w:val="cs-CZ"/>
        </w:rPr>
        <w:t>–</w:t>
      </w:r>
      <w:r w:rsidR="00A90747" w:rsidRPr="000E229C">
        <w:rPr>
          <w:color w:val="000000" w:themeColor="text1"/>
          <w:sz w:val="24"/>
          <w:lang w:val="cs-CZ"/>
        </w:rPr>
        <w:tab/>
      </w:r>
      <w:r w:rsidR="00A90747" w:rsidRPr="000E229C">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w:t>
      </w:r>
      <w:proofErr w:type="spellStart"/>
      <w:r w:rsidR="00A90747" w:rsidRPr="000E229C">
        <w:rPr>
          <w:sz w:val="24"/>
          <w:lang w:val="cs-CZ"/>
        </w:rPr>
        <w:t>Úř</w:t>
      </w:r>
      <w:proofErr w:type="spellEnd"/>
      <w:r w:rsidR="00A90747" w:rsidRPr="000E229C">
        <w:rPr>
          <w:sz w:val="24"/>
          <w:lang w:val="cs-CZ"/>
        </w:rPr>
        <w:t xml:space="preserve">. </w:t>
      </w:r>
      <w:proofErr w:type="spellStart"/>
      <w:r w:rsidR="00A90747" w:rsidRPr="000E229C">
        <w:rPr>
          <w:sz w:val="24"/>
          <w:lang w:val="cs-CZ"/>
        </w:rPr>
        <w:t>věst</w:t>
      </w:r>
      <w:proofErr w:type="spellEnd"/>
      <w:r w:rsidR="00A90747" w:rsidRPr="000E229C">
        <w:rPr>
          <w:sz w:val="24"/>
          <w:lang w:val="cs-CZ"/>
        </w:rPr>
        <w:t xml:space="preserve">. C, C/2025/2246, </w:t>
      </w:r>
      <w:r w:rsidR="003620B9">
        <w:rPr>
          <w:sz w:val="24"/>
          <w:lang w:val="cs-CZ"/>
        </w:rPr>
        <w:t>29</w:t>
      </w:r>
      <w:r w:rsidR="00A90747" w:rsidRPr="000E229C">
        <w:rPr>
          <w:sz w:val="24"/>
          <w:lang w:val="cs-CZ"/>
        </w:rPr>
        <w:t xml:space="preserve">.4.2025, ELI: </w:t>
      </w:r>
      <w:hyperlink r:id="rId12" w:tooltip="Umožňuje přístup k tomuto dokumentu prostřednictvím jeho ELI URI." w:history="1">
        <w:r w:rsidR="00A90747" w:rsidRPr="000E229C">
          <w:rPr>
            <w:rStyle w:val="Hyperlink"/>
            <w:sz w:val="24"/>
            <w:lang w:val="cs-CZ"/>
          </w:rPr>
          <w:t>http://data.europa.eu/eli/C/2025/2246/oj</w:t>
        </w:r>
      </w:hyperlink>
      <w:r w:rsidR="00A90747" w:rsidRPr="000E229C">
        <w:rPr>
          <w:sz w:val="24"/>
          <w:lang w:val="cs-CZ"/>
        </w:rPr>
        <w:t>);</w:t>
      </w:r>
    </w:p>
    <w:p w14:paraId="36147B43" w14:textId="061A3E97" w:rsidR="00A90747" w:rsidRPr="000E229C" w:rsidRDefault="000E229C" w:rsidP="000E229C">
      <w:pPr>
        <w:pStyle w:val="FootnoteText"/>
        <w:ind w:left="567" w:hanging="567"/>
        <w:rPr>
          <w:sz w:val="24"/>
          <w:vertAlign w:val="superscript"/>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w:t>
      </w:r>
      <w:proofErr w:type="spellStart"/>
      <w:r w:rsidR="00A90747" w:rsidRPr="000E229C">
        <w:rPr>
          <w:sz w:val="24"/>
          <w:lang w:val="cs-CZ"/>
        </w:rPr>
        <w:t>Úř</w:t>
      </w:r>
      <w:proofErr w:type="spellEnd"/>
      <w:r w:rsidR="00A90747" w:rsidRPr="000E229C">
        <w:rPr>
          <w:sz w:val="24"/>
          <w:lang w:val="cs-CZ"/>
        </w:rPr>
        <w:t xml:space="preserve">. </w:t>
      </w:r>
      <w:proofErr w:type="spellStart"/>
      <w:r w:rsidR="00A90747" w:rsidRPr="000E229C">
        <w:rPr>
          <w:sz w:val="24"/>
          <w:lang w:val="cs-CZ"/>
        </w:rPr>
        <w:t>věst</w:t>
      </w:r>
      <w:proofErr w:type="spellEnd"/>
      <w:r w:rsidR="00A90747" w:rsidRPr="000E229C">
        <w:rPr>
          <w:sz w:val="24"/>
          <w:lang w:val="cs-CZ"/>
        </w:rPr>
        <w:t xml:space="preserve">. C, C/2025/2247, </w:t>
      </w:r>
      <w:r w:rsidR="003620B9">
        <w:rPr>
          <w:sz w:val="24"/>
          <w:lang w:val="cs-CZ"/>
        </w:rPr>
        <w:t>29</w:t>
      </w:r>
      <w:r w:rsidR="00A90747" w:rsidRPr="000E229C">
        <w:rPr>
          <w:sz w:val="24"/>
          <w:lang w:val="cs-CZ"/>
        </w:rPr>
        <w:t xml:space="preserve">.4.2025, ELI: </w:t>
      </w:r>
      <w:hyperlink r:id="rId13" w:tooltip="Umožňuje přístup k tomuto dokumentu prostřednictvím jeho ELI URI." w:history="1">
        <w:r w:rsidR="00A90747" w:rsidRPr="000E229C">
          <w:rPr>
            <w:rStyle w:val="Hyperlink"/>
            <w:sz w:val="24"/>
            <w:lang w:val="cs-CZ"/>
          </w:rPr>
          <w:t>http://data.europa.eu/eli/C/2025/2247/oj</w:t>
        </w:r>
      </w:hyperlink>
      <w:r w:rsidR="00A90747" w:rsidRPr="000E229C">
        <w:rPr>
          <w:sz w:val="24"/>
          <w:lang w:val="cs-CZ"/>
        </w:rPr>
        <w:t>).</w:t>
      </w:r>
    </w:p>
    <w:p w14:paraId="4AC98ED5" w14:textId="0F04015D" w:rsidR="00A90747" w:rsidRPr="000E229C" w:rsidRDefault="000E229C" w:rsidP="000E229C">
      <w:pPr>
        <w:pStyle w:val="FootnoteText"/>
        <w:ind w:left="567" w:hanging="567"/>
        <w:rPr>
          <w:sz w:val="24"/>
          <w:vertAlign w:val="superscript"/>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(P10_TA(2025)0106);</w:t>
      </w:r>
    </w:p>
    <w:p w14:paraId="317964E3" w14:textId="27B51551" w:rsidR="00A90747" w:rsidRPr="000E229C" w:rsidRDefault="000E229C" w:rsidP="000E229C">
      <w:pPr>
        <w:pStyle w:val="FootnoteText"/>
        <w:ind w:left="567" w:hanging="567"/>
        <w:rPr>
          <w:sz w:val="24"/>
          <w:vertAlign w:val="superscript"/>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(P10_TA(2025)0222);</w:t>
      </w:r>
    </w:p>
    <w:p w14:paraId="19201456" w14:textId="68FF97AB" w:rsidR="00A90747" w:rsidRPr="000E229C" w:rsidRDefault="000E229C" w:rsidP="000E229C">
      <w:pPr>
        <w:pStyle w:val="FootnoteText"/>
        <w:ind w:left="567" w:hanging="567"/>
        <w:rPr>
          <w:sz w:val="24"/>
          <w:vertAlign w:val="superscript"/>
          <w:lang w:val="cs-CZ"/>
        </w:rPr>
      </w:pPr>
      <w:bookmarkStart w:id="8" w:name="_Hlk215330280"/>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(P10_TA(2025)0288);</w:t>
      </w:r>
    </w:p>
    <w:p w14:paraId="7EB8DFBC" w14:textId="0E9D6695" w:rsidR="00A90747" w:rsidRPr="000E229C" w:rsidRDefault="000E229C" w:rsidP="000E229C">
      <w:pPr>
        <w:pStyle w:val="FootnoteText"/>
        <w:ind w:left="567" w:hanging="567"/>
        <w:rPr>
          <w:sz w:val="24"/>
          <w:vertAlign w:val="superscript"/>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w:t>
      </w:r>
      <w:r w:rsidR="003620B9" w:rsidRPr="003620B9">
        <w:rPr>
          <w:rFonts w:eastAsiaTheme="minorEastAsia"/>
          <w:sz w:val="24"/>
          <w:szCs w:val="24"/>
        </w:rPr>
        <w:t>P10_TA(2025)0289</w:t>
      </w:r>
      <w:r w:rsidR="00A90747" w:rsidRPr="000E229C">
        <w:rPr>
          <w:sz w:val="24"/>
          <w:lang w:val="cs-CZ"/>
        </w:rPr>
        <w:t>);</w:t>
      </w:r>
    </w:p>
    <w:p w14:paraId="156C2DDB" w14:textId="7EE79DE2" w:rsidR="00A90747" w:rsidRPr="000E229C" w:rsidRDefault="000E229C" w:rsidP="000E229C">
      <w:pPr>
        <w:pStyle w:val="FootnoteText"/>
        <w:ind w:left="567" w:hanging="567"/>
        <w:rPr>
          <w:sz w:val="24"/>
          <w:vertAlign w:val="superscript"/>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25. listopadu 2025 o návrhu prováděcího rozhodnutí Komise, kterým se obnovuje povolení uvedení produktů, které obsahují geneticky modifikovanou řepku olejku MON 88302, sestávají z ní nebo jsou z ní vyrobeny, na trh podle nařízení Evropského parlamentu a Rady (ES) č. 1829/2003 (P10_TA(2025)0290);</w:t>
      </w:r>
    </w:p>
    <w:p w14:paraId="7227D617" w14:textId="16A0E116" w:rsidR="00A90747" w:rsidRPr="000E229C" w:rsidRDefault="000E229C" w:rsidP="000E229C">
      <w:pPr>
        <w:pStyle w:val="FootnoteText"/>
        <w:ind w:left="567" w:hanging="567"/>
        <w:rPr>
          <w:sz w:val="24"/>
          <w:vertAlign w:val="superscript"/>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(P10_TA(2025)0291);</w:t>
      </w:r>
    </w:p>
    <w:p w14:paraId="7D4D1EA6" w14:textId="34E7D7BE" w:rsidR="00A90747" w:rsidRPr="000E229C" w:rsidRDefault="000E229C" w:rsidP="000E229C">
      <w:pPr>
        <w:pStyle w:val="FootnoteText"/>
        <w:ind w:left="567" w:hanging="567"/>
        <w:rPr>
          <w:sz w:val="24"/>
          <w:lang w:val="cs-CZ"/>
        </w:rPr>
      </w:pPr>
      <w:r w:rsidRPr="000E229C">
        <w:rPr>
          <w:sz w:val="24"/>
          <w:lang w:val="cs-CZ"/>
        </w:rPr>
        <w:t xml:space="preserve"> </w:t>
      </w:r>
      <w:r w:rsidRPr="000E229C">
        <w:rPr>
          <w:sz w:val="24"/>
          <w:lang w:val="cs-CZ"/>
        </w:rPr>
        <w:tab/>
      </w:r>
      <w:r w:rsidR="00A90747" w:rsidRPr="000E229C">
        <w:rPr>
          <w:sz w:val="24"/>
          <w:lang w:val="cs-CZ"/>
        </w:rPr>
        <w:t>–</w:t>
      </w:r>
      <w:r w:rsidR="00A90747" w:rsidRPr="000E229C">
        <w:rPr>
          <w:sz w:val="24"/>
          <w:lang w:val="cs-CZ"/>
        </w:rPr>
        <w:tab/>
        <w:t>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(ES) č. 1829/2003 (P10_TA(2025)0292).</w:t>
      </w:r>
      <w:bookmarkEnd w:id="8"/>
    </w:p>
  </w:footnote>
  <w:footnote w:id="5">
    <w:p w14:paraId="129DAE88" w14:textId="3BF4DFBF" w:rsidR="00A90747" w:rsidRPr="000E229C" w:rsidRDefault="00A90747" w:rsidP="000E229C">
      <w:pPr>
        <w:pStyle w:val="FootnoteText"/>
        <w:ind w:left="567" w:hanging="567"/>
        <w:rPr>
          <w:sz w:val="24"/>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r w:rsidRPr="000E229C">
        <w:rPr>
          <w:sz w:val="24"/>
          <w:lang w:val="cs-CZ"/>
        </w:rPr>
        <w:t>Prováděcí rozhodnutí Komise (EU) 2015/684 EU ze dne 24. dubna 2015 kterým se povoluje uvedení geneticky modifikované kukuřice NK603 (MON-ØØ6Ø3-6) na trh a obnovuje povolení pro stávající produkty z kukuřice NK603 (MON-ØØ6Ø3-6) podle nařízení Evropského parlamentu a Rady (ES) č. 1829/2003 (</w:t>
      </w:r>
      <w:proofErr w:type="spellStart"/>
      <w:r w:rsidRPr="000E229C">
        <w:rPr>
          <w:sz w:val="24"/>
          <w:lang w:val="cs-CZ"/>
        </w:rPr>
        <w:t>Úř</w:t>
      </w:r>
      <w:proofErr w:type="spellEnd"/>
      <w:r w:rsidRPr="000E229C">
        <w:rPr>
          <w:sz w:val="24"/>
          <w:lang w:val="cs-CZ"/>
        </w:rPr>
        <w:t>. </w:t>
      </w:r>
      <w:proofErr w:type="spellStart"/>
      <w:r w:rsidRPr="000E229C">
        <w:rPr>
          <w:sz w:val="24"/>
          <w:lang w:val="cs-CZ"/>
        </w:rPr>
        <w:t>věst</w:t>
      </w:r>
      <w:proofErr w:type="spellEnd"/>
      <w:r w:rsidRPr="000E229C">
        <w:rPr>
          <w:sz w:val="24"/>
          <w:lang w:val="cs-CZ"/>
        </w:rPr>
        <w:t xml:space="preserve">. L 112, </w:t>
      </w:r>
      <w:r w:rsidR="003620B9">
        <w:rPr>
          <w:sz w:val="24"/>
          <w:lang w:val="en-GB"/>
        </w:rPr>
        <w:t>30</w:t>
      </w:r>
      <w:r w:rsidR="003620B9" w:rsidRPr="00FD5166">
        <w:rPr>
          <w:sz w:val="24"/>
          <w:lang w:val="en-GB"/>
        </w:rPr>
        <w:t>.</w:t>
      </w:r>
      <w:r w:rsidR="003620B9">
        <w:rPr>
          <w:sz w:val="24"/>
          <w:lang w:val="en-GB"/>
        </w:rPr>
        <w:t>4</w:t>
      </w:r>
      <w:r w:rsidR="003620B9" w:rsidRPr="00FD5166">
        <w:rPr>
          <w:sz w:val="24"/>
          <w:lang w:val="en-GB"/>
        </w:rPr>
        <w:t>.20</w:t>
      </w:r>
      <w:r w:rsidR="003620B9">
        <w:rPr>
          <w:sz w:val="24"/>
          <w:lang w:val="en-GB"/>
        </w:rPr>
        <w:t>15</w:t>
      </w:r>
      <w:r w:rsidRPr="000E229C">
        <w:rPr>
          <w:sz w:val="24"/>
          <w:lang w:val="cs-CZ"/>
        </w:rPr>
        <w:t>, s. 6, ELI: </w:t>
      </w:r>
      <w:hyperlink r:id="rId14" w:tooltip="Umožňuje přístup k tomuto dokumentu prostřednictvím jeho ELI URI." w:history="1">
        <w:r w:rsidRPr="000E229C">
          <w:rPr>
            <w:rStyle w:val="Hyperlink"/>
            <w:sz w:val="24"/>
            <w:lang w:val="cs-CZ"/>
          </w:rPr>
          <w:t>http://data.europa.eu/</w:t>
        </w:r>
        <w:proofErr w:type="spellStart"/>
        <w:r w:rsidRPr="000E229C">
          <w:rPr>
            <w:rStyle w:val="Hyperlink"/>
            <w:sz w:val="24"/>
            <w:lang w:val="cs-CZ"/>
          </w:rPr>
          <w:t>eli</w:t>
        </w:r>
        <w:proofErr w:type="spellEnd"/>
        <w:r w:rsidRPr="000E229C">
          <w:rPr>
            <w:rStyle w:val="Hyperlink"/>
            <w:sz w:val="24"/>
            <w:lang w:val="cs-CZ"/>
          </w:rPr>
          <w:t>/</w:t>
        </w:r>
        <w:proofErr w:type="spellStart"/>
        <w:r w:rsidRPr="000E229C">
          <w:rPr>
            <w:rStyle w:val="Hyperlink"/>
            <w:sz w:val="24"/>
            <w:lang w:val="cs-CZ"/>
          </w:rPr>
          <w:t>dec_impl</w:t>
        </w:r>
        <w:proofErr w:type="spellEnd"/>
        <w:r w:rsidRPr="000E229C">
          <w:rPr>
            <w:rStyle w:val="Hyperlink"/>
            <w:sz w:val="24"/>
            <w:lang w:val="cs-CZ"/>
          </w:rPr>
          <w:t>/2015/684/oj</w:t>
        </w:r>
      </w:hyperlink>
      <w:r w:rsidRPr="000E229C">
        <w:rPr>
          <w:sz w:val="24"/>
          <w:lang w:val="cs-CZ"/>
        </w:rPr>
        <w:t>).</w:t>
      </w:r>
    </w:p>
  </w:footnote>
  <w:footnote w:id="6">
    <w:p w14:paraId="463D645C" w14:textId="0D9BA592" w:rsidR="00A90747" w:rsidRPr="0006120D" w:rsidRDefault="00A90747" w:rsidP="000E229C">
      <w:pPr>
        <w:pStyle w:val="FootnoteText"/>
        <w:ind w:left="567" w:hanging="567"/>
        <w:rPr>
          <w:sz w:val="24"/>
          <w:szCs w:val="24"/>
          <w:lang w:val="cs-CZ"/>
        </w:rPr>
      </w:pPr>
      <w:r w:rsidRPr="000E229C">
        <w:rPr>
          <w:rStyle w:val="FootnoteReference"/>
          <w:sz w:val="24"/>
          <w:lang w:val="cs-CZ"/>
        </w:rPr>
        <w:footnoteRef/>
      </w:r>
      <w:r w:rsidR="000E229C" w:rsidRPr="000E229C">
        <w:rPr>
          <w:rStyle w:val="Hyperlink"/>
          <w:sz w:val="24"/>
          <w:lang w:val="cs-CZ"/>
        </w:rPr>
        <w:t xml:space="preserve"> </w:t>
      </w:r>
      <w:r w:rsidR="000E229C" w:rsidRPr="000E229C">
        <w:rPr>
          <w:rStyle w:val="Hyperlink"/>
          <w:sz w:val="24"/>
          <w:lang w:val="cs-CZ"/>
        </w:rPr>
        <w:tab/>
      </w:r>
      <w:r w:rsidRPr="0006120D">
        <w:rPr>
          <w:sz w:val="24"/>
          <w:szCs w:val="24"/>
          <w:lang w:val="cs-CZ"/>
        </w:rPr>
        <w:t xml:space="preserve">EFSA GMO Panel, 2009. Vědecké stanovisko panelu pro geneticky modifikované organismy k žádostem (EFSA-GMO-NL-2005-22 a EFSA-GMO-RX-NK603) o uvedení geneticky modifikované kukuřice NK603 tolerantní ke glyfosátu na trh pro pěstování, použití jako potravina a krmivo a pro dovoz a zpracování a o obnovení povolení kukuřice NK603 jako stávajícího produktu. EFSA </w:t>
      </w:r>
      <w:proofErr w:type="spellStart"/>
      <w:r w:rsidRPr="0006120D">
        <w:rPr>
          <w:sz w:val="24"/>
          <w:szCs w:val="24"/>
          <w:lang w:val="cs-CZ"/>
        </w:rPr>
        <w:t>Journal</w:t>
      </w:r>
      <w:proofErr w:type="spellEnd"/>
      <w:r w:rsidRPr="0006120D">
        <w:rPr>
          <w:sz w:val="24"/>
          <w:szCs w:val="24"/>
          <w:lang w:val="cs-CZ"/>
        </w:rPr>
        <w:t>, 7(6), 1137</w:t>
      </w:r>
      <w:r w:rsidR="00A30A74" w:rsidRPr="0006120D">
        <w:rPr>
          <w:sz w:val="24"/>
          <w:szCs w:val="24"/>
          <w:lang w:val="cs-CZ"/>
        </w:rPr>
        <w:t xml:space="preserve">, </w:t>
      </w:r>
      <w:hyperlink r:id="rId15" w:history="1">
        <w:r w:rsidR="00A30A74" w:rsidRPr="0006120D">
          <w:rPr>
            <w:rStyle w:val="Hyperlink"/>
            <w:sz w:val="24"/>
            <w:szCs w:val="24"/>
            <w:lang w:val="cs-CZ"/>
          </w:rPr>
          <w:t>https://doi.org/10.2903/j.efsa.2009.1137</w:t>
        </w:r>
      </w:hyperlink>
      <w:r w:rsidRPr="0006120D">
        <w:rPr>
          <w:rStyle w:val="Hyperlink"/>
          <w:sz w:val="24"/>
          <w:szCs w:val="24"/>
          <w:lang w:val="cs-CZ"/>
        </w:rPr>
        <w:t>.</w:t>
      </w:r>
    </w:p>
  </w:footnote>
  <w:footnote w:id="7">
    <w:p w14:paraId="3C3FE5CE" w14:textId="6C9C4A4D" w:rsidR="00A90747" w:rsidRPr="000E229C" w:rsidRDefault="00A90747" w:rsidP="000E229C">
      <w:pPr>
        <w:pStyle w:val="FootnoteText"/>
        <w:ind w:left="567" w:hanging="567"/>
        <w:rPr>
          <w:sz w:val="24"/>
          <w:lang w:val="cs-CZ"/>
        </w:rPr>
      </w:pPr>
      <w:r w:rsidRPr="000E229C">
        <w:rPr>
          <w:rStyle w:val="FootnoteReference"/>
          <w:sz w:val="24"/>
          <w:lang w:val="cs-CZ"/>
        </w:rPr>
        <w:footnoteRef/>
      </w:r>
      <w:r w:rsidR="000E229C" w:rsidRPr="000E229C">
        <w:rPr>
          <w:sz w:val="24"/>
          <w:shd w:val="clear" w:color="auto" w:fill="FFFFFF"/>
          <w:lang w:val="cs-CZ"/>
        </w:rPr>
        <w:t xml:space="preserve"> </w:t>
      </w:r>
      <w:r w:rsidR="000E229C" w:rsidRPr="000E229C">
        <w:rPr>
          <w:sz w:val="24"/>
          <w:shd w:val="clear" w:color="auto" w:fill="FFFFFF"/>
          <w:lang w:val="cs-CZ"/>
        </w:rPr>
        <w:tab/>
      </w:r>
      <w:r w:rsidRPr="000E229C">
        <w:rPr>
          <w:sz w:val="24"/>
          <w:shd w:val="clear" w:color="auto" w:fill="FFFFFF"/>
          <w:lang w:val="cs-CZ"/>
        </w:rPr>
        <w:t>Viz například Bonny, S., „</w:t>
      </w:r>
      <w:proofErr w:type="spellStart"/>
      <w:r w:rsidRPr="000E229C">
        <w:rPr>
          <w:sz w:val="24"/>
          <w:shd w:val="clear" w:color="auto" w:fill="FFFFFF"/>
          <w:lang w:val="cs-CZ"/>
        </w:rPr>
        <w:t>Genetically</w:t>
      </w:r>
      <w:proofErr w:type="spellEnd"/>
      <w:r w:rsidRPr="000E229C">
        <w:rPr>
          <w:sz w:val="24"/>
          <w:shd w:val="clear" w:color="auto" w:fill="FFFFFF"/>
          <w:lang w:val="cs-CZ"/>
        </w:rPr>
        <w:t xml:space="preserve"> </w:t>
      </w:r>
      <w:proofErr w:type="spellStart"/>
      <w:r w:rsidRPr="000E229C">
        <w:rPr>
          <w:sz w:val="24"/>
          <w:shd w:val="clear" w:color="auto" w:fill="FFFFFF"/>
          <w:lang w:val="cs-CZ"/>
        </w:rPr>
        <w:t>Modified</w:t>
      </w:r>
      <w:proofErr w:type="spellEnd"/>
      <w:r w:rsidRPr="000E229C">
        <w:rPr>
          <w:sz w:val="24"/>
          <w:shd w:val="clear" w:color="auto" w:fill="FFFFFF"/>
          <w:lang w:val="cs-CZ"/>
        </w:rPr>
        <w:t xml:space="preserve"> Herbicide-</w:t>
      </w:r>
      <w:proofErr w:type="spellStart"/>
      <w:r w:rsidRPr="000E229C">
        <w:rPr>
          <w:sz w:val="24"/>
          <w:shd w:val="clear" w:color="auto" w:fill="FFFFFF"/>
          <w:lang w:val="cs-CZ"/>
        </w:rPr>
        <w:t>Tolerant</w:t>
      </w:r>
      <w:proofErr w:type="spellEnd"/>
      <w:r w:rsidRPr="000E229C">
        <w:rPr>
          <w:sz w:val="24"/>
          <w:shd w:val="clear" w:color="auto" w:fill="FFFFFF"/>
          <w:lang w:val="cs-CZ"/>
        </w:rPr>
        <w:t xml:space="preserve"> </w:t>
      </w:r>
      <w:proofErr w:type="spellStart"/>
      <w:r w:rsidRPr="000E229C">
        <w:rPr>
          <w:sz w:val="24"/>
          <w:shd w:val="clear" w:color="auto" w:fill="FFFFFF"/>
          <w:lang w:val="cs-CZ"/>
        </w:rPr>
        <w:t>Crops</w:t>
      </w:r>
      <w:proofErr w:type="spellEnd"/>
      <w:r w:rsidRPr="000E229C">
        <w:rPr>
          <w:sz w:val="24"/>
          <w:shd w:val="clear" w:color="auto" w:fill="FFFFFF"/>
          <w:lang w:val="cs-CZ"/>
        </w:rPr>
        <w:t xml:space="preserve">, </w:t>
      </w:r>
      <w:proofErr w:type="spellStart"/>
      <w:r w:rsidRPr="000E229C">
        <w:rPr>
          <w:sz w:val="24"/>
          <w:shd w:val="clear" w:color="auto" w:fill="FFFFFF"/>
          <w:lang w:val="cs-CZ"/>
        </w:rPr>
        <w:t>Weeds</w:t>
      </w:r>
      <w:proofErr w:type="spellEnd"/>
      <w:r w:rsidRPr="000E229C">
        <w:rPr>
          <w:sz w:val="24"/>
          <w:shd w:val="clear" w:color="auto" w:fill="FFFFFF"/>
          <w:lang w:val="cs-CZ"/>
        </w:rPr>
        <w:t xml:space="preserve">, and </w:t>
      </w:r>
      <w:proofErr w:type="spellStart"/>
      <w:r w:rsidRPr="000E229C">
        <w:rPr>
          <w:sz w:val="24"/>
          <w:shd w:val="clear" w:color="auto" w:fill="FFFFFF"/>
          <w:lang w:val="cs-CZ"/>
        </w:rPr>
        <w:t>Herbicides</w:t>
      </w:r>
      <w:proofErr w:type="spellEnd"/>
      <w:r w:rsidRPr="000E229C">
        <w:rPr>
          <w:sz w:val="24"/>
          <w:shd w:val="clear" w:color="auto" w:fill="FFFFFF"/>
          <w:lang w:val="cs-CZ"/>
        </w:rPr>
        <w:t xml:space="preserve">: </w:t>
      </w:r>
      <w:proofErr w:type="spellStart"/>
      <w:r w:rsidRPr="000E229C">
        <w:rPr>
          <w:sz w:val="24"/>
          <w:shd w:val="clear" w:color="auto" w:fill="FFFFFF"/>
          <w:lang w:val="cs-CZ"/>
        </w:rPr>
        <w:t>Overview</w:t>
      </w:r>
      <w:proofErr w:type="spellEnd"/>
      <w:r w:rsidRPr="000E229C">
        <w:rPr>
          <w:sz w:val="24"/>
          <w:shd w:val="clear" w:color="auto" w:fill="FFFFFF"/>
          <w:lang w:val="cs-CZ"/>
        </w:rPr>
        <w:t xml:space="preserve"> and </w:t>
      </w:r>
      <w:proofErr w:type="spellStart"/>
      <w:r w:rsidRPr="000E229C">
        <w:rPr>
          <w:sz w:val="24"/>
          <w:shd w:val="clear" w:color="auto" w:fill="FFFFFF"/>
          <w:lang w:val="cs-CZ"/>
        </w:rPr>
        <w:t>Impact</w:t>
      </w:r>
      <w:proofErr w:type="spellEnd"/>
      <w:r w:rsidRPr="000E229C">
        <w:rPr>
          <w:sz w:val="24"/>
          <w:shd w:val="clear" w:color="auto" w:fill="FFFFFF"/>
          <w:lang w:val="cs-CZ"/>
        </w:rPr>
        <w:t xml:space="preserve">“ (Geneticky modifikované plodiny odolné vůči herbicidům, plevel a herbicidy: přehled a dopad), </w:t>
      </w:r>
      <w:proofErr w:type="spellStart"/>
      <w:r w:rsidRPr="000E229C">
        <w:rPr>
          <w:sz w:val="24"/>
          <w:shd w:val="clear" w:color="auto" w:fill="FFFFFF"/>
          <w:lang w:val="cs-CZ"/>
        </w:rPr>
        <w:t>Environmental</w:t>
      </w:r>
      <w:proofErr w:type="spellEnd"/>
      <w:r w:rsidRPr="000E229C">
        <w:rPr>
          <w:sz w:val="24"/>
          <w:shd w:val="clear" w:color="auto" w:fill="FFFFFF"/>
          <w:lang w:val="cs-CZ"/>
        </w:rPr>
        <w:t xml:space="preserve"> Management, leden 2016, 57(1), s. 31–48,</w:t>
      </w:r>
      <w:r w:rsidRPr="000E229C">
        <w:rPr>
          <w:sz w:val="24"/>
          <w:lang w:val="cs-CZ"/>
        </w:rPr>
        <w:t xml:space="preserve"> </w:t>
      </w:r>
      <w:hyperlink r:id="rId16" w:history="1">
        <w:r w:rsidRPr="000E229C">
          <w:rPr>
            <w:rStyle w:val="Hyperlink"/>
            <w:sz w:val="24"/>
            <w:shd w:val="clear" w:color="auto" w:fill="FFFFFF"/>
            <w:lang w:val="cs-CZ"/>
          </w:rPr>
          <w:t>https://doi.org/10.1007/s00267-015-0589-7</w:t>
        </w:r>
      </w:hyperlink>
      <w:r w:rsidRPr="000E229C">
        <w:rPr>
          <w:sz w:val="24"/>
          <w:lang w:val="cs-CZ"/>
        </w:rPr>
        <w:t xml:space="preserve"> </w:t>
      </w:r>
      <w:r w:rsidRPr="000E229C">
        <w:rPr>
          <w:sz w:val="24"/>
          <w:shd w:val="clear" w:color="auto" w:fill="FFFFFF"/>
          <w:lang w:val="cs-CZ"/>
        </w:rPr>
        <w:t>a </w:t>
      </w:r>
      <w:proofErr w:type="spellStart"/>
      <w:r w:rsidRPr="000E229C">
        <w:rPr>
          <w:sz w:val="24"/>
          <w:shd w:val="clear" w:color="auto" w:fill="FFFFFF"/>
          <w:lang w:val="cs-CZ"/>
        </w:rPr>
        <w:t>Benbrook</w:t>
      </w:r>
      <w:proofErr w:type="spellEnd"/>
      <w:r w:rsidRPr="000E229C">
        <w:rPr>
          <w:sz w:val="24"/>
          <w:shd w:val="clear" w:color="auto" w:fill="FFFFFF"/>
          <w:lang w:val="cs-CZ"/>
        </w:rPr>
        <w:t>, C. M., „</w:t>
      </w:r>
      <w:proofErr w:type="spellStart"/>
      <w:r w:rsidRPr="000E229C">
        <w:rPr>
          <w:sz w:val="24"/>
          <w:shd w:val="clear" w:color="auto" w:fill="FFFFFF"/>
          <w:lang w:val="cs-CZ"/>
        </w:rPr>
        <w:t>Impacts</w:t>
      </w:r>
      <w:proofErr w:type="spellEnd"/>
      <w:r w:rsidRPr="000E229C">
        <w:rPr>
          <w:sz w:val="24"/>
          <w:shd w:val="clear" w:color="auto" w:fill="FFFFFF"/>
          <w:lang w:val="cs-CZ"/>
        </w:rPr>
        <w:t xml:space="preserve"> </w:t>
      </w:r>
      <w:proofErr w:type="spellStart"/>
      <w:r w:rsidRPr="000E229C">
        <w:rPr>
          <w:sz w:val="24"/>
          <w:shd w:val="clear" w:color="auto" w:fill="FFFFFF"/>
          <w:lang w:val="cs-CZ"/>
        </w:rPr>
        <w:t>of</w:t>
      </w:r>
      <w:proofErr w:type="spellEnd"/>
      <w:r w:rsidRPr="000E229C">
        <w:rPr>
          <w:sz w:val="24"/>
          <w:shd w:val="clear" w:color="auto" w:fill="FFFFFF"/>
          <w:lang w:val="cs-CZ"/>
        </w:rPr>
        <w:t xml:space="preserve"> </w:t>
      </w:r>
      <w:proofErr w:type="spellStart"/>
      <w:r w:rsidRPr="000E229C">
        <w:rPr>
          <w:sz w:val="24"/>
          <w:shd w:val="clear" w:color="auto" w:fill="FFFFFF"/>
          <w:lang w:val="cs-CZ"/>
        </w:rPr>
        <w:t>genetically</w:t>
      </w:r>
      <w:proofErr w:type="spellEnd"/>
      <w:r w:rsidRPr="000E229C">
        <w:rPr>
          <w:sz w:val="24"/>
          <w:shd w:val="clear" w:color="auto" w:fill="FFFFFF"/>
          <w:lang w:val="cs-CZ"/>
        </w:rPr>
        <w:t xml:space="preserve"> </w:t>
      </w:r>
      <w:proofErr w:type="spellStart"/>
      <w:r w:rsidRPr="000E229C">
        <w:rPr>
          <w:sz w:val="24"/>
          <w:shd w:val="clear" w:color="auto" w:fill="FFFFFF"/>
          <w:lang w:val="cs-CZ"/>
        </w:rPr>
        <w:t>engineered</w:t>
      </w:r>
      <w:proofErr w:type="spellEnd"/>
      <w:r w:rsidRPr="000E229C">
        <w:rPr>
          <w:sz w:val="24"/>
          <w:shd w:val="clear" w:color="auto" w:fill="FFFFFF"/>
          <w:lang w:val="cs-CZ"/>
        </w:rPr>
        <w:t xml:space="preserve"> </w:t>
      </w:r>
      <w:proofErr w:type="spellStart"/>
      <w:r w:rsidRPr="000E229C">
        <w:rPr>
          <w:sz w:val="24"/>
          <w:shd w:val="clear" w:color="auto" w:fill="FFFFFF"/>
          <w:lang w:val="cs-CZ"/>
        </w:rPr>
        <w:t>crops</w:t>
      </w:r>
      <w:proofErr w:type="spellEnd"/>
      <w:r w:rsidRPr="000E229C">
        <w:rPr>
          <w:sz w:val="24"/>
          <w:shd w:val="clear" w:color="auto" w:fill="FFFFFF"/>
          <w:lang w:val="cs-CZ"/>
        </w:rPr>
        <w:t xml:space="preserve"> on pesticide use in </w:t>
      </w:r>
      <w:proofErr w:type="spellStart"/>
      <w:r w:rsidRPr="000E229C">
        <w:rPr>
          <w:sz w:val="24"/>
          <w:shd w:val="clear" w:color="auto" w:fill="FFFFFF"/>
          <w:lang w:val="cs-CZ"/>
        </w:rPr>
        <w:t>the</w:t>
      </w:r>
      <w:proofErr w:type="spellEnd"/>
      <w:r w:rsidRPr="000E229C">
        <w:rPr>
          <w:sz w:val="24"/>
          <w:shd w:val="clear" w:color="auto" w:fill="FFFFFF"/>
          <w:lang w:val="cs-CZ"/>
        </w:rPr>
        <w:t xml:space="preserve"> U.S. – </w:t>
      </w:r>
      <w:proofErr w:type="spellStart"/>
      <w:r w:rsidRPr="000E229C">
        <w:rPr>
          <w:sz w:val="24"/>
          <w:shd w:val="clear" w:color="auto" w:fill="FFFFFF"/>
          <w:lang w:val="cs-CZ"/>
        </w:rPr>
        <w:t>the</w:t>
      </w:r>
      <w:proofErr w:type="spellEnd"/>
      <w:r w:rsidRPr="000E229C">
        <w:rPr>
          <w:sz w:val="24"/>
          <w:shd w:val="clear" w:color="auto" w:fill="FFFFFF"/>
          <w:lang w:val="cs-CZ"/>
        </w:rPr>
        <w:t xml:space="preserve"> </w:t>
      </w:r>
      <w:proofErr w:type="spellStart"/>
      <w:r w:rsidRPr="000E229C">
        <w:rPr>
          <w:sz w:val="24"/>
          <w:shd w:val="clear" w:color="auto" w:fill="FFFFFF"/>
          <w:lang w:val="cs-CZ"/>
        </w:rPr>
        <w:t>first</w:t>
      </w:r>
      <w:proofErr w:type="spellEnd"/>
      <w:r w:rsidRPr="000E229C">
        <w:rPr>
          <w:sz w:val="24"/>
          <w:shd w:val="clear" w:color="auto" w:fill="FFFFFF"/>
          <w:lang w:val="cs-CZ"/>
        </w:rPr>
        <w:t xml:space="preserve"> </w:t>
      </w:r>
      <w:proofErr w:type="spellStart"/>
      <w:r w:rsidRPr="000E229C">
        <w:rPr>
          <w:sz w:val="24"/>
          <w:shd w:val="clear" w:color="auto" w:fill="FFFFFF"/>
          <w:lang w:val="cs-CZ"/>
        </w:rPr>
        <w:t>sixteen</w:t>
      </w:r>
      <w:proofErr w:type="spellEnd"/>
      <w:r w:rsidRPr="000E229C">
        <w:rPr>
          <w:sz w:val="24"/>
          <w:shd w:val="clear" w:color="auto" w:fill="FFFFFF"/>
          <w:lang w:val="cs-CZ"/>
        </w:rPr>
        <w:t xml:space="preserve"> </w:t>
      </w:r>
      <w:proofErr w:type="spellStart"/>
      <w:r w:rsidRPr="000E229C">
        <w:rPr>
          <w:sz w:val="24"/>
          <w:shd w:val="clear" w:color="auto" w:fill="FFFFFF"/>
          <w:lang w:val="cs-CZ"/>
        </w:rPr>
        <w:t>years</w:t>
      </w:r>
      <w:proofErr w:type="spellEnd"/>
      <w:r w:rsidRPr="000E229C">
        <w:rPr>
          <w:sz w:val="24"/>
          <w:shd w:val="clear" w:color="auto" w:fill="FFFFFF"/>
          <w:lang w:val="cs-CZ"/>
        </w:rPr>
        <w:t xml:space="preserve">“ (Vlivy geneticky upravených plodin na používání pesticidů v USA – prvních šestnáct let), </w:t>
      </w:r>
      <w:proofErr w:type="spellStart"/>
      <w:r w:rsidRPr="000E229C">
        <w:rPr>
          <w:sz w:val="24"/>
          <w:shd w:val="clear" w:color="auto" w:fill="FFFFFF"/>
          <w:lang w:val="cs-CZ"/>
        </w:rPr>
        <w:t>Environmental</w:t>
      </w:r>
      <w:proofErr w:type="spellEnd"/>
      <w:r w:rsidRPr="000E229C">
        <w:rPr>
          <w:sz w:val="24"/>
          <w:shd w:val="clear" w:color="auto" w:fill="FFFFFF"/>
          <w:lang w:val="cs-CZ"/>
        </w:rPr>
        <w:t xml:space="preserve"> </w:t>
      </w:r>
      <w:proofErr w:type="spellStart"/>
      <w:r w:rsidRPr="000E229C">
        <w:rPr>
          <w:sz w:val="24"/>
          <w:shd w:val="clear" w:color="auto" w:fill="FFFFFF"/>
          <w:lang w:val="cs-CZ"/>
        </w:rPr>
        <w:t>Sciences</w:t>
      </w:r>
      <w:proofErr w:type="spellEnd"/>
      <w:r w:rsidRPr="000E229C">
        <w:rPr>
          <w:sz w:val="24"/>
          <w:shd w:val="clear" w:color="auto" w:fill="FFFFFF"/>
          <w:lang w:val="cs-CZ"/>
        </w:rPr>
        <w:t xml:space="preserve"> </w:t>
      </w:r>
      <w:proofErr w:type="spellStart"/>
      <w:r w:rsidRPr="000E229C">
        <w:rPr>
          <w:sz w:val="24"/>
          <w:shd w:val="clear" w:color="auto" w:fill="FFFFFF"/>
          <w:lang w:val="cs-CZ"/>
        </w:rPr>
        <w:t>Europe</w:t>
      </w:r>
      <w:proofErr w:type="spellEnd"/>
      <w:r w:rsidRPr="000E229C">
        <w:rPr>
          <w:sz w:val="24"/>
          <w:shd w:val="clear" w:color="auto" w:fill="FFFFFF"/>
          <w:lang w:val="cs-CZ"/>
        </w:rPr>
        <w:t xml:space="preserve">; 28. září 2012, Vol. 24(1), </w:t>
      </w:r>
      <w:hyperlink r:id="rId17" w:history="1">
        <w:r w:rsidRPr="000E229C">
          <w:rPr>
            <w:rStyle w:val="Hyperlink"/>
            <w:sz w:val="24"/>
            <w:shd w:val="clear" w:color="auto" w:fill="FFFFFF"/>
            <w:lang w:val="cs-CZ"/>
          </w:rPr>
          <w:t>https://doi.org/10.1186/2190-4715-24-24</w:t>
        </w:r>
      </w:hyperlink>
      <w:r w:rsidRPr="000E229C">
        <w:rPr>
          <w:sz w:val="24"/>
          <w:shd w:val="clear" w:color="auto" w:fill="FFFFFF"/>
          <w:lang w:val="cs-CZ"/>
        </w:rPr>
        <w:t>.</w:t>
      </w:r>
    </w:p>
  </w:footnote>
  <w:footnote w:id="8">
    <w:p w14:paraId="7A5FD524" w14:textId="42AED7EC" w:rsidR="00A90747" w:rsidRPr="000E229C" w:rsidRDefault="00A90747" w:rsidP="000E229C">
      <w:pPr>
        <w:pStyle w:val="FootnoteText"/>
        <w:ind w:left="567" w:hanging="567"/>
        <w:rPr>
          <w:sz w:val="24"/>
          <w:vertAlign w:val="superscript"/>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r w:rsidRPr="000E229C">
        <w:rPr>
          <w:sz w:val="24"/>
          <w:lang w:val="cs-CZ"/>
        </w:rPr>
        <w:t xml:space="preserve">Viz například: </w:t>
      </w:r>
    </w:p>
    <w:p w14:paraId="4980C6F4" w14:textId="489E4EAD" w:rsidR="00A90747" w:rsidRPr="000E229C" w:rsidRDefault="000E229C" w:rsidP="000E229C">
      <w:pPr>
        <w:pStyle w:val="FootnoteText"/>
        <w:ind w:left="567" w:hanging="567"/>
        <w:rPr>
          <w:rStyle w:val="Hyperlink"/>
          <w:sz w:val="24"/>
          <w:vertAlign w:val="superscript"/>
          <w:lang w:val="cs-CZ"/>
        </w:rPr>
      </w:pPr>
      <w:r w:rsidRPr="000E229C">
        <w:rPr>
          <w:sz w:val="24"/>
          <w:lang w:val="cs-CZ"/>
        </w:rPr>
        <w:t xml:space="preserve"> </w:t>
      </w:r>
      <w:r w:rsidRPr="000E229C">
        <w:rPr>
          <w:sz w:val="24"/>
          <w:lang w:val="cs-CZ"/>
        </w:rPr>
        <w:tab/>
      </w:r>
      <w:hyperlink r:id="rId18" w:history="1">
        <w:r w:rsidR="00A90747" w:rsidRPr="000E229C">
          <w:rPr>
            <w:rStyle w:val="Hyperlink"/>
            <w:sz w:val="24"/>
            <w:lang w:val="cs-CZ"/>
          </w:rPr>
          <w:t>https://doi.org/10.1002/ps.8105</w:t>
        </w:r>
      </w:hyperlink>
      <w:r w:rsidR="00A90747" w:rsidRPr="000E229C">
        <w:rPr>
          <w:sz w:val="24"/>
          <w:lang w:val="cs-CZ"/>
        </w:rPr>
        <w:t>,</w:t>
      </w:r>
    </w:p>
    <w:p w14:paraId="6C5D68A9" w14:textId="7C3D29CC" w:rsidR="00A90747" w:rsidRPr="000E229C" w:rsidRDefault="000E229C" w:rsidP="000E229C">
      <w:pPr>
        <w:pStyle w:val="FootnoteText"/>
        <w:ind w:left="567" w:hanging="567"/>
        <w:rPr>
          <w:sz w:val="24"/>
          <w:lang w:val="cs-CZ"/>
        </w:rPr>
      </w:pPr>
      <w:r w:rsidRPr="000E229C">
        <w:rPr>
          <w:sz w:val="24"/>
          <w:lang w:val="cs-CZ"/>
        </w:rPr>
        <w:t xml:space="preserve"> </w:t>
      </w:r>
      <w:r w:rsidRPr="000E229C">
        <w:rPr>
          <w:sz w:val="24"/>
          <w:lang w:val="cs-CZ"/>
        </w:rPr>
        <w:tab/>
      </w:r>
      <w:hyperlink r:id="rId19" w:tgtFrame="_blank" w:tooltip="Stálý odkaz pomocí identifikátoru digitálního objektu" w:history="1">
        <w:r w:rsidR="00A90747" w:rsidRPr="000E229C">
          <w:rPr>
            <w:rStyle w:val="Hyperlink"/>
            <w:sz w:val="24"/>
            <w:lang w:val="cs-CZ"/>
          </w:rPr>
          <w:t>https://doi.org/10.1016/j.geoforum.2009.03.009</w:t>
        </w:r>
      </w:hyperlink>
      <w:r w:rsidR="00A90747" w:rsidRPr="000E229C">
        <w:rPr>
          <w:sz w:val="24"/>
          <w:lang w:val="cs-CZ"/>
        </w:rPr>
        <w:t>.</w:t>
      </w:r>
    </w:p>
  </w:footnote>
  <w:footnote w:id="9">
    <w:p w14:paraId="56851C6C" w14:textId="2805FE65" w:rsidR="00A90747" w:rsidRPr="000E229C" w:rsidRDefault="00A90747" w:rsidP="000E229C">
      <w:pPr>
        <w:pStyle w:val="FootnoteText"/>
        <w:ind w:left="567" w:hanging="567"/>
        <w:rPr>
          <w:sz w:val="24"/>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r w:rsidRPr="000E229C">
        <w:rPr>
          <w:sz w:val="24"/>
          <w:lang w:val="cs-CZ"/>
        </w:rPr>
        <w:t>Viz například:</w:t>
      </w:r>
      <w:r w:rsidRPr="000E229C">
        <w:rPr>
          <w:sz w:val="24"/>
          <w:lang w:val="cs-CZ"/>
        </w:rPr>
        <w:br/>
      </w:r>
      <w:hyperlink r:id="rId20" w:tgtFrame="_blank" w:tooltip="Stálý odkaz pomocí identifikátoru digitálního objektu" w:history="1">
        <w:r w:rsidRPr="000E229C">
          <w:rPr>
            <w:rStyle w:val="Hyperlink"/>
            <w:sz w:val="24"/>
            <w:lang w:val="cs-CZ"/>
          </w:rPr>
          <w:t>https://doi.org/10.1016/j.mrrev.2019.02.001</w:t>
        </w:r>
      </w:hyperlink>
      <w:r w:rsidRPr="000E229C">
        <w:rPr>
          <w:sz w:val="24"/>
          <w:lang w:val="cs-CZ"/>
        </w:rPr>
        <w:t>,</w:t>
      </w:r>
      <w:r w:rsidRPr="000E229C">
        <w:rPr>
          <w:sz w:val="24"/>
          <w:lang w:val="cs-CZ"/>
        </w:rPr>
        <w:br/>
      </w:r>
      <w:hyperlink r:id="rId21" w:history="1">
        <w:r w:rsidRPr="000E229C">
          <w:rPr>
            <w:rStyle w:val="Hyperlink"/>
            <w:sz w:val="24"/>
            <w:lang w:val="cs-CZ"/>
          </w:rPr>
          <w:t>https://doi.org/10.1093/ije/dyz017</w:t>
        </w:r>
      </w:hyperlink>
      <w:r w:rsidRPr="000E229C">
        <w:rPr>
          <w:sz w:val="24"/>
          <w:lang w:val="cs-CZ"/>
        </w:rPr>
        <w:t>,</w:t>
      </w:r>
      <w:r w:rsidRPr="000E229C">
        <w:rPr>
          <w:sz w:val="24"/>
          <w:lang w:val="cs-CZ"/>
        </w:rPr>
        <w:br/>
      </w:r>
      <w:hyperlink r:id="rId22" w:history="1">
        <w:r w:rsidRPr="000E229C">
          <w:rPr>
            <w:rStyle w:val="Hyperlink"/>
            <w:sz w:val="24"/>
            <w:lang w:val="cs-CZ"/>
          </w:rPr>
          <w:t>https://doi.org/10.1371/journal.pone.0219610</w:t>
        </w:r>
      </w:hyperlink>
      <w:r w:rsidRPr="000E229C">
        <w:rPr>
          <w:sz w:val="24"/>
          <w:lang w:val="cs-CZ"/>
        </w:rPr>
        <w:t xml:space="preserve"> a</w:t>
      </w:r>
      <w:r w:rsidRPr="000E229C">
        <w:rPr>
          <w:sz w:val="24"/>
          <w:lang w:val="cs-CZ"/>
        </w:rPr>
        <w:br/>
      </w:r>
      <w:hyperlink r:id="rId23" w:history="1">
        <w:r w:rsidRPr="000E229C">
          <w:rPr>
            <w:rStyle w:val="Hyperlink"/>
            <w:sz w:val="24"/>
            <w:lang w:val="cs-CZ"/>
          </w:rPr>
          <w:t>https://doi.org/10.1186/s13045-019-0767-9</w:t>
        </w:r>
      </w:hyperlink>
      <w:r w:rsidRPr="000E229C">
        <w:rPr>
          <w:sz w:val="24"/>
          <w:lang w:val="cs-CZ"/>
        </w:rPr>
        <w:t>.</w:t>
      </w:r>
    </w:p>
  </w:footnote>
  <w:footnote w:id="10">
    <w:p w14:paraId="4BA02CFB" w14:textId="465A07D5" w:rsidR="00A90747" w:rsidRPr="0006120D" w:rsidRDefault="00A90747" w:rsidP="000E229C">
      <w:pPr>
        <w:pStyle w:val="FootnoteText"/>
        <w:ind w:left="567" w:hanging="567"/>
        <w:rPr>
          <w:sz w:val="24"/>
          <w:szCs w:val="24"/>
          <w:lang w:val="cs-CZ"/>
        </w:rPr>
      </w:pPr>
      <w:r w:rsidRPr="000E229C">
        <w:rPr>
          <w:rStyle w:val="FootnoteReference"/>
          <w:sz w:val="24"/>
          <w:lang w:val="cs-CZ"/>
        </w:rPr>
        <w:footnoteRef/>
      </w:r>
      <w:r w:rsidR="000E229C" w:rsidRPr="000E229C">
        <w:rPr>
          <w:color w:val="000000" w:themeColor="text1"/>
          <w:sz w:val="24"/>
          <w:lang w:val="cs-CZ"/>
        </w:rPr>
        <w:t xml:space="preserve"> </w:t>
      </w:r>
      <w:r w:rsidR="000E229C" w:rsidRPr="000E229C">
        <w:rPr>
          <w:color w:val="000000" w:themeColor="text1"/>
          <w:sz w:val="24"/>
          <w:lang w:val="cs-CZ"/>
        </w:rPr>
        <w:tab/>
      </w:r>
      <w:r w:rsidRPr="000E229C">
        <w:rPr>
          <w:color w:val="000000" w:themeColor="text1"/>
          <w:sz w:val="24"/>
          <w:lang w:val="cs-CZ"/>
        </w:rPr>
        <w:t>V prosinci 2022 byl na konferenci OSN o biologické rozmanitosti (COP15) dohodnut celosvětový rámec pro biologickou rozmanitost, který obsahuje globální cíl omezit do roku 2030 riziko spojené s používáním pesticidů alespoň o 50</w:t>
      </w:r>
      <w:r w:rsidRPr="000E229C">
        <w:rPr>
          <w:sz w:val="24"/>
          <w:lang w:val="cs-CZ"/>
        </w:rPr>
        <w:t xml:space="preserve"> % </w:t>
      </w:r>
      <w:r w:rsidRPr="000E229C">
        <w:rPr>
          <w:color w:val="000000" w:themeColor="text1"/>
          <w:sz w:val="24"/>
          <w:lang w:val="cs-CZ"/>
        </w:rPr>
        <w:t xml:space="preserve">(viz: </w:t>
      </w:r>
      <w:hyperlink r:id="rId24" w:history="1">
        <w:r w:rsidRPr="0006120D">
          <w:rPr>
            <w:rStyle w:val="Hyperlink"/>
            <w:sz w:val="24"/>
            <w:szCs w:val="24"/>
            <w:lang w:val="cs-CZ"/>
          </w:rPr>
          <w:t>https://ec.europa.eu/commission/presscorner/detail/en/ip_22_7834</w:t>
        </w:r>
      </w:hyperlink>
      <w:r w:rsidRPr="0006120D">
        <w:rPr>
          <w:sz w:val="24"/>
          <w:szCs w:val="24"/>
          <w:lang w:val="cs-CZ"/>
        </w:rPr>
        <w:t>).</w:t>
      </w:r>
    </w:p>
  </w:footnote>
  <w:footnote w:id="11">
    <w:p w14:paraId="5AEA798A" w14:textId="4D24B4A0" w:rsidR="00A90747" w:rsidRPr="0006120D" w:rsidRDefault="00A90747" w:rsidP="000E229C">
      <w:pPr>
        <w:pStyle w:val="FootnoteText"/>
        <w:ind w:left="567" w:hanging="567"/>
        <w:rPr>
          <w:sz w:val="24"/>
          <w:szCs w:val="24"/>
          <w:lang w:val="cs-CZ"/>
        </w:rPr>
      </w:pPr>
      <w:r w:rsidRPr="0006120D">
        <w:rPr>
          <w:rStyle w:val="FootnoteReference"/>
          <w:sz w:val="24"/>
          <w:szCs w:val="24"/>
          <w:lang w:val="cs-CZ"/>
        </w:rPr>
        <w:footnoteRef/>
      </w:r>
      <w:r w:rsidR="000E229C" w:rsidRPr="0006120D">
        <w:rPr>
          <w:sz w:val="24"/>
          <w:szCs w:val="24"/>
          <w:lang w:val="cs-CZ"/>
        </w:rPr>
        <w:t xml:space="preserve"> </w:t>
      </w:r>
      <w:r w:rsidR="000E229C" w:rsidRPr="0006120D">
        <w:rPr>
          <w:sz w:val="24"/>
          <w:szCs w:val="24"/>
          <w:lang w:val="cs-CZ"/>
        </w:rPr>
        <w:tab/>
      </w:r>
      <w:hyperlink r:id="rId25" w:history="1">
        <w:r w:rsidRPr="0006120D">
          <w:rPr>
            <w:rStyle w:val="Hyperlink"/>
            <w:sz w:val="24"/>
            <w:szCs w:val="24"/>
            <w:lang w:val="cs-CZ"/>
          </w:rPr>
          <w:t>https://commission.europa.eu/strategy-and-policy/priorities-2019-2024/european-green-deal/agriculture-and-green-deal/strategic-dialogue-future-eu-agriculture_cs</w:t>
        </w:r>
      </w:hyperlink>
      <w:r w:rsidRPr="0006120D">
        <w:rPr>
          <w:rStyle w:val="Hyperlink"/>
          <w:sz w:val="24"/>
          <w:szCs w:val="24"/>
          <w:lang w:val="cs-CZ"/>
        </w:rPr>
        <w:t>.</w:t>
      </w:r>
      <w:r w:rsidRPr="0006120D">
        <w:rPr>
          <w:sz w:val="24"/>
          <w:szCs w:val="24"/>
          <w:lang w:val="cs-CZ"/>
        </w:rPr>
        <w:t xml:space="preserve"> </w:t>
      </w:r>
    </w:p>
  </w:footnote>
  <w:footnote w:id="12">
    <w:p w14:paraId="70459399" w14:textId="62FADEA9" w:rsidR="00A90747" w:rsidRPr="000E229C" w:rsidRDefault="00A90747" w:rsidP="000E229C">
      <w:pPr>
        <w:pStyle w:val="FootnoteText"/>
        <w:ind w:left="567" w:hanging="567"/>
        <w:rPr>
          <w:sz w:val="24"/>
          <w:lang w:val="cs-CZ"/>
        </w:rPr>
      </w:pPr>
      <w:r w:rsidRPr="000E229C">
        <w:rPr>
          <w:rStyle w:val="FootnoteReference"/>
          <w:sz w:val="24"/>
          <w:lang w:val="cs-CZ"/>
        </w:rPr>
        <w:footnoteRef/>
      </w:r>
      <w:r w:rsidR="000E229C" w:rsidRPr="000E229C">
        <w:rPr>
          <w:sz w:val="24"/>
          <w:lang w:val="cs-CZ"/>
        </w:rPr>
        <w:t xml:space="preserve"> </w:t>
      </w:r>
      <w:r w:rsidR="000E229C" w:rsidRPr="000E229C">
        <w:rPr>
          <w:sz w:val="24"/>
          <w:lang w:val="cs-CZ"/>
        </w:rPr>
        <w:tab/>
      </w:r>
      <w:r w:rsidRPr="000E229C">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0E229C">
        <w:rPr>
          <w:sz w:val="24"/>
          <w:lang w:val="cs-CZ"/>
        </w:rPr>
        <w:t>Úř</w:t>
      </w:r>
      <w:proofErr w:type="spellEnd"/>
      <w:r w:rsidRPr="000E229C">
        <w:rPr>
          <w:sz w:val="24"/>
          <w:lang w:val="cs-CZ"/>
        </w:rPr>
        <w:t>. </w:t>
      </w:r>
      <w:proofErr w:type="spellStart"/>
      <w:r w:rsidRPr="000E229C">
        <w:rPr>
          <w:sz w:val="24"/>
          <w:lang w:val="cs-CZ"/>
        </w:rPr>
        <w:t>věst</w:t>
      </w:r>
      <w:proofErr w:type="spellEnd"/>
      <w:r w:rsidRPr="000E229C">
        <w:rPr>
          <w:sz w:val="24"/>
          <w:lang w:val="cs-CZ"/>
        </w:rPr>
        <w:t>. L 31, 1.2.2002, s. 1, ELI: </w:t>
      </w:r>
      <w:hyperlink r:id="rId26" w:tgtFrame="Gives%20access%20to%20this%20document%20through%20its%20ELI%20URI." w:history="1">
        <w:r w:rsidRPr="000E229C">
          <w:rPr>
            <w:rStyle w:val="Hyperlink"/>
            <w:sz w:val="24"/>
            <w:lang w:val="cs-CZ"/>
          </w:rPr>
          <w:t>http://data.europa.eu/</w:t>
        </w:r>
        <w:proofErr w:type="spellStart"/>
        <w:r w:rsidRPr="000E229C">
          <w:rPr>
            <w:rStyle w:val="Hyperlink"/>
            <w:sz w:val="24"/>
            <w:lang w:val="cs-CZ"/>
          </w:rPr>
          <w:t>eli</w:t>
        </w:r>
        <w:proofErr w:type="spellEnd"/>
        <w:r w:rsidRPr="000E229C">
          <w:rPr>
            <w:rStyle w:val="Hyperlink"/>
            <w:sz w:val="24"/>
            <w:lang w:val="cs-CZ"/>
          </w:rPr>
          <w:t>/</w:t>
        </w:r>
        <w:proofErr w:type="spellStart"/>
        <w:r w:rsidRPr="000E229C">
          <w:rPr>
            <w:rStyle w:val="Hyperlink"/>
            <w:sz w:val="24"/>
            <w:lang w:val="cs-CZ"/>
          </w:rPr>
          <w:t>reg</w:t>
        </w:r>
        <w:proofErr w:type="spellEnd"/>
        <w:r w:rsidRPr="000E229C">
          <w:rPr>
            <w:rStyle w:val="Hyperlink"/>
            <w:sz w:val="24"/>
            <w:lang w:val="cs-CZ"/>
          </w:rPr>
          <w:t>/2002/178/oj</w:t>
        </w:r>
      </w:hyperlink>
      <w:r w:rsidRPr="000E229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40C6E" w14:textId="77777777" w:rsidR="00064002" w:rsidRPr="000E22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DE62" w14:textId="77777777" w:rsidR="00064002" w:rsidRPr="000E22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3287" w14:textId="77777777" w:rsidR="00064002" w:rsidRPr="000E22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4613868">
    <w:abstractNumId w:val="9"/>
  </w:num>
  <w:num w:numId="2" w16cid:durableId="942373681">
    <w:abstractNumId w:val="9"/>
  </w:num>
  <w:num w:numId="3" w16cid:durableId="1206522552">
    <w:abstractNumId w:val="7"/>
  </w:num>
  <w:num w:numId="4" w16cid:durableId="2002537586">
    <w:abstractNumId w:val="7"/>
  </w:num>
  <w:num w:numId="5" w16cid:durableId="665279295">
    <w:abstractNumId w:val="6"/>
  </w:num>
  <w:num w:numId="6" w16cid:durableId="510460665">
    <w:abstractNumId w:val="6"/>
  </w:num>
  <w:num w:numId="7" w16cid:durableId="156070767">
    <w:abstractNumId w:val="5"/>
  </w:num>
  <w:num w:numId="8" w16cid:durableId="726496941">
    <w:abstractNumId w:val="5"/>
  </w:num>
  <w:num w:numId="9" w16cid:durableId="1669209938">
    <w:abstractNumId w:val="4"/>
  </w:num>
  <w:num w:numId="10" w16cid:durableId="593244373">
    <w:abstractNumId w:val="4"/>
  </w:num>
  <w:num w:numId="11" w16cid:durableId="1624311027">
    <w:abstractNumId w:val="8"/>
  </w:num>
  <w:num w:numId="12" w16cid:durableId="491025058">
    <w:abstractNumId w:val="8"/>
  </w:num>
  <w:num w:numId="13" w16cid:durableId="1218976130">
    <w:abstractNumId w:val="3"/>
  </w:num>
  <w:num w:numId="14" w16cid:durableId="1097796315">
    <w:abstractNumId w:val="3"/>
  </w:num>
  <w:num w:numId="15" w16cid:durableId="1014308012">
    <w:abstractNumId w:val="2"/>
  </w:num>
  <w:num w:numId="16" w16cid:durableId="1811243708">
    <w:abstractNumId w:val="2"/>
  </w:num>
  <w:num w:numId="17" w16cid:durableId="1467356806">
    <w:abstractNumId w:val="1"/>
  </w:num>
  <w:num w:numId="18" w16cid:durableId="477110391">
    <w:abstractNumId w:val="1"/>
  </w:num>
  <w:num w:numId="19" w16cid:durableId="872039659">
    <w:abstractNumId w:val="0"/>
  </w:num>
  <w:num w:numId="20" w16cid:durableId="422995012">
    <w:abstractNumId w:val="0"/>
  </w:num>
  <w:num w:numId="21" w16cid:durableId="1517111451">
    <w:abstractNumId w:val="9"/>
  </w:num>
  <w:num w:numId="22" w16cid:durableId="877816798">
    <w:abstractNumId w:val="7"/>
  </w:num>
  <w:num w:numId="23" w16cid:durableId="358509130">
    <w:abstractNumId w:val="6"/>
  </w:num>
  <w:num w:numId="24" w16cid:durableId="1098214349">
    <w:abstractNumId w:val="5"/>
  </w:num>
  <w:num w:numId="25" w16cid:durableId="54744992">
    <w:abstractNumId w:val="4"/>
  </w:num>
  <w:num w:numId="26" w16cid:durableId="879197846">
    <w:abstractNumId w:val="8"/>
  </w:num>
  <w:num w:numId="27" w16cid:durableId="699164189">
    <w:abstractNumId w:val="3"/>
  </w:num>
  <w:num w:numId="28" w16cid:durableId="719482261">
    <w:abstractNumId w:val="2"/>
  </w:num>
  <w:num w:numId="29" w16cid:durableId="238054606">
    <w:abstractNumId w:val="1"/>
  </w:num>
  <w:num w:numId="30" w16cid:durableId="1603759807">
    <w:abstractNumId w:val="0"/>
  </w:num>
  <w:num w:numId="31" w16cid:durableId="80369165">
    <w:abstractNumId w:val="9"/>
  </w:num>
  <w:num w:numId="32" w16cid:durableId="738794414">
    <w:abstractNumId w:val="7"/>
  </w:num>
  <w:num w:numId="33" w16cid:durableId="2015111849">
    <w:abstractNumId w:val="6"/>
  </w:num>
  <w:num w:numId="34" w16cid:durableId="2085180123">
    <w:abstractNumId w:val="5"/>
  </w:num>
  <w:num w:numId="35" w16cid:durableId="653872741">
    <w:abstractNumId w:val="4"/>
  </w:num>
  <w:num w:numId="36" w16cid:durableId="126552366">
    <w:abstractNumId w:val="8"/>
  </w:num>
  <w:num w:numId="37" w16cid:durableId="1578587086">
    <w:abstractNumId w:val="3"/>
  </w:num>
  <w:num w:numId="38" w16cid:durableId="1228149271">
    <w:abstractNumId w:val="2"/>
  </w:num>
  <w:num w:numId="39" w16cid:durableId="1855260622">
    <w:abstractNumId w:val="1"/>
  </w:num>
  <w:num w:numId="40" w16cid:durableId="1417164106">
    <w:abstractNumId w:val="0"/>
  </w:num>
  <w:num w:numId="41" w16cid:durableId="1966697201">
    <w:abstractNumId w:val="10"/>
  </w:num>
  <w:num w:numId="42" w16cid:durableId="254827806">
    <w:abstractNumId w:val="10"/>
  </w:num>
  <w:num w:numId="43" w16cid:durableId="1071390808">
    <w:abstractNumId w:val="10"/>
  </w:num>
  <w:num w:numId="44" w16cid:durableId="19158917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CS"/>
    <w:docVar w:name="dvnumam" w:val="0"/>
    <w:docVar w:name="dvpe" w:val="779.397"/>
    <w:docVar w:name="dvtitre" w:val="Usnesení Evropského parlamentu ze dne.... 2025 o návrhu prováděcího rozhodnutí Komise, kterým se obnovuje povolení uvedení produktů, které obsahují geneticky modifikovanou kukuřici NK603, sestávají z ní nebo jsou z ní vyrobeny, na trh, podle nařízení Evropského parlamentu a Rady (ES) č. 1829/2003(D110123/02 – 2025/2958(RSP))"/>
  </w:docVars>
  <w:rsids>
    <w:rsidRoot w:val="00217055"/>
    <w:rsid w:val="00002272"/>
    <w:rsid w:val="0006120D"/>
    <w:rsid w:val="00064002"/>
    <w:rsid w:val="000677B9"/>
    <w:rsid w:val="000831BA"/>
    <w:rsid w:val="000A42CC"/>
    <w:rsid w:val="000E229C"/>
    <w:rsid w:val="000E7DD9"/>
    <w:rsid w:val="0010095E"/>
    <w:rsid w:val="00125B37"/>
    <w:rsid w:val="00187494"/>
    <w:rsid w:val="001B4E3B"/>
    <w:rsid w:val="001F32AE"/>
    <w:rsid w:val="00217055"/>
    <w:rsid w:val="00276169"/>
    <w:rsid w:val="002767FF"/>
    <w:rsid w:val="002839CB"/>
    <w:rsid w:val="002B18FE"/>
    <w:rsid w:val="002B5493"/>
    <w:rsid w:val="00343214"/>
    <w:rsid w:val="00361C00"/>
    <w:rsid w:val="003620B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A74"/>
    <w:rsid w:val="00A43E52"/>
    <w:rsid w:val="00A4678D"/>
    <w:rsid w:val="00A778C7"/>
    <w:rsid w:val="00A9074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BC2"/>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E28F"/>
  <w15:chartTrackingRefBased/>
  <w15:docId w15:val="{212AC2F6-FFF9-4E4B-A134-577BE2AB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A90747"/>
    <w:pPr>
      <w:spacing w:before="480" w:after="240"/>
    </w:pPr>
  </w:style>
  <w:style w:type="paragraph" w:customStyle="1" w:styleId="NormalHanging12a">
    <w:name w:val="NormalHanging12a"/>
    <w:basedOn w:val="Normal"/>
    <w:uiPriority w:val="99"/>
    <w:qFormat/>
    <w:rsid w:val="00A90747"/>
    <w:pPr>
      <w:spacing w:after="240"/>
      <w:ind w:left="567" w:hanging="567"/>
    </w:pPr>
  </w:style>
  <w:style w:type="character" w:styleId="Hyperlink">
    <w:name w:val="Hyperlink"/>
    <w:basedOn w:val="DefaultParagraphFont"/>
    <w:uiPriority w:val="99"/>
    <w:rsid w:val="00A90747"/>
    <w:rPr>
      <w:color w:val="0563C1" w:themeColor="hyperlink"/>
      <w:u w:val="single"/>
    </w:rPr>
  </w:style>
  <w:style w:type="paragraph" w:styleId="NormalWeb">
    <w:name w:val="Normal (Web)"/>
    <w:basedOn w:val="Normal"/>
    <w:uiPriority w:val="99"/>
    <w:unhideWhenUsed/>
    <w:rsid w:val="00A90747"/>
    <w:pPr>
      <w:widowControl/>
      <w:spacing w:before="100" w:beforeAutospacing="1" w:after="100" w:afterAutospacing="1"/>
    </w:pPr>
    <w:rPr>
      <w:szCs w:val="24"/>
    </w:rPr>
  </w:style>
  <w:style w:type="paragraph" w:styleId="Revision">
    <w:name w:val="Revision"/>
    <w:hidden/>
    <w:uiPriority w:val="99"/>
    <w:semiHidden/>
    <w:rsid w:val="00A30A74"/>
    <w:rPr>
      <w:sz w:val="24"/>
      <w:lang w:val="cs-CZ"/>
    </w:rPr>
  </w:style>
  <w:style w:type="character" w:styleId="UnresolvedMention">
    <w:name w:val="Unresolved Mention"/>
    <w:basedOn w:val="DefaultParagraphFont"/>
    <w:uiPriority w:val="99"/>
    <w:semiHidden/>
    <w:unhideWhenUsed/>
    <w:rsid w:val="00A30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en"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2026-02-02T17:59:00Z</dcterms:created>
  <dcterms:modified xsi:type="dcterms:W3CDTF">2026-02-02T17:59:00Z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B10-0562/2025</vt:lpwstr>
  </property>
  <property fmtid="{D5CDD505-2E9C-101B-9397-08002B2CF9AE}" pid="4" name="&lt;Type&gt;">
    <vt:lpwstr>RR</vt:lpwstr>
  </property>
</Properties>
</file>