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7B2D" w14:paraId="46B90F75" w14:textId="77777777" w:rsidTr="0010095E">
        <w:trPr>
          <w:trHeight w:hRule="exact" w:val="1418"/>
        </w:trPr>
        <w:tc>
          <w:tcPr>
            <w:tcW w:w="6804" w:type="dxa"/>
            <w:shd w:val="clear" w:color="auto" w:fill="auto"/>
            <w:vAlign w:val="center"/>
          </w:tcPr>
          <w:p w14:paraId="475B9DB4" w14:textId="77777777" w:rsidR="00751A4A" w:rsidRPr="00247B2D" w:rsidRDefault="00E51ACD" w:rsidP="0010095E">
            <w:pPr>
              <w:pStyle w:val="EPName"/>
            </w:pPr>
            <w:r w:rsidRPr="00247B2D">
              <w:t>Ευρωπαϊκό Κοινοβούλιο</w:t>
            </w:r>
          </w:p>
          <w:p w14:paraId="20BDEBD1" w14:textId="77777777" w:rsidR="00751A4A" w:rsidRPr="00247B2D" w:rsidRDefault="005F1B17" w:rsidP="005F1B17">
            <w:pPr>
              <w:pStyle w:val="EPTerm"/>
              <w:rPr>
                <w:rStyle w:val="HideTWBExt"/>
                <w:noProof w:val="0"/>
                <w:vanish w:val="0"/>
                <w:color w:val="auto"/>
              </w:rPr>
            </w:pPr>
            <w:r w:rsidRPr="00247B2D">
              <w:t>2024</w:t>
            </w:r>
            <w:r w:rsidR="00817416" w:rsidRPr="00247B2D">
              <w:t>-202</w:t>
            </w:r>
            <w:r w:rsidRPr="00247B2D">
              <w:t>9</w:t>
            </w:r>
          </w:p>
        </w:tc>
        <w:tc>
          <w:tcPr>
            <w:tcW w:w="2268" w:type="dxa"/>
            <w:shd w:val="clear" w:color="auto" w:fill="auto"/>
          </w:tcPr>
          <w:p w14:paraId="310C7A35" w14:textId="77777777" w:rsidR="00751A4A" w:rsidRPr="00247B2D" w:rsidRDefault="00187494" w:rsidP="0010095E">
            <w:pPr>
              <w:pStyle w:val="EPLogo"/>
            </w:pPr>
            <w:r w:rsidRPr="00247B2D">
              <w:rPr>
                <w:noProof/>
                <w:lang w:eastAsia="ja-JP"/>
              </w:rPr>
              <w:drawing>
                <wp:inline distT="0" distB="0" distL="0" distR="0" wp14:anchorId="65B41C4C" wp14:editId="49AE69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92CAEE" w14:textId="77777777" w:rsidR="00D058B8" w:rsidRPr="00247B2D" w:rsidRDefault="00D058B8" w:rsidP="004C5D52">
      <w:pPr>
        <w:pStyle w:val="LineTop"/>
      </w:pPr>
    </w:p>
    <w:p w14:paraId="4E7FD49E" w14:textId="77777777" w:rsidR="00680577" w:rsidRPr="00247B2D" w:rsidRDefault="00E51ACD" w:rsidP="00680577">
      <w:pPr>
        <w:pStyle w:val="EPBodyTA1"/>
      </w:pPr>
      <w:r w:rsidRPr="00247B2D">
        <w:t>ΚΕΙΜΕΝΑ ΠΟΥ ΕΓΚΡΙΘΗΚΑΝ</w:t>
      </w:r>
    </w:p>
    <w:p w14:paraId="190C882B" w14:textId="77777777" w:rsidR="00D058B8" w:rsidRPr="00247B2D" w:rsidRDefault="00D058B8" w:rsidP="00D058B8">
      <w:pPr>
        <w:pStyle w:val="LineBottom"/>
      </w:pPr>
    </w:p>
    <w:p w14:paraId="10D09A23" w14:textId="0D853A0E" w:rsidR="00E51ACD" w:rsidRPr="00247B2D" w:rsidRDefault="00E51ACD" w:rsidP="00E51ACD">
      <w:pPr>
        <w:pStyle w:val="ATHeading1"/>
      </w:pPr>
      <w:bookmarkStart w:id="0" w:name="TANumber"/>
      <w:r w:rsidRPr="00247B2D">
        <w:t>P10_TA(2025)0</w:t>
      </w:r>
      <w:r w:rsidR="00247B2D" w:rsidRPr="00247B2D">
        <w:t>327</w:t>
      </w:r>
      <w:bookmarkEnd w:id="0"/>
    </w:p>
    <w:p w14:paraId="2DB5F341" w14:textId="7392A2E2" w:rsidR="00E51ACD" w:rsidRPr="00247B2D" w:rsidRDefault="004F20A9" w:rsidP="00E51ACD">
      <w:pPr>
        <w:pStyle w:val="ATHeading2"/>
      </w:pPr>
      <w:bookmarkStart w:id="1" w:name="title"/>
      <w:r w:rsidRPr="00247B2D">
        <w:t>Γενετικώς τροποποιημένος αραβόσιτος NK603</w:t>
      </w:r>
      <w:bookmarkEnd w:id="1"/>
    </w:p>
    <w:p w14:paraId="3841C37B" w14:textId="77777777" w:rsidR="00E51ACD" w:rsidRPr="00247B2D" w:rsidRDefault="00E51ACD" w:rsidP="00E51ACD">
      <w:pPr>
        <w:rPr>
          <w:i/>
          <w:vanish/>
        </w:rPr>
      </w:pPr>
      <w:r w:rsidRPr="00247B2D">
        <w:rPr>
          <w:i/>
        </w:rPr>
        <w:fldChar w:fldCharType="begin"/>
      </w:r>
      <w:r w:rsidRPr="00247B2D">
        <w:rPr>
          <w:i/>
        </w:rPr>
        <w:instrText xml:space="preserve"> TC"(</w:instrText>
      </w:r>
      <w:bookmarkStart w:id="2" w:name="DocNumber"/>
      <w:r w:rsidRPr="00247B2D">
        <w:rPr>
          <w:i/>
        </w:rPr>
        <w:instrText>B10-0562/2025</w:instrText>
      </w:r>
      <w:bookmarkEnd w:id="2"/>
      <w:r w:rsidRPr="00247B2D">
        <w:rPr>
          <w:i/>
        </w:rPr>
        <w:instrText xml:space="preserve">)"\l3 \n&gt; \* MERGEFORMAT </w:instrText>
      </w:r>
      <w:r w:rsidRPr="00247B2D">
        <w:rPr>
          <w:i/>
        </w:rPr>
        <w:fldChar w:fldCharType="end"/>
      </w:r>
    </w:p>
    <w:p w14:paraId="4DF5085F" w14:textId="77777777" w:rsidR="00E51ACD" w:rsidRPr="00247B2D" w:rsidRDefault="00E51ACD" w:rsidP="00E51ACD">
      <w:pPr>
        <w:rPr>
          <w:vanish/>
        </w:rPr>
      </w:pPr>
      <w:bookmarkStart w:id="3" w:name="PE"/>
      <w:r w:rsidRPr="00247B2D">
        <w:rPr>
          <w:vanish/>
        </w:rPr>
        <w:t>PE779.397</w:t>
      </w:r>
      <w:bookmarkEnd w:id="3"/>
    </w:p>
    <w:p w14:paraId="4C4EF150" w14:textId="4ACFD18C" w:rsidR="00E51ACD" w:rsidRPr="00247B2D" w:rsidRDefault="00E51ACD" w:rsidP="00E51ACD">
      <w:pPr>
        <w:pStyle w:val="ATHeading3"/>
      </w:pPr>
      <w:bookmarkStart w:id="4" w:name="Sujet"/>
      <w:r w:rsidRPr="00247B2D">
        <w:t xml:space="preserve">Ψήφισμα του Ευρωπαϊκού Κοινοβουλίου </w:t>
      </w:r>
      <w:r w:rsidR="004F20A9" w:rsidRPr="00247B2D">
        <w:t xml:space="preserve">της 16ης Δεκεμβρίου 2025 </w:t>
      </w:r>
      <w:r w:rsidRPr="00247B2D">
        <w:t>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NK603, σύμφωνα με τον κανονισμό (ΕΚ) αριθ. 1829/2003 του Ευρωπαϊκού Κοινοβουλίου και του Συμβουλίου</w:t>
      </w:r>
      <w:bookmarkEnd w:id="4"/>
      <w:r w:rsidRPr="00247B2D">
        <w:t xml:space="preserve"> </w:t>
      </w:r>
      <w:bookmarkStart w:id="5" w:name="References"/>
      <w:r w:rsidRPr="00247B2D">
        <w:t>(D110123/02 – 2025/2958(RSP))</w:t>
      </w:r>
      <w:bookmarkEnd w:id="5"/>
    </w:p>
    <w:p w14:paraId="3D38B8AF" w14:textId="77777777" w:rsidR="00BE3177" w:rsidRPr="00247B2D" w:rsidRDefault="00BE3177" w:rsidP="00BE3177">
      <w:pPr>
        <w:pStyle w:val="EPComma"/>
      </w:pPr>
      <w:bookmarkStart w:id="6" w:name="TextBodyBegin"/>
      <w:bookmarkEnd w:id="6"/>
      <w:r w:rsidRPr="00247B2D">
        <w:rPr>
          <w:i/>
        </w:rPr>
        <w:t>Το Ευρωπαϊκό Κοινοβούλιο</w:t>
      </w:r>
      <w:r w:rsidRPr="00247B2D">
        <w:t>,</w:t>
      </w:r>
    </w:p>
    <w:p w14:paraId="4411E5CB" w14:textId="77777777" w:rsidR="00BE3177" w:rsidRPr="00247B2D" w:rsidRDefault="00BE3177" w:rsidP="004F20A9">
      <w:pPr>
        <w:pStyle w:val="NormalHanging12a"/>
        <w:widowControl/>
      </w:pPr>
      <w:r w:rsidRPr="00247B2D">
        <w:t>–</w:t>
      </w:r>
      <w:r w:rsidRPr="00247B2D">
        <w:tab/>
        <w:t>έχοντας υπόψη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NK603, σύμφωνα με τον κανονισμό (ΕΚ) αριθ. 1829/2003 του Ευρωπαϊκού Κοινοβουλίου και του Συμβουλίου (D110123/02),</w:t>
      </w:r>
    </w:p>
    <w:p w14:paraId="7DA97CE0" w14:textId="77777777" w:rsidR="00BE3177" w:rsidRPr="00247B2D" w:rsidRDefault="00BE3177" w:rsidP="004F20A9">
      <w:pPr>
        <w:pStyle w:val="NormalHanging12a"/>
        <w:widowControl/>
      </w:pPr>
      <w:r w:rsidRPr="00247B2D">
        <w:t>–</w:t>
      </w:r>
      <w:r w:rsidRPr="00247B2D">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247B2D">
        <w:rPr>
          <w:vertAlign w:val="superscript"/>
        </w:rPr>
        <w:footnoteReference w:id="1"/>
      </w:r>
      <w:r w:rsidRPr="00247B2D">
        <w:t>, και ιδίως το άρθρο 11 παράγραφος 3 και το άρθρο 22 παράγραφος 3,</w:t>
      </w:r>
    </w:p>
    <w:p w14:paraId="6A289F4C" w14:textId="4E450C97" w:rsidR="00BE3177" w:rsidRPr="00247B2D" w:rsidRDefault="00BE3177" w:rsidP="004F20A9">
      <w:pPr>
        <w:pStyle w:val="NormalHanging12a"/>
        <w:widowControl/>
      </w:pPr>
      <w:r w:rsidRPr="00247B2D">
        <w:t>–</w:t>
      </w:r>
      <w:r w:rsidRPr="00247B2D">
        <w:tab/>
        <w:t>έχοντας υπόψη την ψηφοφορία στη μόνιμη επιτροπή φυτών, ζώων, τροφίμων και ζωοτροφών κατά το άρθρο 35 του κανονισμού (ΕΚ) αριθ. 1829/2003, της 14ης Οκτωβρίου 2025, κατά την οποία δεν εκδόθηκε γνωμοδότηση,</w:t>
      </w:r>
      <w:r w:rsidR="003B0ECD" w:rsidRPr="00247B2D">
        <w:t xml:space="preserve"> και την ψηφοφορία στην επιτροπή προσφυγών στις 28 Νοεμβρίου 2025, που κατέληξε επίσης σε μη έκδοση γνωμοδότησης,</w:t>
      </w:r>
    </w:p>
    <w:p w14:paraId="3374259D" w14:textId="4F7D481D" w:rsidR="00BE3177" w:rsidRPr="00247B2D" w:rsidRDefault="00BE3177" w:rsidP="004F20A9">
      <w:pPr>
        <w:pStyle w:val="NormalHanging12a"/>
        <w:widowControl/>
        <w:rPr>
          <w:szCs w:val="24"/>
        </w:rPr>
      </w:pPr>
      <w:r w:rsidRPr="00247B2D">
        <w:t>–</w:t>
      </w:r>
      <w:r w:rsidRPr="00247B2D">
        <w:tab/>
        <w:t>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247B2D">
        <w:rPr>
          <w:rStyle w:val="FootnoteReference"/>
          <w:szCs w:val="24"/>
        </w:rPr>
        <w:footnoteReference w:id="2"/>
      </w:r>
      <w:r w:rsidRPr="00247B2D">
        <w:t>,</w:t>
      </w:r>
    </w:p>
    <w:p w14:paraId="09D3CD4F" w14:textId="77777777" w:rsidR="00BE3177" w:rsidRPr="00247B2D" w:rsidRDefault="00BE3177" w:rsidP="004F20A9">
      <w:pPr>
        <w:pStyle w:val="NormalHanging12a"/>
        <w:widowControl/>
      </w:pPr>
      <w:r w:rsidRPr="00247B2D">
        <w:lastRenderedPageBreak/>
        <w:t>–</w:t>
      </w:r>
      <w:r w:rsidRPr="00247B2D">
        <w:tab/>
        <w:t>έχοντας υπόψη τη γνώμη που εκδόθηκε από την Ευρωπαϊκή Αρχή για την Ασφάλεια των Τροφίμων (EFSA) στις 22 Μαΐου 2025 και δημοσιεύθηκε στις 20 Ιουνίου 2025</w:t>
      </w:r>
      <w:r w:rsidRPr="00247B2D">
        <w:rPr>
          <w:rStyle w:val="FootnoteReference"/>
        </w:rPr>
        <w:footnoteReference w:id="3"/>
      </w:r>
      <w:r w:rsidRPr="00247B2D">
        <w:t>,</w:t>
      </w:r>
    </w:p>
    <w:p w14:paraId="1D77F7F0" w14:textId="77777777" w:rsidR="00BE3177" w:rsidRPr="00247B2D" w:rsidRDefault="00BE3177" w:rsidP="004F20A9">
      <w:pPr>
        <w:pStyle w:val="NormalHanging12a"/>
        <w:widowControl/>
      </w:pPr>
      <w:r w:rsidRPr="00247B2D">
        <w:t>–</w:t>
      </w:r>
      <w:r w:rsidRPr="00247B2D">
        <w:tab/>
        <w:t>έχοντας υπόψη τα προηγούμενα ψηφίσματά του που διατύπωναν αντίρρηση στην έγκριση γενετικώς τροποποιημένων οργανισμών (ΓΤΟ)</w:t>
      </w:r>
      <w:r w:rsidRPr="00247B2D">
        <w:rPr>
          <w:rStyle w:val="FootnoteReference"/>
        </w:rPr>
        <w:footnoteReference w:id="4"/>
      </w:r>
      <w:r w:rsidRPr="00247B2D">
        <w:t>,</w:t>
      </w:r>
    </w:p>
    <w:p w14:paraId="1E6F7A6C" w14:textId="77777777" w:rsidR="00BE3177" w:rsidRPr="00247B2D" w:rsidRDefault="00BE3177" w:rsidP="004F20A9">
      <w:pPr>
        <w:pStyle w:val="NormalHanging12a"/>
        <w:widowControl/>
      </w:pPr>
      <w:r w:rsidRPr="00247B2D">
        <w:lastRenderedPageBreak/>
        <w:t>–</w:t>
      </w:r>
      <w:r w:rsidRPr="00247B2D">
        <w:tab/>
        <w:t>έχοντας υπόψη το άρθρο 115 παράγραφοι 2 και 3 του Κανονισμού του,</w:t>
      </w:r>
    </w:p>
    <w:p w14:paraId="35B8389B" w14:textId="77777777" w:rsidR="00BE3177" w:rsidRPr="00247B2D" w:rsidRDefault="00BE3177" w:rsidP="004F20A9">
      <w:pPr>
        <w:pStyle w:val="NormalHanging12a"/>
        <w:widowControl/>
      </w:pPr>
      <w:r w:rsidRPr="00247B2D">
        <w:t>–</w:t>
      </w:r>
      <w:r w:rsidRPr="00247B2D">
        <w:tab/>
        <w:t>έχοντας υπόψη την πρόταση ψηφίσματος της Επιτροπής Περιβάλλοντος, Κλίματος και Ασφάλειας των Τροφίμων,</w:t>
      </w:r>
    </w:p>
    <w:p w14:paraId="77607510" w14:textId="1444714E" w:rsidR="00BE3177" w:rsidRPr="00247B2D" w:rsidRDefault="00BE3177" w:rsidP="004F20A9">
      <w:pPr>
        <w:pStyle w:val="NormalHanging12a"/>
        <w:widowControl/>
      </w:pPr>
      <w:r w:rsidRPr="00247B2D">
        <w:t>Α.</w:t>
      </w:r>
      <w:r w:rsidRPr="00247B2D">
        <w:tab/>
        <w:t>λαμβάνοντας υπόψη ότι η εκτελεστική απόφαση (EE) 2015/684</w:t>
      </w:r>
      <w:r w:rsidRPr="00247B2D">
        <w:rPr>
          <w:rStyle w:val="FootnoteReference"/>
        </w:rPr>
        <w:footnoteReference w:id="5"/>
      </w:r>
      <w:r w:rsidRPr="00247B2D">
        <w:rPr>
          <w:rFonts w:ascii="EUAlbertina" w:hAnsi="EUAlbertina"/>
        </w:rPr>
        <w:t xml:space="preserve"> </w:t>
      </w:r>
      <w:r w:rsidRPr="00247B2D">
        <w:t xml:space="preserve">της Επιτροπής ενέκρινε τη διάθεση στην αγορά τροφίμων και ζωοτροφών που περιέχουν, </w:t>
      </w:r>
      <w:r w:rsidRPr="00247B2D">
        <w:lastRenderedPageBreak/>
        <w:t>αποτελούνται ή παράγονται από γενετικώς τροποποιημένο αραβόσιτο NK603 (</w:t>
      </w:r>
      <w:r w:rsidR="004F20A9" w:rsidRPr="00247B2D">
        <w:t>«</w:t>
      </w:r>
      <w:r w:rsidRPr="00247B2D">
        <w:t>ΓΤ αραβόσιτος</w:t>
      </w:r>
      <w:r w:rsidR="004F20A9" w:rsidRPr="00247B2D">
        <w:t>»</w:t>
      </w:r>
      <w:r w:rsidRPr="00247B2D">
        <w:t>)· Το πεδίο εφαρμογής της έγκρισης αυτής καλύπτει επίσης τη διάθεση στην αγορά άλλων προϊόντων εκτός των τροφίμων και των ζωοτροφών που περιέχουν ή αποτελούνται από γενετικώς τροποποιημένο αραβόσιτο NK603, για τις ίδιες χρήσεις με οποιονδήποτε άλλο αραβόσιτο, εκτός της καλλιέργειας.</w:t>
      </w:r>
    </w:p>
    <w:p w14:paraId="4A77D016" w14:textId="77777777" w:rsidR="00BE3177" w:rsidRPr="00247B2D" w:rsidRDefault="00BE3177" w:rsidP="004F20A9">
      <w:pPr>
        <w:pStyle w:val="NormalHanging12a"/>
        <w:widowControl/>
      </w:pPr>
      <w:r w:rsidRPr="00247B2D">
        <w:t>Β.</w:t>
      </w:r>
      <w:r w:rsidRPr="00247B2D">
        <w:tab/>
        <w:t xml:space="preserve">λαμβάνοντας υπόψη ότι στις 11 Μαρτίου 2024 η Bayer </w:t>
      </w:r>
      <w:proofErr w:type="spellStart"/>
      <w:r w:rsidRPr="00247B2D">
        <w:t>Agriculture</w:t>
      </w:r>
      <w:proofErr w:type="spellEnd"/>
      <w:r w:rsidRPr="00247B2D">
        <w:t xml:space="preserve"> B.V., με έδρα στο Βέλγιο, για λογαριασμό της Bayer CropScience LP, με έδρα στις Ηνωμένες Πολιτείες, υπέβαλε στην Επιτροπή αίτηση για την ανανέωση της εν λόγω έγκρισης, σύμφωνα με τα άρθρα 11 και 23 του κανονισμού (ΕΚ) αριθ. 1829/2003.</w:t>
      </w:r>
    </w:p>
    <w:p w14:paraId="7176BDC5" w14:textId="77777777" w:rsidR="00BE3177" w:rsidRPr="00247B2D" w:rsidRDefault="00BE3177" w:rsidP="004F20A9">
      <w:pPr>
        <w:pStyle w:val="NormalHanging12a"/>
        <w:widowControl/>
      </w:pPr>
      <w:r w:rsidRPr="00247B2D">
        <w:rPr>
          <w:color w:val="000000"/>
        </w:rPr>
        <w:t>Γ.</w:t>
      </w:r>
      <w:r w:rsidRPr="00247B2D">
        <w:rPr>
          <w:color w:val="000000"/>
        </w:rPr>
        <w:tab/>
      </w:r>
      <w:r w:rsidRPr="00247B2D">
        <w:t>λαμβάνοντας υπόψη ότι, στις 20 Ιουνίου 2025, η EFSA εξέδωσε ευνοϊκή επιστημονική γνώμη σχετικά με τον ΓΤ αραβόσιτο, σύμφωνα με τα άρθρα 6 και 18 του κανονισμού (ΕΚ) αριθ. 1829/2003, όπου κατέληγε στο συμπέρασμα ότι η αίτηση ανανέωσης δεν περιείχε στοιχεία σχετικά με νέους κινδύνους, τροποποιημένη έκθεση ή επιστημονικές αβεβαιότητες τα οποία θα μπορούσαν να μεταβάλουν τα συμπεράσματα της αρχικής εκτίμησης κινδύνου που είχε εκδώσει η EFSA το 2009 όσον αφορά τον ΓΤ αραβόσιτο</w:t>
      </w:r>
      <w:r w:rsidRPr="00247B2D">
        <w:rPr>
          <w:rStyle w:val="FootnoteReference"/>
          <w:szCs w:val="24"/>
        </w:rPr>
        <w:footnoteReference w:id="6"/>
      </w:r>
      <w:r w:rsidRPr="00247B2D">
        <w:t>· λαμβάνοντας υπόψη ότι η εν λόγω γνώμη δεν εξέτασε αρκετές ευρύτερες περιβαλλοντικές, κοινωνικοοικονομικές και σωρευτικές επιπτώσεις που η EFSA θεωρεί ότι δεν εμπίπτουν στην αρμοδιότητά της·</w:t>
      </w:r>
    </w:p>
    <w:p w14:paraId="735B3057" w14:textId="77777777" w:rsidR="00BE3177" w:rsidRPr="00247B2D" w:rsidRDefault="00BE3177" w:rsidP="004F20A9">
      <w:pPr>
        <w:pStyle w:val="NormalHanging12a"/>
        <w:widowControl/>
      </w:pPr>
      <w:r w:rsidRPr="00247B2D">
        <w:t>Δ.</w:t>
      </w:r>
      <w:r w:rsidRPr="00247B2D">
        <w:tab/>
        <w:t xml:space="preserve">λαμβάνοντας υπόψη ότι ο ΓΤ αραβόσιτος αναπτύχθηκε για να προσδώσει αντοχή στη </w:t>
      </w:r>
      <w:proofErr w:type="spellStart"/>
      <w:r w:rsidRPr="00247B2D">
        <w:t>γλυφοσάτη</w:t>
      </w:r>
      <w:proofErr w:type="spellEnd"/>
      <w:r w:rsidRPr="00247B2D">
        <w:t xml:space="preserve">· </w:t>
      </w:r>
    </w:p>
    <w:p w14:paraId="0C5A6A87" w14:textId="77777777" w:rsidR="00BE3177" w:rsidRPr="00247B2D" w:rsidRDefault="00BE3177" w:rsidP="004F20A9">
      <w:pPr>
        <w:pStyle w:val="NormalHanging12a"/>
        <w:widowControl/>
      </w:pPr>
      <w:r w:rsidRPr="00247B2D">
        <w:t>Ε.</w:t>
      </w:r>
      <w:r w:rsidRPr="00247B2D">
        <w:tab/>
        <w:t>λαμβάνοντας υπόψη ότι οι εκτιμήσεις κινδύνου που διενήργησε η EFSA δεν περιλάμβαναν μακροπρόθεσμες τοξικολογικές μελέτες ή λεπτομερή ανάλυση των σωρευτικών και συνδυαστικών επιπτώσεων, συμπεριλαμβανομένων πιθανών αλληλεπιδράσεων με κατάλοιπα φυτοφαρμάκων που χρησιμοποιούνται συνήθως στην καλλιέργεια αραβοσίτου·</w:t>
      </w:r>
    </w:p>
    <w:p w14:paraId="03B56655" w14:textId="77777777" w:rsidR="00BE3177" w:rsidRPr="00247B2D" w:rsidRDefault="00BE3177" w:rsidP="004F20A9">
      <w:pPr>
        <w:pStyle w:val="NormalHanging12a"/>
        <w:widowControl/>
        <w:rPr>
          <w:color w:val="000000" w:themeColor="text1"/>
          <w:szCs w:val="24"/>
        </w:rPr>
      </w:pPr>
      <w:r w:rsidRPr="00247B2D">
        <w:rPr>
          <w:color w:val="000000" w:themeColor="text1"/>
        </w:rPr>
        <w:t>ΣΤ.</w:t>
      </w:r>
      <w:r w:rsidRPr="00247B2D">
        <w:rPr>
          <w:color w:val="000000" w:themeColor="text1"/>
        </w:rPr>
        <w:tab/>
      </w:r>
      <w:r w:rsidRPr="00247B2D">
        <w:t xml:space="preserve">λαμβάνοντας υπόψη ότι στη συντριπτική τους πλειονότητα οι γενετικώς τροποποιημένες καλλιέργειες, συμπεριλαμβανομένου του ΓΤ αραβοσίτου, έχουν τροποποιηθεί γενετικώς ώστε να είναι ανθεκτικές σε ένα ή περισσότερα «συμπληρωματικά» ζιζανιοκτόνα που μπορούν να χρησιμοποιηθούν καθ’ όλη τη διάρκεια του κύκλου ζωής της ΓΤ καλλιέργειας, χωρίς να πεθάνει η καλλιέργεια, όπως θα συνέβαινε στην περίπτωση μιας καλλιέργειας που δεν είναι ανθεκτική στα ζιζανιοκτόνα· </w:t>
      </w:r>
      <w:r w:rsidRPr="00247B2D">
        <w:rPr>
          <w:color w:val="000000" w:themeColor="text1"/>
        </w:rPr>
        <w:t xml:space="preserve">λαμβάνοντας υπόψη ότι διάφορες μελέτες καταδεικνύουν ότι η καλλιέργεια γενετικώς τροποποιημένων φυτών που είναι ανθεκτικά στα ζιζανιοκτόνα </w:t>
      </w:r>
      <w:r w:rsidRPr="00247B2D">
        <w:rPr>
          <w:color w:val="000000" w:themeColor="text1"/>
        </w:rPr>
        <w:lastRenderedPageBreak/>
        <w:t>οδηγεί σε μεγαλύτερη χρήση συμπληρωματικών ζιζανιοκτόνων, κυρίως λόγω της εμφάνισης ζιζανίων ανθεκτικών στα ζιζανιοκτόνα</w:t>
      </w:r>
      <w:r w:rsidRPr="00247B2D">
        <w:rPr>
          <w:rStyle w:val="FootnoteReference"/>
          <w:color w:val="000000" w:themeColor="text1"/>
          <w:szCs w:val="24"/>
        </w:rPr>
        <w:footnoteReference w:id="7"/>
      </w:r>
      <w:r w:rsidRPr="00247B2D">
        <w:rPr>
          <w:color w:val="000000" w:themeColor="text1"/>
        </w:rPr>
        <w:t>·</w:t>
      </w:r>
    </w:p>
    <w:p w14:paraId="61238193" w14:textId="77777777" w:rsidR="00BE3177" w:rsidRPr="00247B2D" w:rsidRDefault="00BE3177" w:rsidP="004F20A9">
      <w:pPr>
        <w:widowControl/>
        <w:spacing w:after="240"/>
        <w:ind w:left="567" w:hanging="567"/>
        <w:rPr>
          <w:szCs w:val="24"/>
        </w:rPr>
      </w:pPr>
      <w:r w:rsidRPr="00247B2D">
        <w:t>Ζ.</w:t>
      </w:r>
      <w:r w:rsidRPr="00247B2D">
        <w:tab/>
        <w:t xml:space="preserve">λαμβάνοντας υπόψη </w:t>
      </w:r>
      <w:r w:rsidRPr="00247B2D">
        <w:rPr>
          <w:color w:val="000000" w:themeColor="text1"/>
        </w:rPr>
        <w:t>ότι οι ανθεκτικές στα ζιζανιοκτόνα ΓΤ καλλιέργειες εγκλωβίζουν τους γεωργούς σε ένα σύστημα διαχείρισης ζιζανίων το οποίο εξαρτάται σε μεγάλο βαθμό ή εξ ολοκλήρου από ζιζανιοκτόνα, και αυτό συμβαίνει με την επιβολή πριμοδότησης για τους ΓΤ σπόρους, η οποία μπορεί να δικαιολογηθεί μόνον εάν οι γεωργοί που αγοράζουν τέτοιους σπόρους ψεκάζουν επίσης με τα συμπληρωματικά ζιζανιοκτόνα· λαμβάνοντας υπόψη ότι η αυξημένη εξάρτηση από συμπληρωματικά ζιζανιοκτόνα σε γεωργικές εκμεταλλεύσεις ΓΤ αραβόσιτου θα επιταχύνει την εμφάνιση και την εξάπλωση ζιζανίων ανθεκτικών στα εν λόγω ζιζανιοκτόνα και θα δημιουργήσει έτσι την ανάγκη για ακόμη μεγαλύτερη χρήση ζιζανιοκτόνων, καταλήγοντας σε έναν φαύλο κύκλο γνωστό ως «</w:t>
      </w:r>
      <w:proofErr w:type="spellStart"/>
      <w:r w:rsidRPr="00247B2D">
        <w:rPr>
          <w:color w:val="000000" w:themeColor="text1"/>
        </w:rPr>
        <w:t>herbicide</w:t>
      </w:r>
      <w:proofErr w:type="spellEnd"/>
      <w:r w:rsidRPr="00247B2D">
        <w:rPr>
          <w:color w:val="000000" w:themeColor="text1"/>
        </w:rPr>
        <w:t xml:space="preserve"> </w:t>
      </w:r>
      <w:proofErr w:type="spellStart"/>
      <w:r w:rsidRPr="00247B2D">
        <w:rPr>
          <w:color w:val="000000" w:themeColor="text1"/>
        </w:rPr>
        <w:t>treadmill</w:t>
      </w:r>
      <w:proofErr w:type="spellEnd"/>
      <w:r w:rsidRPr="00247B2D">
        <w:rPr>
          <w:color w:val="000000" w:themeColor="text1"/>
        </w:rPr>
        <w:t>» («κυλιόμενος τάπητας ζιζανιοκτόνων»)· λαμβάνοντας υπόψη ότι, κατά συνέπεια, οι δυσμενείς επιπτώσεις που απορρέουν από την υπερβολική εξάρτηση από ζιζανιοκτόνα θα επιδεινώσουν την υγεία του εδάφους, την ποιότητα των υδάτων και την υπέργεια και υπόγεια βιοποικιλότητα, οδηγώντας επίσης σε αυξημένη έκθεση των ανθρώπων και των ζώων, ενδεχομένως και με την αύξηση των καταλοίπων ζιζανιοκτόνων στα τρόφιμα και τις ζωοτροφές</w:t>
      </w:r>
      <w:r w:rsidRPr="00247B2D">
        <w:rPr>
          <w:rStyle w:val="FootnoteReference"/>
          <w:color w:val="000000" w:themeColor="text1"/>
          <w:szCs w:val="24"/>
        </w:rPr>
        <w:footnoteReference w:id="8"/>
      </w:r>
      <w:r w:rsidRPr="00247B2D">
        <w:rPr>
          <w:color w:val="000000" w:themeColor="text1"/>
        </w:rPr>
        <w:t>·</w:t>
      </w:r>
    </w:p>
    <w:p w14:paraId="2A2ED52C" w14:textId="77777777" w:rsidR="00BE3177" w:rsidRPr="00247B2D" w:rsidRDefault="00BE3177" w:rsidP="004F20A9">
      <w:pPr>
        <w:pStyle w:val="NormalHanging12a"/>
        <w:widowControl/>
      </w:pPr>
      <w:r w:rsidRPr="00247B2D">
        <w:t>Η.</w:t>
      </w:r>
      <w:r w:rsidRPr="00247B2D">
        <w:tab/>
        <w:t xml:space="preserve">λαμβάνοντας υπόψη ότι εξακολουθούν να υφίστανται σοβαρά ερωτήματα όσον αφορά την καρκινογόνο δράση της γλυφοσάτης· λαμβάνοντας υπόψη ότι τον Νοέμβριο του 2015 η EFSA κατέληξε στο συμπέρασμα ότι, κατά πάσα πιθανότητα, η </w:t>
      </w:r>
      <w:proofErr w:type="spellStart"/>
      <w:r w:rsidRPr="00247B2D">
        <w:t>γλυφοσάτη</w:t>
      </w:r>
      <w:proofErr w:type="spellEnd"/>
      <w:r w:rsidRPr="00247B2D">
        <w:t xml:space="preserve"> δεν είναι καρκινογόνος ουσία, και τον Μάρτιο του 2017 ο Ευρωπαϊκός Οργανισμός Χημικών Προϊόντων κατέληξε στο συμπέρασμα ότι δεν απαιτείται ταξινόμηση· λαμβάνοντας υπόψη ότι, αντιθέτως, το 2015 ο Διεθνής Οργανισμός Ερευνών για τον Καρκίνο —η ειδική υπηρεσία του Παγκόσμιου Οργανισμού Υγείας για τον καρκίνο— ταξινόμησε τη </w:t>
      </w:r>
      <w:proofErr w:type="spellStart"/>
      <w:r w:rsidRPr="00247B2D">
        <w:t>γλυφοσάτη</w:t>
      </w:r>
      <w:proofErr w:type="spellEnd"/>
      <w:r w:rsidRPr="00247B2D">
        <w:t xml:space="preserve"> στις πιθανώς </w:t>
      </w:r>
      <w:proofErr w:type="spellStart"/>
      <w:r w:rsidRPr="00247B2D">
        <w:t>καρκινογόνες</w:t>
      </w:r>
      <w:proofErr w:type="spellEnd"/>
      <w:r w:rsidRPr="00247B2D">
        <w:t xml:space="preserve"> για τον άνθρωπο ουσίες· λαμβάνοντας υπόψη ότι σειρά από πρόσφατες επιστημονικές μελέτες αξιολογηθείσες από ομότιμους επιβεβαιώνουν τις </w:t>
      </w:r>
      <w:proofErr w:type="spellStart"/>
      <w:r w:rsidRPr="00247B2D">
        <w:t>καρκινογόνες</w:t>
      </w:r>
      <w:proofErr w:type="spellEnd"/>
      <w:r w:rsidRPr="00247B2D">
        <w:t xml:space="preserve"> ιδιότητες της </w:t>
      </w:r>
      <w:proofErr w:type="spellStart"/>
      <w:r w:rsidRPr="00247B2D">
        <w:t>γλυφοσάτης</w:t>
      </w:r>
      <w:proofErr w:type="spellEnd"/>
      <w:r w:rsidRPr="00247B2D">
        <w:rPr>
          <w:rStyle w:val="FootnoteReference"/>
        </w:rPr>
        <w:footnoteReference w:id="9"/>
      </w:r>
      <w:r w:rsidRPr="00247B2D">
        <w:t>·</w:t>
      </w:r>
    </w:p>
    <w:p w14:paraId="61B4BA9F" w14:textId="77777777" w:rsidR="00BE3177" w:rsidRPr="00247B2D" w:rsidRDefault="00BE3177" w:rsidP="004F20A9">
      <w:pPr>
        <w:pStyle w:val="NormalHanging12a"/>
        <w:widowControl/>
      </w:pPr>
      <w:r w:rsidRPr="00247B2D">
        <w:t>Θ.</w:t>
      </w:r>
      <w:r w:rsidRPr="00247B2D">
        <w:tab/>
        <w:t xml:space="preserve">λαμβάνοντας υπόψη ότι ο κίνδυνος γονιδιακής ροής από τον αραβόσιτο σε άγρια συγγενικά είδη, όπως η </w:t>
      </w:r>
      <w:proofErr w:type="spellStart"/>
      <w:r w:rsidRPr="00247B2D">
        <w:t>τεοζίντη</w:t>
      </w:r>
      <w:proofErr w:type="spellEnd"/>
      <w:r w:rsidRPr="00247B2D">
        <w:t xml:space="preserve">, που καταγράφηκε στην Ισπανία και τη Γαλλία, εγείρει </w:t>
      </w:r>
      <w:r w:rsidRPr="00247B2D">
        <w:lastRenderedPageBreak/>
        <w:t xml:space="preserve">ανησυχίες σχετικά με την ανθεκτικότητα των </w:t>
      </w:r>
      <w:proofErr w:type="spellStart"/>
      <w:r w:rsidRPr="00247B2D">
        <w:t>διαγονιδίων</w:t>
      </w:r>
      <w:proofErr w:type="spellEnd"/>
      <w:r w:rsidRPr="00247B2D">
        <w:t xml:space="preserve"> και τις επιπτώσεις στο περιβάλλον·</w:t>
      </w:r>
    </w:p>
    <w:p w14:paraId="6D684418" w14:textId="77777777" w:rsidR="00BE3177" w:rsidRPr="00247B2D" w:rsidRDefault="00BE3177" w:rsidP="004F20A9">
      <w:pPr>
        <w:pStyle w:val="NormalHanging12a"/>
        <w:widowControl/>
      </w:pPr>
      <w:r w:rsidRPr="00247B2D">
        <w:t>Ι.</w:t>
      </w:r>
      <w:r w:rsidRPr="00247B2D">
        <w:tab/>
        <w:t>λαμβάνοντας υπόψη ότι η ανεξάρτητη παρακολούθηση και επιτήρηση των δυνητικών δυσμενών επιπτώσεων στη βιοποικιλότητα, την υγεία του εδάφους, τους επικονιαστές και τους μη στοχευόμενους οργανισμούς εξακολουθεί να μην διασφαλίζεται επαρκώς·</w:t>
      </w:r>
    </w:p>
    <w:p w14:paraId="540940DB" w14:textId="77777777" w:rsidR="00BE3177" w:rsidRPr="00247B2D" w:rsidRDefault="00BE3177" w:rsidP="004F20A9">
      <w:pPr>
        <w:widowControl/>
        <w:spacing w:after="240"/>
        <w:ind w:left="567" w:hanging="567"/>
      </w:pPr>
      <w:r w:rsidRPr="00247B2D">
        <w:t>ΙΑ.</w:t>
      </w:r>
      <w:r w:rsidRPr="00247B2D">
        <w:tab/>
        <w:t>λαμβάνοντας υπόψη ότι η αρχή της προφύλαξης, η οποία κατοχυρώνεται στο άρθρο 191 της Συνθήκης για τη λειτουργία της Ευρωπαϊκής Ένωσης, θα πρέπει να εφαρμόζεται σε περιπτώσεις επιστημονικής αβεβαιότητας·</w:t>
      </w:r>
    </w:p>
    <w:p w14:paraId="020A0062" w14:textId="77777777" w:rsidR="00BE3177" w:rsidRPr="00247B2D" w:rsidRDefault="00BE3177" w:rsidP="004F20A9">
      <w:pPr>
        <w:widowControl/>
        <w:spacing w:after="240"/>
        <w:ind w:left="567" w:hanging="567"/>
      </w:pPr>
      <w:r w:rsidRPr="00247B2D">
        <w:t>ΙΒ.</w:t>
      </w:r>
      <w:r w:rsidRPr="00247B2D">
        <w:tab/>
        <w:t>λαμβάνοντας υπόψη ότι ο κανονισμός (ΕΚ) αριθ. 1829/2003 ορίζει ότι τα γενετικώς τροποποιημένα τρόφιμα και ζωοτροφές δεν πρέπει να έχουν δυσμενείς επιπτώσεις στην υγεία του ανθρώπου, στην υγεία των ζώων ή στο περιβάλλον·</w:t>
      </w:r>
    </w:p>
    <w:p w14:paraId="54BD5584" w14:textId="77777777" w:rsidR="00BE3177" w:rsidRPr="00247B2D" w:rsidRDefault="00BE3177" w:rsidP="004F20A9">
      <w:pPr>
        <w:pStyle w:val="NormalWeb"/>
        <w:spacing w:before="0" w:beforeAutospacing="0" w:after="240" w:afterAutospacing="0"/>
        <w:ind w:left="567" w:hanging="567"/>
      </w:pPr>
      <w:r w:rsidRPr="00247B2D">
        <w:t>ΙΓ.</w:t>
      </w:r>
      <w:r w:rsidRPr="00247B2D">
        <w:tab/>
        <w:t>λαμβάνοντας υπόψη ότι η ανανέωση της έγκρισης του ΓΤ αραβοσίτου από την Ένωση δεν θα ήταν σύμφωνη με τις διεθνείς δεσμεύσεις για τη μείωση των φυτοφαρμάκων</w:t>
      </w:r>
      <w:r w:rsidRPr="00247B2D">
        <w:rPr>
          <w:vertAlign w:val="superscript"/>
        </w:rPr>
        <w:footnoteReference w:id="10"/>
      </w:r>
      <w:r w:rsidRPr="00247B2D">
        <w:t xml:space="preserve">, δεδομένης της αυξημένης έκθεσης του ανθρώπου, των ζώων και του περιβάλλοντος στη </w:t>
      </w:r>
      <w:proofErr w:type="spellStart"/>
      <w:r w:rsidRPr="00247B2D">
        <w:t>γλυφοσάτη</w:t>
      </w:r>
      <w:proofErr w:type="spellEnd"/>
      <w:r w:rsidRPr="00247B2D">
        <w:t xml:space="preserve">, τη </w:t>
      </w:r>
      <w:proofErr w:type="spellStart"/>
      <w:r w:rsidRPr="00247B2D">
        <w:t>δικάμβα</w:t>
      </w:r>
      <w:proofErr w:type="spellEnd"/>
      <w:r w:rsidRPr="00247B2D">
        <w:t xml:space="preserve"> και το </w:t>
      </w:r>
      <w:proofErr w:type="spellStart"/>
      <w:r w:rsidRPr="00247B2D">
        <w:t>γλουφοσινικό</w:t>
      </w:r>
      <w:proofErr w:type="spellEnd"/>
      <w:r w:rsidRPr="00247B2D">
        <w:t xml:space="preserve"> σε χώρες με την εν λόγω ανθεκτική σε ζιζανιοκτόνα ΓΤ καλλιέργεια, καθώς και των δυνητικά σοβαρών σχετικών προβλημάτων υγείας·</w:t>
      </w:r>
    </w:p>
    <w:p w14:paraId="7E867F58" w14:textId="77777777" w:rsidR="00BE3177" w:rsidRPr="00247B2D" w:rsidRDefault="00BE3177" w:rsidP="004F20A9">
      <w:pPr>
        <w:widowControl/>
        <w:spacing w:after="240"/>
        <w:ind w:left="567" w:hanging="567"/>
      </w:pPr>
      <w:r w:rsidRPr="00247B2D">
        <w:t>ΙΔ.</w:t>
      </w:r>
      <w:r w:rsidRPr="00247B2D">
        <w:tab/>
        <w:t>λαμβάνοντας υπόψη ότι η εκτελεστική απόφαση της Επιτροπής θα συνέχιζε να επιτρέπει εισαγωγές στην Ένωση που δεν συμμορφώνονται με τα πρότυπα που τηρούν οι γεωργοί της Ένωσης, με αποτέλεσμα να περιέρχονται οι τελευταίοι σε μειονεκτική ανταγωνιστική θέση·</w:t>
      </w:r>
    </w:p>
    <w:p w14:paraId="08D05460" w14:textId="77777777" w:rsidR="00BE3177" w:rsidRPr="00247B2D" w:rsidRDefault="00BE3177" w:rsidP="004F20A9">
      <w:pPr>
        <w:widowControl/>
        <w:spacing w:after="240"/>
        <w:ind w:left="567" w:hanging="567"/>
      </w:pPr>
      <w:r w:rsidRPr="00247B2D">
        <w:t>ΙΕ.</w:t>
      </w:r>
      <w:r w:rsidRPr="00247B2D">
        <w:tab/>
        <w:t>λαμβάνοντας υπόψη ότι τα συμπεράσματα του στρατηγικού διαλόγου για το μέλλον της γεωργίας της ΕΕ</w:t>
      </w:r>
      <w:r w:rsidRPr="00247B2D">
        <w:rPr>
          <w:rStyle w:val="FootnoteReference"/>
        </w:rPr>
        <w:footnoteReference w:id="11"/>
      </w:r>
      <w:r w:rsidRPr="00247B2D">
        <w:t xml:space="preserve"> καλούν την Επιτροπή να επαναξιολογήσει την προσέγγισή της όσον αφορά την πρόσβαση στην αγορά για τις εισαγωγές και τις εξαγωγές γεωργικών ειδών διατροφής, δεδομένης της πρόκλησης που τίθεται από τα αποκλίνοντα πρότυπα της Ένωσης και των εμπορικών εταίρων της· λαμβάνοντας υπόψη ότι μία από τις κύριες απαιτήσεις των γεωργών κατά τη διάρκεια των διαδηλώσεων του 2023 και του 2024 ήταν οι δικαιότερες εμπορικές σχέσεις σε παγκόσμιο επίπεδο, που να συνάδουν με τους στόχους για ένα υγιές περιβάλλον·</w:t>
      </w:r>
    </w:p>
    <w:p w14:paraId="3B418EAA" w14:textId="77777777" w:rsidR="00BE3177" w:rsidRPr="00247B2D" w:rsidRDefault="00BE3177" w:rsidP="004F20A9">
      <w:pPr>
        <w:widowControl/>
        <w:spacing w:after="240"/>
        <w:ind w:left="567" w:hanging="567"/>
      </w:pPr>
      <w:r w:rsidRPr="00247B2D">
        <w:t>ΙΣΤ.</w:t>
      </w:r>
      <w:r w:rsidRPr="00247B2D">
        <w:tab/>
        <w:t>λαμβάνοντας υπόψη ότι το Κοινοβούλιο έχει επανειλημμένα τονίσει ότι η Επιτροπή δεν θα πρέπει να εγκρίνει ΓΤΟ σε περιπτώσεις όπου δεν επιτυγχάνεται ειδική πλειοψηφία από τα κράτη μέλη στη Μόνιμη Επιτροπή Φυτών, Ζώων, Τροφίμων και Ζωοτροφών ή στην Επιτροπή Προσφυγών, προκειμένου να αντιμετωπιστεί το συνεχιζόμενο δημοκρατικό έλλειμμα·</w:t>
      </w:r>
    </w:p>
    <w:p w14:paraId="5D0AD48A" w14:textId="77777777" w:rsidR="00BE3177" w:rsidRPr="00247B2D" w:rsidRDefault="00BE3177" w:rsidP="004F20A9">
      <w:pPr>
        <w:pStyle w:val="NormalWeb"/>
        <w:shd w:val="clear" w:color="auto" w:fill="FFFFFF"/>
        <w:spacing w:before="0" w:beforeAutospacing="0" w:after="240" w:afterAutospacing="0"/>
        <w:ind w:left="567" w:hanging="567"/>
        <w:rPr>
          <w:color w:val="000000" w:themeColor="text1"/>
        </w:rPr>
      </w:pPr>
      <w:r w:rsidRPr="00247B2D">
        <w:rPr>
          <w:color w:val="000000" w:themeColor="text1"/>
        </w:rPr>
        <w:lastRenderedPageBreak/>
        <w:t>ΙΖ.</w:t>
      </w:r>
      <w:r w:rsidRPr="00247B2D">
        <w:rPr>
          <w:color w:val="000000" w:themeColor="text1"/>
        </w:rPr>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14:paraId="0388A899" w14:textId="77777777" w:rsidR="00BE3177" w:rsidRPr="00247B2D" w:rsidRDefault="00BE3177" w:rsidP="004F20A9">
      <w:pPr>
        <w:widowControl/>
        <w:spacing w:after="240"/>
        <w:ind w:left="567" w:hanging="567"/>
      </w:pPr>
      <w:r w:rsidRPr="00247B2D">
        <w:t>ΙΗ.</w:t>
      </w:r>
      <w:r w:rsidRPr="00247B2D">
        <w:tab/>
        <w:t>λαμβάνοντας υπόψη ότι η προσέγγιση «Μία υγεία» απαιτεί να λαμβάνεται υπόψη η αλληλεξάρτηση μεταξύ της υγείας των ανθρώπων, των ζώων, των φυτών και του περιβάλλοντος κατά την αξιολόγηση της μακροπρόθεσμης βιωσιμότητας και ασφάλειας των ΓΤΟ·</w:t>
      </w:r>
    </w:p>
    <w:p w14:paraId="2CB8AFBA" w14:textId="77777777" w:rsidR="00BE3177" w:rsidRPr="00247B2D" w:rsidRDefault="00BE3177" w:rsidP="004F20A9">
      <w:pPr>
        <w:widowControl/>
        <w:spacing w:after="240"/>
        <w:ind w:left="567" w:hanging="567"/>
      </w:pPr>
      <w:r w:rsidRPr="00247B2D">
        <w:t>1.</w:t>
      </w:r>
      <w:r w:rsidRPr="00247B2D">
        <w:tab/>
        <w:t>κρίνει ότι το σχέδιο εκτελεστικής απόφασης της Επιτροπής υπερβαίνει τις εκτελεστικές αρμοδιότητες που προβλέπει ο κανονισμός (ΕΚ) αριθ. 1829/2003·</w:t>
      </w:r>
    </w:p>
    <w:p w14:paraId="443A4A9C" w14:textId="20BB7EFA" w:rsidR="00BE3177" w:rsidRPr="00247B2D" w:rsidRDefault="00BE3177" w:rsidP="004F20A9">
      <w:pPr>
        <w:widowControl/>
        <w:spacing w:after="240"/>
        <w:ind w:left="567" w:hanging="567"/>
      </w:pPr>
      <w:r w:rsidRPr="00247B2D">
        <w:t>2.</w:t>
      </w:r>
      <w:r w:rsidRPr="00247B2D">
        <w:tab/>
        <w:t>κρίνει ότι το σχέδιο εκτελεστικής απόφασης της Επιτροπής δεν είναι σύμφωνο με το δίκαιο της Ένωσης, υπό την έννοια ότι δεν συνάδει με τον σκοπό του κανονισμού (ΕΚ)</w:t>
      </w:r>
      <w:r w:rsidR="004F20A9" w:rsidRPr="00247B2D">
        <w:t> </w:t>
      </w:r>
      <w:r w:rsidRPr="00247B2D">
        <w:t>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Pr="00247B2D">
        <w:rPr>
          <w:vertAlign w:val="superscript"/>
        </w:rPr>
        <w:footnoteReference w:id="12"/>
      </w:r>
      <w:r w:rsidRPr="00247B2D">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τις ΓΤ ζωοτροφές, εξασφαλίζοντας παράλληλα την αποτελεσματική λειτουργία της εσωτερικής αγοράς·</w:t>
      </w:r>
    </w:p>
    <w:p w14:paraId="0B4D2CEC" w14:textId="77777777" w:rsidR="00BE3177" w:rsidRPr="00247B2D" w:rsidRDefault="00BE3177" w:rsidP="004F20A9">
      <w:pPr>
        <w:widowControl/>
        <w:spacing w:after="240"/>
        <w:ind w:left="567" w:hanging="567"/>
      </w:pPr>
      <w:r w:rsidRPr="00247B2D">
        <w:t>3.</w:t>
      </w:r>
      <w:r w:rsidRPr="00247B2D">
        <w:tab/>
        <w:t>ζητεί από την Επιτροπή να αποσύρει την εκτελεστική απόφασή της·</w:t>
      </w:r>
    </w:p>
    <w:p w14:paraId="2AC122F1" w14:textId="77777777" w:rsidR="00BE3177" w:rsidRPr="00247B2D" w:rsidRDefault="00BE3177" w:rsidP="004F20A9">
      <w:pPr>
        <w:widowControl/>
        <w:spacing w:after="240"/>
        <w:ind w:left="567" w:hanging="567"/>
      </w:pPr>
      <w:r w:rsidRPr="00247B2D">
        <w:t>4.</w:t>
      </w:r>
      <w:r w:rsidRPr="00247B2D">
        <w:tab/>
        <w:t>καλεί την Επιτροπή να μην ανανεώσει την έγκριση του ΓΤ αραβοσίτου λόγω της έλλειψης επαρκών στοιχείων σχετικά με τον μακροχρόνιο αντίκτυπο στη βιοποικιλότητα, την ασφάλεια των τροφίμων και τα μέσα διαβίωσης των γεωργών και την υγεία των ζώων, σύμφωνα με την προσέγγιση «Μία υγεία»·</w:t>
      </w:r>
    </w:p>
    <w:p w14:paraId="4E663CC9" w14:textId="77777777" w:rsidR="00BE3177" w:rsidRPr="00247B2D" w:rsidRDefault="00BE3177" w:rsidP="004F20A9">
      <w:pPr>
        <w:widowControl/>
        <w:spacing w:after="240"/>
        <w:ind w:left="567" w:hanging="567"/>
      </w:pPr>
      <w:r w:rsidRPr="00247B2D">
        <w:t>5.</w:t>
      </w:r>
      <w:r w:rsidRPr="00247B2D">
        <w:tab/>
        <w:t>καλεί την Επιτροπή να υποβάλει, χωρίς καθυστέρηση, νομοθετική πρόταση για τη μεταρρύθμιση της διαδικασίας λήψης αποφάσεων σχετικά με τους ΓΤΟ, προκειμένου να δοθεί απάντηση στις συνεχείς αντιρρήσεις του Κοινοβουλίου και στην έλλειψη στήριξης από ειδική πλειοψηφία των κρατών μελών·</w:t>
      </w:r>
    </w:p>
    <w:p w14:paraId="4336BE91" w14:textId="77777777" w:rsidR="00BE3177" w:rsidRPr="00247B2D" w:rsidRDefault="00BE3177" w:rsidP="004F20A9">
      <w:pPr>
        <w:widowControl/>
        <w:spacing w:after="240"/>
        <w:ind w:left="567" w:hanging="567"/>
      </w:pPr>
      <w:r w:rsidRPr="00247B2D">
        <w:t>6.</w:t>
      </w:r>
      <w:r w:rsidRPr="00247B2D">
        <w:tab/>
        <w:t xml:space="preserve">επισημαίνει, εν προκειμένω, ότι η έγκριση της εισαγωγής για χρήση σε τρόφιμα ή ζωοτροφές οποιουδήποτε ΓΤ φυτού που έχει καταστεί ανθεκτικό σε ζιζανιοκτόνα που απαγορεύονται στην Ένωση, όπως το </w:t>
      </w:r>
      <w:proofErr w:type="spellStart"/>
      <w:r w:rsidRPr="00247B2D">
        <w:t>γλουφοσινικό</w:t>
      </w:r>
      <w:proofErr w:type="spellEnd"/>
      <w:r w:rsidRPr="00247B2D">
        <w:t xml:space="preserve">, δεν συνάδει με τις διεθνείς δεσμεύσεις της Ένωσης στο πλαίσιο, μεταξύ άλλων, της Σύμβασης των Ηνωμένων Εθνών για τη βιολογική ποικιλότητα και των Στόχων Βιώσιμης Ανάπτυξης των Ηνωμένων Εθνών, συμπεριλαμβανομένου του πλαισίου </w:t>
      </w:r>
      <w:proofErr w:type="spellStart"/>
      <w:r w:rsidRPr="00247B2D">
        <w:t>Κουνμίνγκ</w:t>
      </w:r>
      <w:proofErr w:type="spellEnd"/>
      <w:r w:rsidRPr="00247B2D">
        <w:t>-Μόντρεαλ, και δημιουργεί άνισους όρους ανταγωνισμού για τους γεωργούς της Ένωσης·</w:t>
      </w:r>
    </w:p>
    <w:p w14:paraId="28BE0014" w14:textId="13402C6F" w:rsidR="00E365E1" w:rsidRPr="00247B2D" w:rsidRDefault="00BE3177" w:rsidP="004F20A9">
      <w:pPr>
        <w:widowControl/>
        <w:spacing w:after="240"/>
        <w:ind w:left="567" w:hanging="567"/>
      </w:pPr>
      <w:r w:rsidRPr="00247B2D">
        <w:t>7.</w:t>
      </w:r>
      <w:r w:rsidRPr="00247B2D">
        <w:tab/>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sectPr w:rsidR="00E365E1" w:rsidRPr="00247B2D" w:rsidSect="004D5A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AC517" w14:textId="77777777" w:rsidR="00E51ACD" w:rsidRPr="004D5AFB" w:rsidRDefault="00E51ACD">
      <w:r w:rsidRPr="004D5AFB">
        <w:separator/>
      </w:r>
    </w:p>
  </w:endnote>
  <w:endnote w:type="continuationSeparator" w:id="0">
    <w:p w14:paraId="6522B4F0" w14:textId="77777777" w:rsidR="00E51ACD" w:rsidRPr="004D5AFB" w:rsidRDefault="00E51ACD">
      <w:r w:rsidRPr="004D5A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9B158" w14:textId="77777777" w:rsidR="00064002" w:rsidRPr="004D5AF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F5E54" w14:textId="77777777" w:rsidR="00064002" w:rsidRPr="004D5AF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AE3C9" w14:textId="77777777" w:rsidR="00064002" w:rsidRPr="004D5A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5E6BB" w14:textId="77777777" w:rsidR="00E51ACD" w:rsidRPr="004D5AFB" w:rsidRDefault="00E51ACD">
      <w:r w:rsidRPr="004D5AFB">
        <w:separator/>
      </w:r>
    </w:p>
  </w:footnote>
  <w:footnote w:type="continuationSeparator" w:id="0">
    <w:p w14:paraId="3E890810" w14:textId="77777777" w:rsidR="00E51ACD" w:rsidRPr="004D5AFB" w:rsidRDefault="00E51ACD">
      <w:r w:rsidRPr="004D5AFB">
        <w:continuationSeparator/>
      </w:r>
    </w:p>
  </w:footnote>
  <w:footnote w:id="1">
    <w:p w14:paraId="6C54A2DD" w14:textId="4C4DC6FE" w:rsidR="00BE3177" w:rsidRPr="004D5AFB" w:rsidRDefault="00BE3177" w:rsidP="004F20A9">
      <w:pPr>
        <w:pStyle w:val="FootnoteText"/>
        <w:suppressAutoHyphens/>
        <w:spacing w:line="240" w:lineRule="auto"/>
        <w:ind w:left="567" w:hanging="567"/>
        <w:rPr>
          <w:sz w:val="24"/>
          <w:lang w:val="el-GR"/>
        </w:rPr>
      </w:pPr>
      <w:r w:rsidRPr="004D5AFB">
        <w:rPr>
          <w:rStyle w:val="FootnoteReference"/>
          <w:sz w:val="24"/>
          <w:lang w:val="el-GR"/>
        </w:rPr>
        <w:footnoteRef/>
      </w:r>
      <w:r w:rsidR="004D5AFB" w:rsidRPr="004D5AFB">
        <w:rPr>
          <w:sz w:val="24"/>
          <w:lang w:val="el-GR"/>
        </w:rPr>
        <w:t xml:space="preserve"> </w:t>
      </w:r>
      <w:r w:rsidR="004D5AFB" w:rsidRPr="004D5AFB">
        <w:rPr>
          <w:sz w:val="24"/>
          <w:lang w:val="el-GR"/>
        </w:rPr>
        <w:tab/>
      </w:r>
      <w:r w:rsidRPr="004D5AFB">
        <w:rPr>
          <w:sz w:val="24"/>
          <w:lang w:val="el-GR"/>
        </w:rPr>
        <w:t>ΕΕ L 268 της 18.10.2003, σ. 1, ELI: </w:t>
      </w:r>
      <w:hyperlink r:id="rId1" w:tooltip="Πρόσβαση στο εν λόγω κείμενο μέσω του ELI URI." w:history="1">
        <w:r w:rsidRPr="004D5AFB">
          <w:rPr>
            <w:rStyle w:val="Hyperlink"/>
            <w:sz w:val="24"/>
            <w:lang w:val="el-GR"/>
          </w:rPr>
          <w:t>http://data.europa.eu/eli/reg/2003/1829/oj</w:t>
        </w:r>
      </w:hyperlink>
      <w:r w:rsidRPr="004D5AFB">
        <w:rPr>
          <w:color w:val="0563C1" w:themeColor="hyperlink"/>
          <w:sz w:val="24"/>
          <w:u w:val="single"/>
          <w:lang w:val="el-GR"/>
        </w:rPr>
        <w:t>.</w:t>
      </w:r>
    </w:p>
  </w:footnote>
  <w:footnote w:id="2">
    <w:p w14:paraId="05F8DF51" w14:textId="5348B2A3" w:rsidR="00BE3177" w:rsidRPr="004D5AFB" w:rsidRDefault="00BE3177" w:rsidP="004F20A9">
      <w:pPr>
        <w:pStyle w:val="FootnoteText"/>
        <w:spacing w:line="240" w:lineRule="auto"/>
        <w:ind w:left="567" w:hanging="567"/>
        <w:rPr>
          <w:sz w:val="24"/>
          <w:lang w:val="el-GR"/>
        </w:rPr>
      </w:pPr>
      <w:r w:rsidRPr="004D5AFB">
        <w:rPr>
          <w:rStyle w:val="FootnoteReference"/>
          <w:sz w:val="24"/>
          <w:lang w:val="el-GR"/>
        </w:rPr>
        <w:footnoteRef/>
      </w:r>
      <w:r w:rsidR="004D5AFB" w:rsidRPr="004D5AFB">
        <w:rPr>
          <w:sz w:val="24"/>
          <w:lang w:val="el-GR"/>
        </w:rPr>
        <w:t xml:space="preserve"> </w:t>
      </w:r>
      <w:r w:rsidR="004D5AFB" w:rsidRPr="004D5AFB">
        <w:rPr>
          <w:sz w:val="24"/>
          <w:lang w:val="el-GR"/>
        </w:rPr>
        <w:tab/>
      </w:r>
      <w:r w:rsidRPr="004D5AFB">
        <w:rPr>
          <w:sz w:val="24"/>
          <w:lang w:val="el-GR"/>
        </w:rPr>
        <w:t xml:space="preserve">ΕΕ L 55 της 28.2.2011, σ. </w:t>
      </w:r>
      <w:r w:rsidRPr="004D5AFB">
        <w:rPr>
          <w:sz w:val="24"/>
          <w:lang w:val="el-GR"/>
        </w:rPr>
        <w:t xml:space="preserve">13, ELI: </w:t>
      </w:r>
      <w:hyperlink r:id="rId2" w:history="1">
        <w:r w:rsidRPr="004D5AFB">
          <w:rPr>
            <w:rStyle w:val="Hyperlink"/>
            <w:sz w:val="24"/>
            <w:lang w:val="el-GR"/>
          </w:rPr>
          <w:t>http://data.europa.eu/eli/reg/2011/182/oj</w:t>
        </w:r>
      </w:hyperlink>
      <w:r w:rsidRPr="004D5AFB">
        <w:rPr>
          <w:sz w:val="24"/>
          <w:lang w:val="el-GR"/>
        </w:rPr>
        <w:t>.</w:t>
      </w:r>
    </w:p>
  </w:footnote>
  <w:footnote w:id="3">
    <w:p w14:paraId="379BD09C" w14:textId="3B78DFD4" w:rsidR="00BE3177" w:rsidRPr="004D5AFB" w:rsidRDefault="00BE3177" w:rsidP="004F20A9">
      <w:pPr>
        <w:pStyle w:val="FootnoteText"/>
        <w:suppressAutoHyphens/>
        <w:spacing w:line="240" w:lineRule="auto"/>
        <w:ind w:left="567" w:hanging="567"/>
        <w:rPr>
          <w:sz w:val="24"/>
          <w:lang w:val="el-GR"/>
        </w:rPr>
      </w:pPr>
      <w:r w:rsidRPr="004D5AFB">
        <w:rPr>
          <w:rStyle w:val="FootnoteReference"/>
          <w:sz w:val="24"/>
          <w:lang w:val="el-GR"/>
        </w:rPr>
        <w:footnoteRef/>
      </w:r>
      <w:r w:rsidR="004D5AFB" w:rsidRPr="004D5AFB">
        <w:rPr>
          <w:sz w:val="24"/>
          <w:lang w:val="el-GR"/>
        </w:rPr>
        <w:t xml:space="preserve"> </w:t>
      </w:r>
      <w:r w:rsidR="004D5AFB" w:rsidRPr="004D5AFB">
        <w:rPr>
          <w:sz w:val="24"/>
          <w:lang w:val="el-GR"/>
        </w:rPr>
        <w:tab/>
      </w:r>
      <w:r w:rsidRPr="004D5AFB">
        <w:rPr>
          <w:sz w:val="24"/>
          <w:lang w:val="el-GR"/>
        </w:rPr>
        <w:t xml:space="preserve">Επιστημονική γνώμη της ομάδας της EFSA για τους γενετικώς τροποποιημένους οργανισμούς σχετικά με την αξιολόγηση του γενετικώς τροποποιημένου αραβοσίτου NK603 για ανανέωση της έγκρισης βάσει του κανονισμού (ΕΚ) αριθ. 1829/2003 (αίτηση GMFF-2023-21250). </w:t>
      </w:r>
      <w:r w:rsidRPr="004D5AFB">
        <w:rPr>
          <w:sz w:val="24"/>
          <w:lang w:val="el-GR"/>
        </w:rPr>
        <w:t xml:space="preserve">Περιοδική έκδοση EFSA 2025·23(6):9505· </w:t>
      </w:r>
      <w:hyperlink r:id="rId3" w:history="1">
        <w:r w:rsidRPr="004D5AFB">
          <w:rPr>
            <w:rStyle w:val="Hyperlink"/>
            <w:sz w:val="24"/>
            <w:lang w:val="el-GR"/>
          </w:rPr>
          <w:t>https://doi.org/10.2903/j.efsa.2025.9505</w:t>
        </w:r>
      </w:hyperlink>
      <w:r w:rsidRPr="004D5AFB">
        <w:rPr>
          <w:rStyle w:val="Hyperlink"/>
          <w:sz w:val="24"/>
          <w:lang w:val="el-GR"/>
        </w:rPr>
        <w:t>.</w:t>
      </w:r>
    </w:p>
  </w:footnote>
  <w:footnote w:id="4">
    <w:p w14:paraId="6F9ED4A0" w14:textId="28C4408B" w:rsidR="00BE3177" w:rsidRPr="004D5AFB" w:rsidRDefault="00BE3177" w:rsidP="004F20A9">
      <w:pPr>
        <w:pStyle w:val="FootnoteText"/>
        <w:suppressAutoHyphens/>
        <w:spacing w:line="240" w:lineRule="auto"/>
        <w:ind w:left="567" w:hanging="567"/>
        <w:rPr>
          <w:color w:val="000000" w:themeColor="text1"/>
          <w:sz w:val="24"/>
          <w:vertAlign w:val="superscript"/>
          <w:lang w:val="el-GR"/>
        </w:rPr>
      </w:pPr>
      <w:r w:rsidRPr="004D5AFB">
        <w:rPr>
          <w:rStyle w:val="FootnoteReference"/>
          <w:sz w:val="24"/>
          <w:lang w:val="el-GR"/>
        </w:rPr>
        <w:footnoteRef/>
      </w:r>
      <w:r w:rsidR="004D5AFB" w:rsidRPr="004D5AFB">
        <w:rPr>
          <w:color w:val="000000" w:themeColor="text1"/>
          <w:sz w:val="24"/>
          <w:lang w:val="el-GR"/>
        </w:rPr>
        <w:t xml:space="preserve"> </w:t>
      </w:r>
      <w:r w:rsidR="004D5AFB" w:rsidRPr="004D5AFB">
        <w:rPr>
          <w:color w:val="000000" w:themeColor="text1"/>
          <w:sz w:val="24"/>
          <w:lang w:val="el-GR"/>
        </w:rPr>
        <w:tab/>
      </w:r>
      <w:r w:rsidRPr="004D5AFB">
        <w:rPr>
          <w:color w:val="000000" w:themeColor="text1"/>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w:t>
      </w:r>
      <w:r w:rsidRPr="004D5AFB">
        <w:rPr>
          <w:sz w:val="24"/>
          <w:lang w:val="el-GR"/>
        </w:rPr>
        <w:t xml:space="preserve"> που αντιτίθενται </w:t>
      </w:r>
      <w:r w:rsidRPr="004D5AFB">
        <w:rPr>
          <w:color w:val="000000" w:themeColor="text1"/>
          <w:sz w:val="24"/>
          <w:lang w:val="el-GR"/>
        </w:rPr>
        <w:t>στην έγκριση ΓΤΟ. Επιπλέον, κατά τη δέκατη κοινοβουλευτική του περίοδο, το Κοινοβούλιο έχει εγκρίνει τα ακόλουθα ψηφίσματα:</w:t>
      </w:r>
    </w:p>
    <w:p w14:paraId="3B4FE3CE" w14:textId="0BECD5FD" w:rsidR="00BE3177" w:rsidRPr="004D5AFB" w:rsidRDefault="004D5AFB" w:rsidP="004F20A9">
      <w:pPr>
        <w:pStyle w:val="FootnoteText"/>
        <w:tabs>
          <w:tab w:val="left" w:pos="567"/>
          <w:tab w:val="left" w:pos="1134"/>
        </w:tabs>
        <w:suppressAutoHyphens/>
        <w:spacing w:line="240" w:lineRule="auto"/>
        <w:ind w:left="1134" w:hanging="1134"/>
        <w:rPr>
          <w:color w:val="000000" w:themeColor="text1"/>
          <w:sz w:val="24"/>
          <w:vertAlign w:val="superscript"/>
          <w:lang w:val="el-GR"/>
        </w:rPr>
      </w:pPr>
      <w:r w:rsidRPr="004D5AFB">
        <w:rPr>
          <w:color w:val="000000" w:themeColor="text1"/>
          <w:sz w:val="24"/>
          <w:lang w:val="el-GR"/>
        </w:rPr>
        <w:t xml:space="preserve"> </w:t>
      </w:r>
      <w:r w:rsidRPr="004D5AFB">
        <w:rPr>
          <w:color w:val="000000" w:themeColor="text1"/>
          <w:sz w:val="24"/>
          <w:lang w:val="el-GR"/>
        </w:rPr>
        <w:tab/>
      </w:r>
      <w:r w:rsidR="00BE3177" w:rsidRPr="004D5AFB">
        <w:rPr>
          <w:color w:val="000000" w:themeColor="text1"/>
          <w:sz w:val="24"/>
          <w:lang w:val="el-GR"/>
        </w:rPr>
        <w:t>–</w:t>
      </w:r>
      <w:r w:rsidR="00BE3177" w:rsidRPr="004D5AFB">
        <w:rPr>
          <w:color w:val="000000" w:themeColor="text1"/>
          <w:sz w:val="24"/>
          <w:lang w:val="el-GR"/>
        </w:rPr>
        <w:tab/>
        <w:t>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w:t>
      </w:r>
      <w:r w:rsidR="00BE3177" w:rsidRPr="004D5AFB">
        <w:rPr>
          <w:color w:val="000000" w:themeColor="text1"/>
          <w:sz w:val="24"/>
          <w:lang w:val="el-GR"/>
        </w:rPr>
        <w:t xml:space="preserve">1829/2003 του Ευρωπαϊκού Κοινοβουλίου και του Συμβουλίου (ΕΕ C, C/2025/1797, 4.4.2025, ELI: </w:t>
      </w:r>
      <w:hyperlink r:id="rId4" w:history="1">
        <w:r w:rsidR="00BE3177" w:rsidRPr="004D5AFB">
          <w:rPr>
            <w:rStyle w:val="Hyperlink"/>
            <w:sz w:val="24"/>
            <w:lang w:val="el-GR"/>
          </w:rPr>
          <w:t>http://data.europa.eu/eli/C/2025/1797/oj</w:t>
        </w:r>
      </w:hyperlink>
      <w:r w:rsidR="00BE3177" w:rsidRPr="004D5AFB">
        <w:rPr>
          <w:color w:val="000000" w:themeColor="text1"/>
          <w:sz w:val="24"/>
          <w:lang w:val="el-GR"/>
        </w:rPr>
        <w:t>).</w:t>
      </w:r>
    </w:p>
    <w:p w14:paraId="02E31C0C" w14:textId="17D9F4F3" w:rsidR="00BE3177" w:rsidRPr="004D5AFB" w:rsidRDefault="004D5AFB" w:rsidP="004F20A9">
      <w:pPr>
        <w:pStyle w:val="FootnoteText"/>
        <w:tabs>
          <w:tab w:val="left" w:pos="567"/>
          <w:tab w:val="left" w:pos="1134"/>
        </w:tabs>
        <w:suppressAutoHyphens/>
        <w:spacing w:line="240" w:lineRule="auto"/>
        <w:ind w:left="1134" w:hanging="1134"/>
        <w:rPr>
          <w:color w:val="000000" w:themeColor="text1"/>
          <w:sz w:val="24"/>
          <w:vertAlign w:val="superscript"/>
          <w:lang w:val="el-GR"/>
        </w:rPr>
      </w:pPr>
      <w:r w:rsidRPr="004D5AFB">
        <w:rPr>
          <w:color w:val="000000" w:themeColor="text1"/>
          <w:sz w:val="24"/>
          <w:lang w:val="el-GR"/>
        </w:rPr>
        <w:t xml:space="preserve"> </w:t>
      </w:r>
      <w:r w:rsidRPr="004D5AFB">
        <w:rPr>
          <w:color w:val="000000" w:themeColor="text1"/>
          <w:sz w:val="24"/>
          <w:lang w:val="el-GR"/>
        </w:rPr>
        <w:tab/>
      </w:r>
      <w:r w:rsidR="00BE3177" w:rsidRPr="004D5AFB">
        <w:rPr>
          <w:color w:val="000000" w:themeColor="text1"/>
          <w:sz w:val="24"/>
          <w:lang w:val="el-GR"/>
        </w:rPr>
        <w:t>–</w:t>
      </w:r>
      <w:r w:rsidR="00BE3177" w:rsidRPr="004D5AFB">
        <w:rPr>
          <w:color w:val="000000" w:themeColor="text1"/>
          <w:sz w:val="24"/>
          <w:lang w:val="el-GR"/>
        </w:rPr>
        <w:tab/>
        <w:t xml:space="preserve">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(ΕΕ C, C/2025/1798, 4.4.2025, ELI: </w:t>
      </w:r>
      <w:hyperlink r:id="rId5" w:history="1">
        <w:r w:rsidR="00BE3177" w:rsidRPr="004D5AFB">
          <w:rPr>
            <w:rStyle w:val="Hyperlink"/>
            <w:sz w:val="24"/>
            <w:lang w:val="el-GR"/>
          </w:rPr>
          <w:t>http://data.europa.eu/eli/C/2025/1798/oj</w:t>
        </w:r>
      </w:hyperlink>
      <w:r w:rsidR="00BE3177" w:rsidRPr="004D5AFB">
        <w:rPr>
          <w:color w:val="000000" w:themeColor="text1"/>
          <w:sz w:val="24"/>
          <w:lang w:val="el-GR"/>
        </w:rPr>
        <w:t>).</w:t>
      </w:r>
    </w:p>
    <w:p w14:paraId="5DB7B367" w14:textId="1F96BDEF" w:rsidR="00BE3177" w:rsidRPr="004D5AFB" w:rsidRDefault="004D5AFB" w:rsidP="004F20A9">
      <w:pPr>
        <w:pStyle w:val="FootnoteText"/>
        <w:tabs>
          <w:tab w:val="left" w:pos="567"/>
          <w:tab w:val="left" w:pos="1134"/>
        </w:tabs>
        <w:suppressAutoHyphens/>
        <w:spacing w:line="240" w:lineRule="auto"/>
        <w:ind w:left="1134" w:hanging="1134"/>
        <w:rPr>
          <w:color w:val="000000" w:themeColor="text1"/>
          <w:sz w:val="24"/>
          <w:vertAlign w:val="superscript"/>
          <w:lang w:val="el-GR"/>
        </w:rPr>
      </w:pPr>
      <w:r w:rsidRPr="004D5AFB">
        <w:rPr>
          <w:color w:val="000000" w:themeColor="text1"/>
          <w:sz w:val="24"/>
          <w:lang w:val="el-GR"/>
        </w:rPr>
        <w:t xml:space="preserve"> </w:t>
      </w:r>
      <w:r w:rsidRPr="004D5AFB">
        <w:rPr>
          <w:color w:val="000000" w:themeColor="text1"/>
          <w:sz w:val="24"/>
          <w:lang w:val="el-GR"/>
        </w:rPr>
        <w:tab/>
      </w:r>
      <w:r w:rsidR="00BE3177" w:rsidRPr="004D5AFB">
        <w:rPr>
          <w:color w:val="000000" w:themeColor="text1"/>
          <w:sz w:val="24"/>
          <w:lang w:val="el-GR"/>
        </w:rPr>
        <w:t>–</w:t>
      </w:r>
      <w:r w:rsidR="00BE3177" w:rsidRPr="004D5AFB">
        <w:rPr>
          <w:color w:val="000000" w:themeColor="text1"/>
          <w:sz w:val="24"/>
          <w:lang w:val="el-GR"/>
        </w:rPr>
        <w:tab/>
        <w:t xml:space="preserve">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(ΕΕ C, C/2025/1799, 4.4.2025, ELI: </w:t>
      </w:r>
      <w:hyperlink r:id="rId6" w:history="1">
        <w:r w:rsidR="00BE3177" w:rsidRPr="004D5AFB">
          <w:rPr>
            <w:rStyle w:val="Hyperlink"/>
            <w:sz w:val="24"/>
            <w:lang w:val="el-GR"/>
          </w:rPr>
          <w:t>http://data.europa.eu/eli/C/2025/1799/oj</w:t>
        </w:r>
      </w:hyperlink>
      <w:r w:rsidR="00BE3177" w:rsidRPr="004D5AFB">
        <w:rPr>
          <w:color w:val="000000" w:themeColor="text1"/>
          <w:sz w:val="24"/>
          <w:lang w:val="el-GR"/>
        </w:rPr>
        <w:t>).</w:t>
      </w:r>
    </w:p>
    <w:p w14:paraId="6B6A555A" w14:textId="75014161" w:rsidR="00BE3177" w:rsidRPr="004D5AFB" w:rsidRDefault="004D5AFB" w:rsidP="004F20A9">
      <w:pPr>
        <w:pStyle w:val="FootnoteText"/>
        <w:tabs>
          <w:tab w:val="left" w:pos="567"/>
          <w:tab w:val="left" w:pos="1134"/>
        </w:tabs>
        <w:spacing w:line="240" w:lineRule="auto"/>
        <w:ind w:left="1134" w:hanging="1134"/>
        <w:rPr>
          <w:color w:val="000000" w:themeColor="text1"/>
          <w:sz w:val="24"/>
          <w:vertAlign w:val="superscript"/>
          <w:lang w:val="el-GR"/>
        </w:rPr>
      </w:pPr>
      <w:r w:rsidRPr="004D5AFB">
        <w:rPr>
          <w:color w:val="000000" w:themeColor="text1"/>
          <w:sz w:val="24"/>
          <w:lang w:val="el-GR"/>
        </w:rPr>
        <w:t xml:space="preserve"> </w:t>
      </w:r>
      <w:r w:rsidRPr="004D5AFB">
        <w:rPr>
          <w:color w:val="000000" w:themeColor="text1"/>
          <w:sz w:val="24"/>
          <w:lang w:val="el-GR"/>
        </w:rPr>
        <w:tab/>
      </w:r>
      <w:r w:rsidR="00BE3177" w:rsidRPr="004D5AFB">
        <w:rPr>
          <w:color w:val="000000" w:themeColor="text1"/>
          <w:sz w:val="24"/>
          <w:lang w:val="el-GR"/>
        </w:rPr>
        <w:t>–</w:t>
      </w:r>
      <w:r w:rsidR="00BE3177" w:rsidRPr="004D5AFB">
        <w:rPr>
          <w:color w:val="000000" w:themeColor="text1"/>
          <w:sz w:val="24"/>
          <w:lang w:val="el-GR"/>
        </w:rPr>
        <w:tab/>
        <w:t xml:space="preserve">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(ΕΕ C, C/2025/1800, 4.4.2025, ELI: </w:t>
      </w:r>
      <w:hyperlink r:id="rId7" w:history="1">
        <w:r w:rsidR="00BE3177" w:rsidRPr="004D5AFB">
          <w:rPr>
            <w:rStyle w:val="Hyperlink"/>
            <w:sz w:val="24"/>
            <w:lang w:val="el-GR"/>
          </w:rPr>
          <w:t>http://data.europa.eu/eli/C/2025/1800/oj</w:t>
        </w:r>
      </w:hyperlink>
      <w:r w:rsidR="00BE3177" w:rsidRPr="004D5AFB">
        <w:rPr>
          <w:color w:val="000000" w:themeColor="text1"/>
          <w:sz w:val="24"/>
          <w:lang w:val="el-GR"/>
        </w:rPr>
        <w:t>).</w:t>
      </w:r>
    </w:p>
    <w:p w14:paraId="695953DB" w14:textId="4C3611FC" w:rsidR="00BE3177" w:rsidRPr="004D5AFB" w:rsidRDefault="004D5AFB" w:rsidP="004F20A9">
      <w:pPr>
        <w:pStyle w:val="FootnoteText"/>
        <w:tabs>
          <w:tab w:val="left" w:pos="567"/>
          <w:tab w:val="left" w:pos="1134"/>
        </w:tabs>
        <w:spacing w:line="240" w:lineRule="auto"/>
        <w:ind w:left="1134" w:hanging="1134"/>
        <w:rPr>
          <w:color w:val="000000" w:themeColor="text1"/>
          <w:sz w:val="24"/>
          <w:vertAlign w:val="superscript"/>
          <w:lang w:val="el-GR"/>
        </w:rPr>
      </w:pPr>
      <w:r w:rsidRPr="004D5AFB">
        <w:rPr>
          <w:color w:val="000000" w:themeColor="text1"/>
          <w:sz w:val="24"/>
          <w:lang w:val="el-GR"/>
        </w:rPr>
        <w:t xml:space="preserve"> </w:t>
      </w:r>
      <w:r w:rsidRPr="004D5AFB">
        <w:rPr>
          <w:color w:val="000000" w:themeColor="text1"/>
          <w:sz w:val="24"/>
          <w:lang w:val="el-GR"/>
        </w:rPr>
        <w:tab/>
      </w:r>
      <w:r w:rsidR="00BE3177" w:rsidRPr="004D5AFB">
        <w:rPr>
          <w:color w:val="000000" w:themeColor="text1"/>
          <w:sz w:val="24"/>
          <w:lang w:val="el-GR"/>
        </w:rPr>
        <w:t>–</w:t>
      </w:r>
      <w:r w:rsidR="00BE3177" w:rsidRPr="004D5AFB">
        <w:rPr>
          <w:color w:val="000000" w:themeColor="text1"/>
          <w:sz w:val="24"/>
          <w:lang w:val="el-GR"/>
        </w:rPr>
        <w:tab/>
        <w:t xml:space="preserve">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(ΕΕ C, C/2025/1801, 4.4.2025, ELI: </w:t>
      </w:r>
      <w:hyperlink r:id="rId8" w:history="1">
        <w:r w:rsidR="00BE3177" w:rsidRPr="004D5AFB">
          <w:rPr>
            <w:rStyle w:val="Hyperlink"/>
            <w:sz w:val="24"/>
            <w:lang w:val="el-GR"/>
          </w:rPr>
          <w:t>http://data.europa.eu/eli/C/2025/1801/oj</w:t>
        </w:r>
      </w:hyperlink>
      <w:r w:rsidR="00BE3177" w:rsidRPr="004D5AFB">
        <w:rPr>
          <w:color w:val="000000" w:themeColor="text1"/>
          <w:sz w:val="24"/>
          <w:lang w:val="el-GR"/>
        </w:rPr>
        <w:t>).</w:t>
      </w:r>
    </w:p>
    <w:p w14:paraId="22F2E3A2" w14:textId="515CD22D" w:rsidR="00BE3177" w:rsidRPr="004D5AFB" w:rsidRDefault="004D5AFB" w:rsidP="004F20A9">
      <w:pPr>
        <w:pStyle w:val="FootnoteText"/>
        <w:tabs>
          <w:tab w:val="left" w:pos="567"/>
          <w:tab w:val="left" w:pos="1134"/>
        </w:tabs>
        <w:spacing w:line="240" w:lineRule="auto"/>
        <w:ind w:left="1134" w:hanging="1134"/>
        <w:rPr>
          <w:color w:val="000000" w:themeColor="text1"/>
          <w:sz w:val="24"/>
          <w:vertAlign w:val="superscript"/>
          <w:lang w:val="el-GR"/>
        </w:rPr>
      </w:pPr>
      <w:r w:rsidRPr="004D5AFB">
        <w:rPr>
          <w:color w:val="000000" w:themeColor="text1"/>
          <w:sz w:val="24"/>
          <w:lang w:val="el-GR"/>
        </w:rPr>
        <w:t xml:space="preserve"> </w:t>
      </w:r>
      <w:r w:rsidRPr="004D5AFB">
        <w:rPr>
          <w:color w:val="000000" w:themeColor="text1"/>
          <w:sz w:val="24"/>
          <w:lang w:val="el-GR"/>
        </w:rPr>
        <w:tab/>
      </w:r>
      <w:r w:rsidR="00BE3177" w:rsidRPr="004D5AFB">
        <w:rPr>
          <w:color w:val="000000" w:themeColor="text1"/>
          <w:sz w:val="24"/>
          <w:lang w:val="el-GR"/>
        </w:rPr>
        <w:t>–</w:t>
      </w:r>
      <w:r w:rsidR="00BE3177" w:rsidRPr="004D5AFB">
        <w:rPr>
          <w:color w:val="000000" w:themeColor="text1"/>
          <w:sz w:val="24"/>
          <w:lang w:val="el-GR"/>
        </w:rPr>
        <w:tab/>
        <w:t xml:space="preserve">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(ΕΕ C, C/2025/1802, 4.4.2025, ELI: </w:t>
      </w:r>
      <w:hyperlink r:id="rId9" w:history="1">
        <w:r w:rsidR="00BE3177" w:rsidRPr="004D5AFB">
          <w:rPr>
            <w:rStyle w:val="Hyperlink"/>
            <w:sz w:val="24"/>
            <w:lang w:val="el-GR"/>
          </w:rPr>
          <w:t>http://data.europa.eu/eli/C/2025/1802/oj</w:t>
        </w:r>
      </w:hyperlink>
      <w:r w:rsidR="00BE3177" w:rsidRPr="004D5AFB">
        <w:rPr>
          <w:color w:val="000000" w:themeColor="text1"/>
          <w:sz w:val="24"/>
          <w:lang w:val="el-GR"/>
        </w:rPr>
        <w:t>).</w:t>
      </w:r>
    </w:p>
    <w:p w14:paraId="5B1386FB" w14:textId="70F7FC2F" w:rsidR="00BE3177" w:rsidRPr="004D5AFB" w:rsidRDefault="004D5AFB" w:rsidP="004F20A9">
      <w:pPr>
        <w:pStyle w:val="FootnoteText"/>
        <w:tabs>
          <w:tab w:val="left" w:pos="567"/>
          <w:tab w:val="left" w:pos="1134"/>
        </w:tabs>
        <w:spacing w:line="240" w:lineRule="auto"/>
        <w:ind w:left="1134" w:hanging="1134"/>
        <w:rPr>
          <w:color w:val="000000" w:themeColor="text1"/>
          <w:sz w:val="24"/>
          <w:vertAlign w:val="superscript"/>
          <w:lang w:val="el-GR"/>
        </w:rPr>
      </w:pPr>
      <w:r w:rsidRPr="004D5AFB">
        <w:rPr>
          <w:color w:val="000000" w:themeColor="text1"/>
          <w:sz w:val="24"/>
          <w:lang w:val="el-GR"/>
        </w:rPr>
        <w:t xml:space="preserve"> </w:t>
      </w:r>
      <w:r w:rsidRPr="004D5AFB">
        <w:rPr>
          <w:color w:val="000000" w:themeColor="text1"/>
          <w:sz w:val="24"/>
          <w:lang w:val="el-GR"/>
        </w:rPr>
        <w:tab/>
      </w:r>
      <w:r w:rsidR="00BE3177" w:rsidRPr="004D5AFB">
        <w:rPr>
          <w:color w:val="000000" w:themeColor="text1"/>
          <w:sz w:val="24"/>
          <w:lang w:val="el-GR"/>
        </w:rPr>
        <w:t>–</w:t>
      </w:r>
      <w:r w:rsidR="00BE3177" w:rsidRPr="004D5AFB">
        <w:rPr>
          <w:color w:val="000000" w:themeColor="text1"/>
          <w:sz w:val="24"/>
          <w:lang w:val="el-GR"/>
        </w:rPr>
        <w:tab/>
        <w:t xml:space="preserve">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(ΕΕ C, C/2025/1803, 4.4.2025, ELI: </w:t>
      </w:r>
      <w:hyperlink r:id="rId10" w:history="1">
        <w:r w:rsidR="00BE3177" w:rsidRPr="004D5AFB">
          <w:rPr>
            <w:rStyle w:val="Hyperlink"/>
            <w:sz w:val="24"/>
            <w:lang w:val="el-GR"/>
          </w:rPr>
          <w:t>http://data.europa.eu/eli/C/2025/1803/oj</w:t>
        </w:r>
      </w:hyperlink>
      <w:r w:rsidR="00BE3177" w:rsidRPr="004D5AFB">
        <w:rPr>
          <w:color w:val="000000" w:themeColor="text1"/>
          <w:sz w:val="24"/>
          <w:lang w:val="el-GR"/>
        </w:rPr>
        <w:t>).</w:t>
      </w:r>
    </w:p>
    <w:p w14:paraId="172E2FD1" w14:textId="7492903B" w:rsidR="00BE3177" w:rsidRPr="004D5AFB" w:rsidRDefault="004D5AFB" w:rsidP="004F20A9">
      <w:pPr>
        <w:pStyle w:val="FootnoteText"/>
        <w:tabs>
          <w:tab w:val="left" w:pos="567"/>
          <w:tab w:val="left" w:pos="1134"/>
        </w:tabs>
        <w:spacing w:line="240" w:lineRule="auto"/>
        <w:ind w:left="1134" w:hanging="1134"/>
        <w:rPr>
          <w:color w:val="000000" w:themeColor="text1"/>
          <w:sz w:val="24"/>
          <w:vertAlign w:val="superscript"/>
          <w:lang w:val="el-GR"/>
        </w:rPr>
      </w:pPr>
      <w:r w:rsidRPr="004D5AFB">
        <w:rPr>
          <w:color w:val="000000" w:themeColor="text1"/>
          <w:sz w:val="24"/>
          <w:lang w:val="el-GR"/>
        </w:rPr>
        <w:t xml:space="preserve"> </w:t>
      </w:r>
      <w:r w:rsidRPr="004D5AFB">
        <w:rPr>
          <w:color w:val="000000" w:themeColor="text1"/>
          <w:sz w:val="24"/>
          <w:lang w:val="el-GR"/>
        </w:rPr>
        <w:tab/>
      </w:r>
      <w:r w:rsidR="00BE3177" w:rsidRPr="004D5AFB">
        <w:rPr>
          <w:color w:val="000000" w:themeColor="text1"/>
          <w:sz w:val="24"/>
          <w:lang w:val="el-GR"/>
        </w:rPr>
        <w:t>–</w:t>
      </w:r>
      <w:r w:rsidR="00BE3177" w:rsidRPr="004D5AFB">
        <w:rPr>
          <w:color w:val="000000" w:themeColor="text1"/>
          <w:sz w:val="24"/>
          <w:lang w:val="el-GR"/>
        </w:rPr>
        <w:tab/>
        <w:t xml:space="preserve">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(ΕΕ C, C/2025/1804, 4.4.2025, ELI: </w:t>
      </w:r>
      <w:hyperlink r:id="rId11" w:history="1">
        <w:r w:rsidR="00BE3177" w:rsidRPr="004D5AFB">
          <w:rPr>
            <w:rStyle w:val="Hyperlink"/>
            <w:sz w:val="24"/>
            <w:lang w:val="el-GR"/>
          </w:rPr>
          <w:t>http://data.europa.eu/eli/C/2025/1804/oj</w:t>
        </w:r>
      </w:hyperlink>
      <w:r w:rsidR="00BE3177" w:rsidRPr="004D5AFB">
        <w:rPr>
          <w:color w:val="000000" w:themeColor="text1"/>
          <w:sz w:val="24"/>
          <w:lang w:val="el-GR"/>
        </w:rPr>
        <w:t>).</w:t>
      </w:r>
    </w:p>
    <w:p w14:paraId="61ED163A" w14:textId="35B41CB3" w:rsidR="00BE3177" w:rsidRPr="004D5AFB" w:rsidRDefault="004D5AFB" w:rsidP="004F20A9">
      <w:pPr>
        <w:pStyle w:val="FootnoteText"/>
        <w:tabs>
          <w:tab w:val="left" w:pos="567"/>
          <w:tab w:val="left" w:pos="1134"/>
        </w:tabs>
        <w:spacing w:line="240" w:lineRule="auto"/>
        <w:ind w:left="1134" w:hanging="1134"/>
        <w:rPr>
          <w:sz w:val="24"/>
          <w:vertAlign w:val="superscript"/>
          <w:lang w:val="el-GR"/>
        </w:rPr>
      </w:pPr>
      <w:r w:rsidRPr="004D5AFB">
        <w:rPr>
          <w:color w:val="000000" w:themeColor="text1"/>
          <w:sz w:val="24"/>
          <w:lang w:val="el-GR"/>
        </w:rPr>
        <w:t xml:space="preserve"> </w:t>
      </w:r>
      <w:r w:rsidRPr="004D5AFB">
        <w:rPr>
          <w:color w:val="000000" w:themeColor="text1"/>
          <w:sz w:val="24"/>
          <w:lang w:val="el-GR"/>
        </w:rPr>
        <w:tab/>
      </w:r>
      <w:r w:rsidR="00BE3177" w:rsidRPr="004D5AFB">
        <w:rPr>
          <w:color w:val="000000" w:themeColor="text1"/>
          <w:sz w:val="24"/>
          <w:lang w:val="el-GR"/>
        </w:rPr>
        <w:t>–</w:t>
      </w:r>
      <w:r w:rsidR="00BE3177" w:rsidRPr="004D5AFB">
        <w:rPr>
          <w:color w:val="000000" w:themeColor="text1"/>
          <w:sz w:val="24"/>
          <w:lang w:val="el-GR"/>
        </w:rPr>
        <w:tab/>
      </w:r>
      <w:r w:rsidR="00BE3177" w:rsidRPr="004D5AFB">
        <w:rPr>
          <w:sz w:val="24"/>
          <w:lang w:val="el-GR"/>
        </w:rPr>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 (ΕΕ C, C/2025/2246, 29.4.2025, ELI: </w:t>
      </w:r>
      <w:hyperlink r:id="rId12" w:tooltip="Πρόσβαση στο εν λόγω κείμενο μέσω του ELI URI." w:history="1">
        <w:r w:rsidR="00BE3177" w:rsidRPr="004D5AFB">
          <w:rPr>
            <w:rStyle w:val="Hyperlink"/>
            <w:sz w:val="24"/>
            <w:lang w:val="el-GR"/>
          </w:rPr>
          <w:t>http://data.europa.eu/eli/C/2025/2246/oj</w:t>
        </w:r>
      </w:hyperlink>
      <w:r w:rsidR="00BE3177" w:rsidRPr="004D5AFB">
        <w:rPr>
          <w:sz w:val="24"/>
          <w:lang w:val="el-GR"/>
        </w:rPr>
        <w:t>).</w:t>
      </w:r>
    </w:p>
    <w:p w14:paraId="5F7A9CD7" w14:textId="59BDBCD8" w:rsidR="00BE3177" w:rsidRPr="004D5AFB" w:rsidRDefault="004D5AFB" w:rsidP="004F20A9">
      <w:pPr>
        <w:pStyle w:val="FootnoteText"/>
        <w:tabs>
          <w:tab w:val="left" w:pos="567"/>
          <w:tab w:val="left" w:pos="1134"/>
        </w:tabs>
        <w:spacing w:line="240" w:lineRule="auto"/>
        <w:ind w:left="1134" w:hanging="1134"/>
        <w:rPr>
          <w:sz w:val="24"/>
          <w:vertAlign w:val="superscript"/>
          <w:lang w:val="el-GR"/>
        </w:rPr>
      </w:pPr>
      <w:r w:rsidRPr="004D5AFB">
        <w:rPr>
          <w:sz w:val="24"/>
          <w:lang w:val="el-GR"/>
        </w:rPr>
        <w:t xml:space="preserve"> </w:t>
      </w:r>
      <w:r w:rsidRPr="004D5AFB">
        <w:rPr>
          <w:sz w:val="24"/>
          <w:lang w:val="el-GR"/>
        </w:rPr>
        <w:tab/>
      </w:r>
      <w:r w:rsidR="00BE3177" w:rsidRPr="004D5AFB">
        <w:rPr>
          <w:sz w:val="24"/>
          <w:lang w:val="el-GR"/>
        </w:rPr>
        <w:t>–</w:t>
      </w:r>
      <w:r w:rsidR="00BE3177" w:rsidRPr="004D5AFB">
        <w:rPr>
          <w:sz w:val="24"/>
          <w:lang w:val="el-GR"/>
        </w:rPr>
        <w:tab/>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 (ΕΕ C, C/2025/2247, 29.4.2025, ELI: </w:t>
      </w:r>
      <w:hyperlink r:id="rId13" w:tooltip="Πρόσβαση στο εν λόγω κείμενο μέσω του ELI URI." w:history="1">
        <w:r w:rsidR="00BE3177" w:rsidRPr="004D5AFB">
          <w:rPr>
            <w:rStyle w:val="Hyperlink"/>
            <w:sz w:val="24"/>
            <w:lang w:val="el-GR"/>
          </w:rPr>
          <w:t>http://data.europa.eu/eli/C/2025/2247/oj</w:t>
        </w:r>
      </w:hyperlink>
      <w:r w:rsidR="00BE3177" w:rsidRPr="004D5AFB">
        <w:rPr>
          <w:sz w:val="24"/>
          <w:lang w:val="el-GR"/>
        </w:rPr>
        <w:t>).</w:t>
      </w:r>
    </w:p>
    <w:p w14:paraId="7DDFC1EA" w14:textId="429B8AE2" w:rsidR="00BE3177" w:rsidRPr="004D5AFB" w:rsidRDefault="004D5AFB" w:rsidP="004F20A9">
      <w:pPr>
        <w:pStyle w:val="FootnoteText"/>
        <w:tabs>
          <w:tab w:val="left" w:pos="567"/>
          <w:tab w:val="left" w:pos="1134"/>
        </w:tabs>
        <w:spacing w:line="240" w:lineRule="auto"/>
        <w:ind w:left="1134" w:hanging="1134"/>
        <w:rPr>
          <w:sz w:val="24"/>
          <w:vertAlign w:val="superscript"/>
          <w:lang w:val="el-GR"/>
        </w:rPr>
      </w:pPr>
      <w:r w:rsidRPr="004D5AFB">
        <w:rPr>
          <w:sz w:val="24"/>
          <w:lang w:val="el-GR"/>
        </w:rPr>
        <w:t xml:space="preserve"> </w:t>
      </w:r>
      <w:r w:rsidRPr="004D5AFB">
        <w:rPr>
          <w:sz w:val="24"/>
          <w:lang w:val="el-GR"/>
        </w:rPr>
        <w:tab/>
      </w:r>
      <w:r w:rsidR="00BE3177" w:rsidRPr="004D5AFB">
        <w:rPr>
          <w:sz w:val="24"/>
          <w:lang w:val="el-GR"/>
        </w:rPr>
        <w:t>–</w:t>
      </w:r>
      <w:r w:rsidR="00BE3177" w:rsidRPr="004D5AFB">
        <w:rPr>
          <w:sz w:val="24"/>
          <w:lang w:val="el-GR"/>
        </w:rPr>
        <w:tab/>
        <w:t xml:space="preserve">Ψήφισμα του Ευρωπαϊκού Κοινοβουλίου της 8ης Μαΐου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 </w:t>
      </w:r>
      <w:r w:rsidR="004F20A9">
        <w:rPr>
          <w:sz w:val="24"/>
          <w:lang w:val="el-GR"/>
        </w:rPr>
        <w:t xml:space="preserve">(Κείμενα που εγκρίθηκαν, </w:t>
      </w:r>
      <w:r w:rsidR="00BE3177" w:rsidRPr="004D5AFB">
        <w:rPr>
          <w:sz w:val="24"/>
          <w:lang w:val="el-GR"/>
        </w:rPr>
        <w:t>P10_TA(2025)0106)</w:t>
      </w:r>
      <w:r w:rsidR="004F20A9">
        <w:rPr>
          <w:sz w:val="24"/>
          <w:lang w:val="el-GR"/>
        </w:rPr>
        <w:t>)</w:t>
      </w:r>
      <w:r w:rsidR="00BE3177" w:rsidRPr="004D5AFB">
        <w:rPr>
          <w:sz w:val="24"/>
          <w:lang w:val="el-GR"/>
        </w:rPr>
        <w:t>.</w:t>
      </w:r>
    </w:p>
    <w:p w14:paraId="0C1F17BC" w14:textId="03B348F0" w:rsidR="00BE3177" w:rsidRPr="004D5AFB" w:rsidRDefault="004D5AFB" w:rsidP="004F20A9">
      <w:pPr>
        <w:pStyle w:val="FootnoteText"/>
        <w:tabs>
          <w:tab w:val="left" w:pos="567"/>
          <w:tab w:val="left" w:pos="1134"/>
        </w:tabs>
        <w:spacing w:line="240" w:lineRule="auto"/>
        <w:ind w:left="1134" w:hanging="1134"/>
        <w:rPr>
          <w:sz w:val="24"/>
          <w:vertAlign w:val="superscript"/>
          <w:lang w:val="el-GR"/>
        </w:rPr>
      </w:pPr>
      <w:r w:rsidRPr="004D5AFB">
        <w:rPr>
          <w:sz w:val="24"/>
          <w:lang w:val="el-GR"/>
        </w:rPr>
        <w:t xml:space="preserve"> </w:t>
      </w:r>
      <w:r w:rsidRPr="004D5AFB">
        <w:rPr>
          <w:sz w:val="24"/>
          <w:lang w:val="el-GR"/>
        </w:rPr>
        <w:tab/>
      </w:r>
      <w:r w:rsidR="00BE3177" w:rsidRPr="004D5AFB">
        <w:rPr>
          <w:sz w:val="24"/>
          <w:lang w:val="el-GR"/>
        </w:rPr>
        <w:t>–</w:t>
      </w:r>
      <w:r w:rsidR="00BE3177" w:rsidRPr="004D5AFB">
        <w:rPr>
          <w:sz w:val="24"/>
          <w:lang w:val="el-GR"/>
        </w:rPr>
        <w:tab/>
        <w:t xml:space="preserve">Ψήφισμα του Ευρωπαϊκού Κοινοβουλίου της 8ης Οκτωβρίου 2025 σχετικά με την εκτελεστική απόφαση (ΕΕ) 2025/1898 της Επιτροπής της 22ας Σεπτεμβρίου 2025 για την έγκριση της διάθεσης στην αγορά προϊόντων που περιέχουν, αποτελούνται ή παράγονται από γενετικώς τροποποιημένο αραβόσιτο DP51291 σύμφωνα με τον κανονισμό (ΕΚ) αριθ. 1829/2003 του Ευρωπαϊκού Κοινοβουλίου και του Συμβουλίου </w:t>
      </w:r>
      <w:r w:rsidR="004F20A9">
        <w:rPr>
          <w:sz w:val="24"/>
          <w:lang w:val="el-GR"/>
        </w:rPr>
        <w:t xml:space="preserve">(Κείμενα που εγκρίθηκαν, </w:t>
      </w:r>
      <w:r w:rsidR="00BE3177" w:rsidRPr="004D5AFB">
        <w:rPr>
          <w:sz w:val="24"/>
          <w:lang w:val="el-GR"/>
        </w:rPr>
        <w:t>P10_TA(2025)0222</w:t>
      </w:r>
      <w:r w:rsidR="004F20A9">
        <w:rPr>
          <w:sz w:val="24"/>
          <w:lang w:val="el-GR"/>
        </w:rPr>
        <w:t>)</w:t>
      </w:r>
      <w:r w:rsidR="00BE3177" w:rsidRPr="004D5AFB">
        <w:rPr>
          <w:sz w:val="24"/>
          <w:lang w:val="el-GR"/>
        </w:rPr>
        <w:t>.</w:t>
      </w:r>
    </w:p>
    <w:p w14:paraId="1FDE462A" w14:textId="32D5E018" w:rsidR="00BE3177" w:rsidRPr="004D5AFB" w:rsidRDefault="004D5AFB" w:rsidP="004F20A9">
      <w:pPr>
        <w:pStyle w:val="FootnoteText"/>
        <w:tabs>
          <w:tab w:val="left" w:pos="567"/>
          <w:tab w:val="left" w:pos="1134"/>
        </w:tabs>
        <w:spacing w:line="240" w:lineRule="auto"/>
        <w:ind w:left="1134" w:hanging="1134"/>
        <w:rPr>
          <w:sz w:val="24"/>
          <w:vertAlign w:val="superscript"/>
          <w:lang w:val="el-GR"/>
        </w:rPr>
      </w:pPr>
      <w:bookmarkStart w:id="7" w:name="_Hlk215330280"/>
      <w:r w:rsidRPr="004D5AFB">
        <w:rPr>
          <w:sz w:val="24"/>
          <w:lang w:val="el-GR"/>
        </w:rPr>
        <w:t xml:space="preserve"> </w:t>
      </w:r>
      <w:r w:rsidRPr="004D5AFB">
        <w:rPr>
          <w:sz w:val="24"/>
          <w:lang w:val="el-GR"/>
        </w:rPr>
        <w:tab/>
      </w:r>
      <w:r w:rsidR="00BE3177" w:rsidRPr="004D5AFB">
        <w:rPr>
          <w:sz w:val="24"/>
          <w:lang w:val="el-GR"/>
        </w:rPr>
        <w:t>–</w:t>
      </w:r>
      <w:r w:rsidR="00BE3177" w:rsidRPr="004D5AFB">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DAS1131, σύμφωνα με τον κανονισμό (ΕΚ) αριθ. 1829/2003 του Ευρωπαϊκού Κοινοβουλίου και του Συμβουλίου </w:t>
      </w:r>
      <w:r w:rsidR="004F20A9">
        <w:rPr>
          <w:sz w:val="24"/>
          <w:lang w:val="el-GR"/>
        </w:rPr>
        <w:t xml:space="preserve">(Κείμενα που εγκρίθηκαν, </w:t>
      </w:r>
      <w:r w:rsidR="00BE3177" w:rsidRPr="004F20A9">
        <w:rPr>
          <w:sz w:val="24"/>
          <w:lang w:val="el-GR"/>
        </w:rPr>
        <w:t>P10</w:t>
      </w:r>
      <w:r w:rsidR="00BE3177" w:rsidRPr="004D5AFB">
        <w:rPr>
          <w:sz w:val="24"/>
          <w:lang w:val="el-GR"/>
        </w:rPr>
        <w:t>_TA(2025)0288</w:t>
      </w:r>
      <w:r w:rsidR="004F20A9">
        <w:rPr>
          <w:sz w:val="24"/>
          <w:lang w:val="el-GR"/>
        </w:rPr>
        <w:t>)</w:t>
      </w:r>
      <w:r w:rsidR="00BE3177" w:rsidRPr="004D5AFB">
        <w:rPr>
          <w:sz w:val="24"/>
          <w:lang w:val="el-GR"/>
        </w:rPr>
        <w:t>.</w:t>
      </w:r>
    </w:p>
    <w:p w14:paraId="2D367BF2" w14:textId="4D18DA60" w:rsidR="00BE3177" w:rsidRPr="004D5AFB" w:rsidRDefault="004D5AFB" w:rsidP="004F20A9">
      <w:pPr>
        <w:pStyle w:val="FootnoteText"/>
        <w:tabs>
          <w:tab w:val="left" w:pos="567"/>
          <w:tab w:val="left" w:pos="1134"/>
        </w:tabs>
        <w:spacing w:line="240" w:lineRule="auto"/>
        <w:ind w:left="1134" w:hanging="1134"/>
        <w:rPr>
          <w:sz w:val="24"/>
          <w:vertAlign w:val="superscript"/>
          <w:lang w:val="el-GR"/>
        </w:rPr>
      </w:pPr>
      <w:r w:rsidRPr="004D5AFB">
        <w:rPr>
          <w:sz w:val="24"/>
          <w:lang w:val="el-GR"/>
        </w:rPr>
        <w:t xml:space="preserve"> </w:t>
      </w:r>
      <w:r w:rsidRPr="004D5AFB">
        <w:rPr>
          <w:sz w:val="24"/>
          <w:lang w:val="el-GR"/>
        </w:rPr>
        <w:tab/>
      </w:r>
      <w:r w:rsidR="00BE3177" w:rsidRPr="004D5AFB">
        <w:rPr>
          <w:sz w:val="24"/>
          <w:lang w:val="el-GR"/>
        </w:rPr>
        <w:t>–</w:t>
      </w:r>
      <w:r w:rsidR="00BE3177" w:rsidRPr="004D5AFB">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MON 88913 (MON-88913-8), σύμφωνα με τον κανονισμό (ΕΚ) αριθ. 1829/2003 του Ευρωπαϊκού Κοινοβουλίου και του Συμβουλίου </w:t>
      </w:r>
      <w:r w:rsidR="004F20A9" w:rsidRPr="004F20A9">
        <w:rPr>
          <w:sz w:val="24"/>
          <w:lang w:val="el-GR"/>
        </w:rPr>
        <w:t xml:space="preserve">(Κείμενα που εγκρίθηκαν, </w:t>
      </w:r>
      <w:r w:rsidR="00BE3177" w:rsidRPr="004D5AFB">
        <w:rPr>
          <w:sz w:val="24"/>
          <w:lang w:val="el-GR"/>
        </w:rPr>
        <w:t>P10_TA(2025)0289</w:t>
      </w:r>
      <w:r w:rsidR="004F20A9">
        <w:rPr>
          <w:sz w:val="24"/>
          <w:lang w:val="el-GR"/>
        </w:rPr>
        <w:t>)</w:t>
      </w:r>
    </w:p>
    <w:p w14:paraId="1E3DBFB8" w14:textId="0935F3F4" w:rsidR="00BE3177" w:rsidRPr="004D5AFB" w:rsidRDefault="004D5AFB" w:rsidP="004F20A9">
      <w:pPr>
        <w:pStyle w:val="FootnoteText"/>
        <w:tabs>
          <w:tab w:val="left" w:pos="567"/>
          <w:tab w:val="left" w:pos="1134"/>
        </w:tabs>
        <w:spacing w:line="240" w:lineRule="auto"/>
        <w:ind w:left="1134" w:hanging="1134"/>
        <w:rPr>
          <w:sz w:val="24"/>
          <w:vertAlign w:val="superscript"/>
          <w:lang w:val="el-GR"/>
        </w:rPr>
      </w:pPr>
      <w:r w:rsidRPr="004D5AFB">
        <w:rPr>
          <w:sz w:val="24"/>
          <w:lang w:val="el-GR"/>
        </w:rPr>
        <w:t xml:space="preserve"> </w:t>
      </w:r>
      <w:r w:rsidRPr="004D5AFB">
        <w:rPr>
          <w:sz w:val="24"/>
          <w:lang w:val="el-GR"/>
        </w:rPr>
        <w:tab/>
      </w:r>
      <w:r w:rsidR="00BE3177" w:rsidRPr="004D5AFB">
        <w:rPr>
          <w:sz w:val="24"/>
          <w:lang w:val="el-GR"/>
        </w:rPr>
        <w:t>–</w:t>
      </w:r>
      <w:r w:rsidR="00BE3177" w:rsidRPr="004D5AFB">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ελαιοκράμβη MON 88302, σύμφωνα με τον κανονισμό (ΕΚ) αριθ. 1829/2003 του Ευρωπαϊκού Κοινοβουλίου και του Συμβουλίου </w:t>
      </w:r>
      <w:r w:rsidR="004F20A9" w:rsidRPr="004F20A9">
        <w:rPr>
          <w:sz w:val="24"/>
          <w:lang w:val="el-GR"/>
        </w:rPr>
        <w:t xml:space="preserve">(Κείμενα που εγκρίθηκαν, </w:t>
      </w:r>
      <w:r w:rsidR="00BE3177" w:rsidRPr="004D5AFB">
        <w:rPr>
          <w:sz w:val="24"/>
          <w:lang w:val="el-GR"/>
        </w:rPr>
        <w:t>P10_TA(2025)0290</w:t>
      </w:r>
      <w:r w:rsidR="004F20A9">
        <w:rPr>
          <w:sz w:val="24"/>
          <w:lang w:val="el-GR"/>
        </w:rPr>
        <w:t>)</w:t>
      </w:r>
      <w:r w:rsidR="00BE3177" w:rsidRPr="004D5AFB">
        <w:rPr>
          <w:sz w:val="24"/>
          <w:lang w:val="el-GR"/>
        </w:rPr>
        <w:t>.</w:t>
      </w:r>
    </w:p>
    <w:p w14:paraId="41F0B04A" w14:textId="2A335FAA" w:rsidR="00BE3177" w:rsidRPr="004D5AFB" w:rsidRDefault="004D5AFB" w:rsidP="004F20A9">
      <w:pPr>
        <w:pStyle w:val="FootnoteText"/>
        <w:tabs>
          <w:tab w:val="left" w:pos="567"/>
          <w:tab w:val="left" w:pos="1134"/>
        </w:tabs>
        <w:spacing w:line="240" w:lineRule="auto"/>
        <w:ind w:left="1134" w:hanging="1134"/>
        <w:rPr>
          <w:sz w:val="24"/>
          <w:vertAlign w:val="superscript"/>
          <w:lang w:val="el-GR"/>
        </w:rPr>
      </w:pPr>
      <w:r w:rsidRPr="004D5AFB">
        <w:rPr>
          <w:sz w:val="24"/>
          <w:lang w:val="el-GR"/>
        </w:rPr>
        <w:t xml:space="preserve"> </w:t>
      </w:r>
      <w:r w:rsidRPr="004D5AFB">
        <w:rPr>
          <w:sz w:val="24"/>
          <w:lang w:val="el-GR"/>
        </w:rPr>
        <w:tab/>
      </w:r>
      <w:r w:rsidR="00BE3177" w:rsidRPr="004D5AFB">
        <w:rPr>
          <w:sz w:val="24"/>
          <w:lang w:val="el-GR"/>
        </w:rPr>
        <w:t>–</w:t>
      </w:r>
      <w:r w:rsidR="00BE3177" w:rsidRPr="004D5AFB">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σόγια MON 87708, σύμφωνα με τον κανονισμό (ΕΚ) αριθ. 1829/2003 του Ευρωπαϊκού Κοινοβουλίου και του Συμβουλίου </w:t>
      </w:r>
      <w:r w:rsidR="004F20A9" w:rsidRPr="004F20A9">
        <w:rPr>
          <w:sz w:val="24"/>
          <w:lang w:val="el-GR"/>
        </w:rPr>
        <w:t xml:space="preserve">(Κείμενα που εγκρίθηκαν, </w:t>
      </w:r>
      <w:r w:rsidR="00BE3177" w:rsidRPr="004D5AFB">
        <w:rPr>
          <w:sz w:val="24"/>
          <w:lang w:val="el-GR"/>
        </w:rPr>
        <w:t>P10_TA(2025)0291</w:t>
      </w:r>
      <w:r w:rsidR="004F20A9">
        <w:rPr>
          <w:sz w:val="24"/>
          <w:lang w:val="el-GR"/>
        </w:rPr>
        <w:t>)</w:t>
      </w:r>
      <w:r w:rsidR="00BE3177" w:rsidRPr="004D5AFB">
        <w:rPr>
          <w:sz w:val="24"/>
          <w:lang w:val="el-GR"/>
        </w:rPr>
        <w:t>.</w:t>
      </w:r>
    </w:p>
    <w:p w14:paraId="49A7D46F" w14:textId="1792CC00" w:rsidR="00BE3177" w:rsidRPr="004D5AFB" w:rsidRDefault="004D5AFB" w:rsidP="004F20A9">
      <w:pPr>
        <w:pStyle w:val="FootnoteText"/>
        <w:tabs>
          <w:tab w:val="left" w:pos="567"/>
          <w:tab w:val="left" w:pos="1134"/>
        </w:tabs>
        <w:spacing w:line="240" w:lineRule="auto"/>
        <w:ind w:left="1134" w:hanging="1134"/>
        <w:rPr>
          <w:sz w:val="24"/>
          <w:lang w:val="el-GR"/>
        </w:rPr>
      </w:pPr>
      <w:r w:rsidRPr="004D5AFB">
        <w:rPr>
          <w:sz w:val="24"/>
          <w:lang w:val="el-GR"/>
        </w:rPr>
        <w:t xml:space="preserve"> </w:t>
      </w:r>
      <w:r w:rsidRPr="004D5AFB">
        <w:rPr>
          <w:sz w:val="24"/>
          <w:lang w:val="el-GR"/>
        </w:rPr>
        <w:tab/>
      </w:r>
      <w:r w:rsidR="00BE3177" w:rsidRPr="004D5AFB">
        <w:rPr>
          <w:sz w:val="24"/>
          <w:lang w:val="el-GR"/>
        </w:rPr>
        <w:t>–</w:t>
      </w:r>
      <w:r w:rsidR="00BE3177" w:rsidRPr="004D5AFB">
        <w:rPr>
          <w:sz w:val="24"/>
          <w:lang w:val="el-GR"/>
        </w:rPr>
        <w:tab/>
        <w:t xml:space="preserve">Ψήφισμα του Ευρωπαϊκού Κοινοβουλίου της 25ης Νοεμβρίου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87427, σύμφωνα με τον κανονισμό (ΕΚ) αριθ. 1829/2003 του Ευρωπαϊκού Κοινοβουλίου και του Συμβουλίου </w:t>
      </w:r>
      <w:r w:rsidR="004F20A9" w:rsidRPr="004F20A9">
        <w:rPr>
          <w:sz w:val="24"/>
          <w:lang w:val="el-GR"/>
        </w:rPr>
        <w:t xml:space="preserve">(Κείμενα που εγκρίθηκαν, </w:t>
      </w:r>
      <w:r w:rsidR="00BE3177" w:rsidRPr="004D5AFB">
        <w:rPr>
          <w:sz w:val="24"/>
          <w:lang w:val="el-GR"/>
        </w:rPr>
        <w:t>P10_TA(2025)0292</w:t>
      </w:r>
      <w:r w:rsidR="004F20A9">
        <w:rPr>
          <w:sz w:val="24"/>
          <w:lang w:val="el-GR"/>
        </w:rPr>
        <w:t>)</w:t>
      </w:r>
      <w:r w:rsidR="00BE3177" w:rsidRPr="004D5AFB">
        <w:rPr>
          <w:sz w:val="24"/>
          <w:lang w:val="el-GR"/>
        </w:rPr>
        <w:t>.</w:t>
      </w:r>
      <w:bookmarkEnd w:id="7"/>
    </w:p>
  </w:footnote>
  <w:footnote w:id="5">
    <w:p w14:paraId="468D8017" w14:textId="4015502F" w:rsidR="00BE3177" w:rsidRPr="004D5AFB" w:rsidRDefault="00BE3177" w:rsidP="004F20A9">
      <w:pPr>
        <w:pStyle w:val="FootnoteText"/>
        <w:spacing w:line="240" w:lineRule="auto"/>
        <w:ind w:left="567" w:hanging="567"/>
        <w:rPr>
          <w:sz w:val="24"/>
          <w:lang w:val="el-GR"/>
        </w:rPr>
      </w:pPr>
      <w:r w:rsidRPr="004D5AFB">
        <w:rPr>
          <w:rStyle w:val="FootnoteReference"/>
          <w:sz w:val="24"/>
          <w:lang w:val="el-GR"/>
        </w:rPr>
        <w:footnoteRef/>
      </w:r>
      <w:r w:rsidR="004D5AFB" w:rsidRPr="004D5AFB">
        <w:rPr>
          <w:sz w:val="24"/>
          <w:lang w:val="el-GR"/>
        </w:rPr>
        <w:t xml:space="preserve"> </w:t>
      </w:r>
      <w:r w:rsidR="004D5AFB" w:rsidRPr="004D5AFB">
        <w:rPr>
          <w:sz w:val="24"/>
          <w:lang w:val="el-GR"/>
        </w:rPr>
        <w:tab/>
      </w:r>
      <w:r w:rsidRPr="004D5AFB">
        <w:rPr>
          <w:sz w:val="24"/>
          <w:lang w:val="el-GR"/>
        </w:rPr>
        <w:t xml:space="preserve">Εκτελεστική απόφαση (ΕΕ) 2015/684 της Επιτροπής, της 24ης Απριλίου 2015, για την έγκριση της διάθεσης στην αγορά του γενετικώς τροποποιημένου αραβοσίτου της σειράς NK603 (MON-ØØ6Ø3-6) και την ανανέωση των υφιστάμενων προϊόντων του αραβοσίτου NK603 (MON-ØØ6Ø3-6) σύμφωνα με τον κανονισμό (ΕΚ) αριθ. </w:t>
      </w:r>
      <w:r w:rsidRPr="004D5AFB">
        <w:rPr>
          <w:sz w:val="24"/>
          <w:lang w:val="el-GR"/>
        </w:rPr>
        <w:t>1829/2003 του Ευρωπαϊκού Κοινοβουλίου και του Συμβουλίου (ΕΕ L 112</w:t>
      </w:r>
      <w:r w:rsidR="00A70C46" w:rsidRPr="00A70C46">
        <w:rPr>
          <w:sz w:val="24"/>
          <w:lang w:val="el-GR"/>
        </w:rPr>
        <w:t xml:space="preserve"> </w:t>
      </w:r>
      <w:r w:rsidR="00A70C46">
        <w:rPr>
          <w:sz w:val="24"/>
          <w:lang w:val="el-GR"/>
        </w:rPr>
        <w:t>της</w:t>
      </w:r>
      <w:r w:rsidRPr="004D5AFB">
        <w:rPr>
          <w:sz w:val="24"/>
          <w:lang w:val="el-GR"/>
        </w:rPr>
        <w:t xml:space="preserve"> 30.4.2015, σ. 6, ELI: </w:t>
      </w:r>
      <w:hyperlink r:id="rId14" w:tooltip="Πρόσβαση στο εν λόγω κείμενο μέσω του ELI URI." w:history="1">
        <w:r w:rsidRPr="004D5AFB">
          <w:rPr>
            <w:rStyle w:val="Hyperlink"/>
            <w:sz w:val="24"/>
            <w:lang w:val="el-GR"/>
          </w:rPr>
          <w:t>http://data.europa.eu/eli/dec_impl/2015/684/oj</w:t>
        </w:r>
      </w:hyperlink>
      <w:r w:rsidRPr="004D5AFB">
        <w:rPr>
          <w:sz w:val="24"/>
          <w:lang w:val="el-GR"/>
        </w:rPr>
        <w:t>).</w:t>
      </w:r>
    </w:p>
  </w:footnote>
  <w:footnote w:id="6">
    <w:p w14:paraId="3D77BD0F" w14:textId="7859BDF8" w:rsidR="00BE3177" w:rsidRPr="004F20A9" w:rsidRDefault="00BE3177" w:rsidP="004F20A9">
      <w:pPr>
        <w:pStyle w:val="FootnoteText"/>
        <w:spacing w:line="240" w:lineRule="auto"/>
        <w:ind w:left="567" w:hanging="567"/>
        <w:rPr>
          <w:sz w:val="24"/>
          <w:lang w:val="el-GR"/>
        </w:rPr>
      </w:pPr>
      <w:r w:rsidRPr="004F20A9">
        <w:rPr>
          <w:rStyle w:val="FootnoteReference"/>
          <w:sz w:val="24"/>
          <w:lang w:val="el-GR"/>
        </w:rPr>
        <w:footnoteRef/>
      </w:r>
      <w:r w:rsidR="004D5AFB" w:rsidRPr="004F20A9">
        <w:rPr>
          <w:rStyle w:val="Hyperlink"/>
          <w:color w:val="auto"/>
          <w:sz w:val="24"/>
          <w:u w:val="none"/>
          <w:lang w:val="el-GR"/>
        </w:rPr>
        <w:t xml:space="preserve"> </w:t>
      </w:r>
      <w:r w:rsidR="004D5AFB" w:rsidRPr="004F20A9">
        <w:rPr>
          <w:rStyle w:val="Hyperlink"/>
          <w:color w:val="auto"/>
          <w:sz w:val="24"/>
          <w:u w:val="none"/>
          <w:lang w:val="el-GR"/>
        </w:rPr>
        <w:tab/>
      </w:r>
      <w:r w:rsidRPr="004F20A9">
        <w:rPr>
          <w:rStyle w:val="Hyperlink"/>
          <w:color w:val="auto"/>
          <w:sz w:val="24"/>
          <w:u w:val="none"/>
          <w:lang w:val="el-GR"/>
        </w:rPr>
        <w:t xml:space="preserve">Ειδική ομάδα ΓΤΟ της EFSA, 2009. Scientific </w:t>
      </w:r>
      <w:proofErr w:type="spellStart"/>
      <w:r w:rsidRPr="004F20A9">
        <w:rPr>
          <w:rStyle w:val="Hyperlink"/>
          <w:color w:val="auto"/>
          <w:sz w:val="24"/>
          <w:u w:val="none"/>
          <w:lang w:val="el-GR"/>
        </w:rPr>
        <w:t>Opinion</w:t>
      </w:r>
      <w:proofErr w:type="spellEnd"/>
      <w:r w:rsidRPr="004F20A9">
        <w:rPr>
          <w:rStyle w:val="Hyperlink"/>
          <w:color w:val="auto"/>
          <w:sz w:val="24"/>
          <w:u w:val="none"/>
          <w:lang w:val="el-GR"/>
        </w:rPr>
        <w:t xml:space="preserve"> of the </w:t>
      </w:r>
      <w:proofErr w:type="spellStart"/>
      <w:r w:rsidRPr="004F20A9">
        <w:rPr>
          <w:rStyle w:val="Hyperlink"/>
          <w:color w:val="auto"/>
          <w:sz w:val="24"/>
          <w:u w:val="none"/>
          <w:lang w:val="el-GR"/>
        </w:rPr>
        <w:t>Panel</w:t>
      </w:r>
      <w:proofErr w:type="spellEnd"/>
      <w:r w:rsidRPr="004F20A9">
        <w:rPr>
          <w:rStyle w:val="Hyperlink"/>
          <w:color w:val="auto"/>
          <w:sz w:val="24"/>
          <w:u w:val="none"/>
          <w:lang w:val="el-GR"/>
        </w:rPr>
        <w:t xml:space="preserve"> on </w:t>
      </w:r>
      <w:proofErr w:type="spellStart"/>
      <w:r w:rsidRPr="004F20A9">
        <w:rPr>
          <w:rStyle w:val="Hyperlink"/>
          <w:color w:val="auto"/>
          <w:sz w:val="24"/>
          <w:u w:val="none"/>
          <w:lang w:val="el-GR"/>
        </w:rPr>
        <w:t>Genetically</w:t>
      </w:r>
      <w:proofErr w:type="spellEnd"/>
      <w:r w:rsidRPr="004F20A9">
        <w:rPr>
          <w:rStyle w:val="Hyperlink"/>
          <w:color w:val="auto"/>
          <w:sz w:val="24"/>
          <w:u w:val="none"/>
          <w:lang w:val="el-GR"/>
        </w:rPr>
        <w:t xml:space="preserve"> </w:t>
      </w:r>
      <w:proofErr w:type="spellStart"/>
      <w:r w:rsidRPr="004F20A9">
        <w:rPr>
          <w:rStyle w:val="Hyperlink"/>
          <w:color w:val="auto"/>
          <w:sz w:val="24"/>
          <w:u w:val="none"/>
          <w:lang w:val="el-GR"/>
        </w:rPr>
        <w:t>Modified</w:t>
      </w:r>
      <w:proofErr w:type="spellEnd"/>
      <w:r w:rsidRPr="004F20A9">
        <w:rPr>
          <w:rStyle w:val="Hyperlink"/>
          <w:color w:val="auto"/>
          <w:sz w:val="24"/>
          <w:u w:val="none"/>
          <w:lang w:val="el-GR"/>
        </w:rPr>
        <w:t xml:space="preserve"> </w:t>
      </w:r>
      <w:proofErr w:type="spellStart"/>
      <w:r w:rsidRPr="004F20A9">
        <w:rPr>
          <w:rStyle w:val="Hyperlink"/>
          <w:color w:val="auto"/>
          <w:sz w:val="24"/>
          <w:u w:val="none"/>
          <w:lang w:val="el-GR"/>
        </w:rPr>
        <w:t>Organisms</w:t>
      </w:r>
      <w:proofErr w:type="spellEnd"/>
      <w:r w:rsidRPr="004F20A9">
        <w:rPr>
          <w:rStyle w:val="Hyperlink"/>
          <w:color w:val="auto"/>
          <w:sz w:val="24"/>
          <w:u w:val="none"/>
          <w:lang w:val="el-GR"/>
        </w:rPr>
        <w:t xml:space="preserve"> on </w:t>
      </w:r>
      <w:proofErr w:type="spellStart"/>
      <w:r w:rsidRPr="004F20A9">
        <w:rPr>
          <w:rStyle w:val="Hyperlink"/>
          <w:color w:val="auto"/>
          <w:sz w:val="24"/>
          <w:u w:val="none"/>
          <w:lang w:val="el-GR"/>
        </w:rPr>
        <w:t>applications</w:t>
      </w:r>
      <w:proofErr w:type="spellEnd"/>
      <w:r w:rsidRPr="004F20A9">
        <w:rPr>
          <w:rStyle w:val="Hyperlink"/>
          <w:color w:val="auto"/>
          <w:sz w:val="24"/>
          <w:u w:val="none"/>
          <w:lang w:val="el-GR"/>
        </w:rPr>
        <w:t xml:space="preserve"> (EFSA-GMO-NL-2005-22 and EFSA-GMO-RX-NK603) for the </w:t>
      </w:r>
      <w:proofErr w:type="spellStart"/>
      <w:r w:rsidRPr="004F20A9">
        <w:rPr>
          <w:rStyle w:val="Hyperlink"/>
          <w:color w:val="auto"/>
          <w:sz w:val="24"/>
          <w:u w:val="none"/>
          <w:lang w:val="el-GR"/>
        </w:rPr>
        <w:t>placing</w:t>
      </w:r>
      <w:proofErr w:type="spellEnd"/>
      <w:r w:rsidRPr="004F20A9">
        <w:rPr>
          <w:rStyle w:val="Hyperlink"/>
          <w:color w:val="auto"/>
          <w:sz w:val="24"/>
          <w:u w:val="none"/>
          <w:lang w:val="el-GR"/>
        </w:rPr>
        <w:t xml:space="preserve"> on the </w:t>
      </w:r>
      <w:proofErr w:type="spellStart"/>
      <w:r w:rsidRPr="004F20A9">
        <w:rPr>
          <w:rStyle w:val="Hyperlink"/>
          <w:color w:val="auto"/>
          <w:sz w:val="24"/>
          <w:u w:val="none"/>
          <w:lang w:val="el-GR"/>
        </w:rPr>
        <w:t>market</w:t>
      </w:r>
      <w:proofErr w:type="spellEnd"/>
      <w:r w:rsidRPr="004F20A9">
        <w:rPr>
          <w:rStyle w:val="Hyperlink"/>
          <w:color w:val="auto"/>
          <w:sz w:val="24"/>
          <w:u w:val="none"/>
          <w:lang w:val="el-GR"/>
        </w:rPr>
        <w:t xml:space="preserve"> of the </w:t>
      </w:r>
      <w:proofErr w:type="spellStart"/>
      <w:r w:rsidRPr="004F20A9">
        <w:rPr>
          <w:rStyle w:val="Hyperlink"/>
          <w:color w:val="auto"/>
          <w:sz w:val="24"/>
          <w:u w:val="none"/>
          <w:lang w:val="el-GR"/>
        </w:rPr>
        <w:t>genetically</w:t>
      </w:r>
      <w:proofErr w:type="spellEnd"/>
      <w:r w:rsidRPr="004F20A9">
        <w:rPr>
          <w:rStyle w:val="Hyperlink"/>
          <w:color w:val="auto"/>
          <w:sz w:val="24"/>
          <w:u w:val="none"/>
          <w:lang w:val="el-GR"/>
        </w:rPr>
        <w:t xml:space="preserve"> </w:t>
      </w:r>
      <w:proofErr w:type="spellStart"/>
      <w:r w:rsidRPr="004F20A9">
        <w:rPr>
          <w:rStyle w:val="Hyperlink"/>
          <w:color w:val="auto"/>
          <w:sz w:val="24"/>
          <w:u w:val="none"/>
          <w:lang w:val="el-GR"/>
        </w:rPr>
        <w:t>modified</w:t>
      </w:r>
      <w:proofErr w:type="spellEnd"/>
      <w:r w:rsidRPr="004F20A9">
        <w:rPr>
          <w:rStyle w:val="Hyperlink"/>
          <w:color w:val="auto"/>
          <w:sz w:val="24"/>
          <w:u w:val="none"/>
          <w:lang w:val="el-GR"/>
        </w:rPr>
        <w:t xml:space="preserve"> </w:t>
      </w:r>
      <w:proofErr w:type="spellStart"/>
      <w:r w:rsidRPr="004F20A9">
        <w:rPr>
          <w:rStyle w:val="Hyperlink"/>
          <w:color w:val="auto"/>
          <w:sz w:val="24"/>
          <w:u w:val="none"/>
          <w:lang w:val="el-GR"/>
        </w:rPr>
        <w:t>glyphosate</w:t>
      </w:r>
      <w:proofErr w:type="spellEnd"/>
      <w:r w:rsidRPr="004F20A9">
        <w:rPr>
          <w:rStyle w:val="Hyperlink"/>
          <w:color w:val="auto"/>
          <w:sz w:val="24"/>
          <w:u w:val="none"/>
          <w:lang w:val="el-GR"/>
        </w:rPr>
        <w:t xml:space="preserve"> </w:t>
      </w:r>
      <w:proofErr w:type="spellStart"/>
      <w:r w:rsidRPr="004F20A9">
        <w:rPr>
          <w:rStyle w:val="Hyperlink"/>
          <w:color w:val="auto"/>
          <w:sz w:val="24"/>
          <w:u w:val="none"/>
          <w:lang w:val="el-GR"/>
        </w:rPr>
        <w:t>tolerant</w:t>
      </w:r>
      <w:proofErr w:type="spellEnd"/>
      <w:r w:rsidRPr="004F20A9">
        <w:rPr>
          <w:rStyle w:val="Hyperlink"/>
          <w:color w:val="auto"/>
          <w:sz w:val="24"/>
          <w:u w:val="none"/>
          <w:lang w:val="el-GR"/>
        </w:rPr>
        <w:t xml:space="preserve"> </w:t>
      </w:r>
      <w:proofErr w:type="spellStart"/>
      <w:r w:rsidRPr="004F20A9">
        <w:rPr>
          <w:rStyle w:val="Hyperlink"/>
          <w:color w:val="auto"/>
          <w:sz w:val="24"/>
          <w:u w:val="none"/>
          <w:lang w:val="el-GR"/>
        </w:rPr>
        <w:t>maize</w:t>
      </w:r>
      <w:proofErr w:type="spellEnd"/>
      <w:r w:rsidRPr="004F20A9">
        <w:rPr>
          <w:rStyle w:val="Hyperlink"/>
          <w:color w:val="auto"/>
          <w:sz w:val="24"/>
          <w:u w:val="none"/>
          <w:lang w:val="el-GR"/>
        </w:rPr>
        <w:t xml:space="preserve"> NK603 for </w:t>
      </w:r>
      <w:proofErr w:type="spellStart"/>
      <w:r w:rsidRPr="004F20A9">
        <w:rPr>
          <w:rStyle w:val="Hyperlink"/>
          <w:color w:val="auto"/>
          <w:sz w:val="24"/>
          <w:u w:val="none"/>
          <w:lang w:val="el-GR"/>
        </w:rPr>
        <w:t>cultivation</w:t>
      </w:r>
      <w:proofErr w:type="spellEnd"/>
      <w:r w:rsidRPr="004F20A9">
        <w:rPr>
          <w:rStyle w:val="Hyperlink"/>
          <w:color w:val="auto"/>
          <w:sz w:val="24"/>
          <w:u w:val="none"/>
          <w:lang w:val="el-GR"/>
        </w:rPr>
        <w:t xml:space="preserve">, </w:t>
      </w:r>
      <w:proofErr w:type="spellStart"/>
      <w:r w:rsidRPr="004F20A9">
        <w:rPr>
          <w:rStyle w:val="Hyperlink"/>
          <w:color w:val="auto"/>
          <w:sz w:val="24"/>
          <w:u w:val="none"/>
          <w:lang w:val="el-GR"/>
        </w:rPr>
        <w:t>food</w:t>
      </w:r>
      <w:proofErr w:type="spellEnd"/>
      <w:r w:rsidRPr="004F20A9">
        <w:rPr>
          <w:rStyle w:val="Hyperlink"/>
          <w:color w:val="auto"/>
          <w:sz w:val="24"/>
          <w:u w:val="none"/>
          <w:lang w:val="el-GR"/>
        </w:rPr>
        <w:t xml:space="preserve"> and </w:t>
      </w:r>
      <w:proofErr w:type="spellStart"/>
      <w:r w:rsidRPr="004F20A9">
        <w:rPr>
          <w:rStyle w:val="Hyperlink"/>
          <w:color w:val="auto"/>
          <w:sz w:val="24"/>
          <w:u w:val="none"/>
          <w:lang w:val="el-GR"/>
        </w:rPr>
        <w:t>feed</w:t>
      </w:r>
      <w:proofErr w:type="spellEnd"/>
      <w:r w:rsidRPr="004F20A9">
        <w:rPr>
          <w:rStyle w:val="Hyperlink"/>
          <w:color w:val="auto"/>
          <w:sz w:val="24"/>
          <w:u w:val="none"/>
          <w:lang w:val="el-GR"/>
        </w:rPr>
        <w:t xml:space="preserve"> </w:t>
      </w:r>
      <w:proofErr w:type="spellStart"/>
      <w:r w:rsidRPr="004F20A9">
        <w:rPr>
          <w:rStyle w:val="Hyperlink"/>
          <w:color w:val="auto"/>
          <w:sz w:val="24"/>
          <w:u w:val="none"/>
          <w:lang w:val="el-GR"/>
        </w:rPr>
        <w:t>uses</w:t>
      </w:r>
      <w:proofErr w:type="spellEnd"/>
      <w:r w:rsidRPr="004F20A9">
        <w:rPr>
          <w:rStyle w:val="Hyperlink"/>
          <w:color w:val="auto"/>
          <w:sz w:val="24"/>
          <w:u w:val="none"/>
          <w:lang w:val="el-GR"/>
        </w:rPr>
        <w:t xml:space="preserve"> and </w:t>
      </w:r>
      <w:proofErr w:type="spellStart"/>
      <w:r w:rsidRPr="004F20A9">
        <w:rPr>
          <w:rStyle w:val="Hyperlink"/>
          <w:color w:val="auto"/>
          <w:sz w:val="24"/>
          <w:u w:val="none"/>
          <w:lang w:val="el-GR"/>
        </w:rPr>
        <w:t>import</w:t>
      </w:r>
      <w:proofErr w:type="spellEnd"/>
      <w:r w:rsidRPr="004F20A9">
        <w:rPr>
          <w:rStyle w:val="Hyperlink"/>
          <w:color w:val="auto"/>
          <w:sz w:val="24"/>
          <w:u w:val="none"/>
          <w:lang w:val="el-GR"/>
        </w:rPr>
        <w:t xml:space="preserve"> and </w:t>
      </w:r>
      <w:proofErr w:type="spellStart"/>
      <w:r w:rsidRPr="004F20A9">
        <w:rPr>
          <w:rStyle w:val="Hyperlink"/>
          <w:color w:val="auto"/>
          <w:sz w:val="24"/>
          <w:u w:val="none"/>
          <w:lang w:val="el-GR"/>
        </w:rPr>
        <w:t>processing</w:t>
      </w:r>
      <w:proofErr w:type="spellEnd"/>
      <w:r w:rsidRPr="004F20A9">
        <w:rPr>
          <w:rStyle w:val="Hyperlink"/>
          <w:color w:val="auto"/>
          <w:sz w:val="24"/>
          <w:u w:val="none"/>
          <w:lang w:val="el-GR"/>
        </w:rPr>
        <w:t xml:space="preserve">, and for </w:t>
      </w:r>
      <w:proofErr w:type="spellStart"/>
      <w:r w:rsidRPr="004F20A9">
        <w:rPr>
          <w:rStyle w:val="Hyperlink"/>
          <w:color w:val="auto"/>
          <w:sz w:val="24"/>
          <w:u w:val="none"/>
          <w:lang w:val="el-GR"/>
        </w:rPr>
        <w:t>renewal</w:t>
      </w:r>
      <w:proofErr w:type="spellEnd"/>
      <w:r w:rsidRPr="004F20A9">
        <w:rPr>
          <w:rStyle w:val="Hyperlink"/>
          <w:color w:val="auto"/>
          <w:sz w:val="24"/>
          <w:u w:val="none"/>
          <w:lang w:val="el-GR"/>
        </w:rPr>
        <w:t xml:space="preserve"> of the </w:t>
      </w:r>
      <w:proofErr w:type="spellStart"/>
      <w:r w:rsidRPr="004F20A9">
        <w:rPr>
          <w:rStyle w:val="Hyperlink"/>
          <w:color w:val="auto"/>
          <w:sz w:val="24"/>
          <w:u w:val="none"/>
          <w:lang w:val="el-GR"/>
        </w:rPr>
        <w:t>authorisation</w:t>
      </w:r>
      <w:proofErr w:type="spellEnd"/>
      <w:r w:rsidRPr="004F20A9">
        <w:rPr>
          <w:rStyle w:val="Hyperlink"/>
          <w:color w:val="auto"/>
          <w:sz w:val="24"/>
          <w:u w:val="none"/>
          <w:lang w:val="el-GR"/>
        </w:rPr>
        <w:t xml:space="preserve"> of </w:t>
      </w:r>
      <w:proofErr w:type="spellStart"/>
      <w:r w:rsidRPr="004F20A9">
        <w:rPr>
          <w:rStyle w:val="Hyperlink"/>
          <w:color w:val="auto"/>
          <w:sz w:val="24"/>
          <w:u w:val="none"/>
          <w:lang w:val="el-GR"/>
        </w:rPr>
        <w:t>maize</w:t>
      </w:r>
      <w:proofErr w:type="spellEnd"/>
      <w:r w:rsidRPr="004F20A9">
        <w:rPr>
          <w:rStyle w:val="Hyperlink"/>
          <w:color w:val="auto"/>
          <w:sz w:val="24"/>
          <w:u w:val="none"/>
          <w:lang w:val="el-GR"/>
        </w:rPr>
        <w:t xml:space="preserve"> NK603 </w:t>
      </w:r>
      <w:proofErr w:type="spellStart"/>
      <w:r w:rsidRPr="004F20A9">
        <w:rPr>
          <w:rStyle w:val="Hyperlink"/>
          <w:color w:val="auto"/>
          <w:sz w:val="24"/>
          <w:u w:val="none"/>
          <w:lang w:val="el-GR"/>
        </w:rPr>
        <w:t>as</w:t>
      </w:r>
      <w:proofErr w:type="spellEnd"/>
      <w:r w:rsidRPr="004F20A9">
        <w:rPr>
          <w:rStyle w:val="Hyperlink"/>
          <w:color w:val="auto"/>
          <w:sz w:val="24"/>
          <w:u w:val="none"/>
          <w:lang w:val="el-GR"/>
        </w:rPr>
        <w:t xml:space="preserve"> </w:t>
      </w:r>
      <w:proofErr w:type="spellStart"/>
      <w:r w:rsidRPr="004F20A9">
        <w:rPr>
          <w:rStyle w:val="Hyperlink"/>
          <w:color w:val="auto"/>
          <w:sz w:val="24"/>
          <w:u w:val="none"/>
          <w:lang w:val="el-GR"/>
        </w:rPr>
        <w:t>existing</w:t>
      </w:r>
      <w:proofErr w:type="spellEnd"/>
      <w:r w:rsidRPr="004F20A9">
        <w:rPr>
          <w:rStyle w:val="Hyperlink"/>
          <w:color w:val="auto"/>
          <w:sz w:val="24"/>
          <w:u w:val="none"/>
          <w:lang w:val="el-GR"/>
        </w:rPr>
        <w:t xml:space="preserve"> </w:t>
      </w:r>
      <w:proofErr w:type="spellStart"/>
      <w:r w:rsidRPr="004F20A9">
        <w:rPr>
          <w:rStyle w:val="Hyperlink"/>
          <w:color w:val="auto"/>
          <w:sz w:val="24"/>
          <w:u w:val="none"/>
          <w:lang w:val="el-GR"/>
        </w:rPr>
        <w:t>product</w:t>
      </w:r>
      <w:proofErr w:type="spellEnd"/>
      <w:r w:rsidRPr="004F20A9">
        <w:rPr>
          <w:rStyle w:val="Hyperlink"/>
          <w:color w:val="auto"/>
          <w:sz w:val="24"/>
          <w:u w:val="none"/>
          <w:lang w:val="el-GR"/>
        </w:rPr>
        <w:t xml:space="preserve"> [Επιστημονική γνώμη της ομάδας για τους γενετικά τροποποιημένους οργανισμούς σχετικά με τις αιτήσεις (EFSA-GMO-NL-2005-22- και EFSA-GMO-RX-NK603) για τη διάθεση στην αγορά του γενετικώς τροποποιημένου ανθεκτικού στη </w:t>
      </w:r>
      <w:proofErr w:type="spellStart"/>
      <w:r w:rsidRPr="004F20A9">
        <w:rPr>
          <w:rStyle w:val="Hyperlink"/>
          <w:color w:val="auto"/>
          <w:sz w:val="24"/>
          <w:u w:val="none"/>
          <w:lang w:val="el-GR"/>
        </w:rPr>
        <w:t>γλυφοσάτη</w:t>
      </w:r>
      <w:proofErr w:type="spellEnd"/>
      <w:r w:rsidRPr="004F20A9">
        <w:rPr>
          <w:rStyle w:val="Hyperlink"/>
          <w:color w:val="auto"/>
          <w:sz w:val="24"/>
          <w:u w:val="none"/>
          <w:lang w:val="el-GR"/>
        </w:rPr>
        <w:t xml:space="preserve"> αραβοσίτου NK603 για καλλιέργεια, χρήση σε τρόφιμα και ζωοτροφές και εισαγωγή και επεξεργασία, καθώς και για την ανανέωση της έγκρισης του αραβοσίτου NK603 ως υφιστάμενου προϊόντος]. Περιοδική έκδοση EFSA, 7(6), 1137.</w:t>
      </w:r>
      <w:r w:rsidR="004F20A9">
        <w:rPr>
          <w:rStyle w:val="Hyperlink"/>
          <w:color w:val="auto"/>
          <w:sz w:val="24"/>
          <w:u w:val="none"/>
          <w:lang w:val="el-GR"/>
        </w:rPr>
        <w:t xml:space="preserve"> </w:t>
      </w:r>
      <w:hyperlink r:id="rId15" w:history="1">
        <w:r w:rsidR="004F20A9" w:rsidRPr="004F20A9">
          <w:rPr>
            <w:rStyle w:val="Hyperlink"/>
            <w:sz w:val="24"/>
            <w:lang w:val="el-GR"/>
          </w:rPr>
          <w:t>https://doi.org/10.2903/j.efsa.2009.1137</w:t>
        </w:r>
      </w:hyperlink>
      <w:r w:rsidRPr="004F20A9">
        <w:rPr>
          <w:rStyle w:val="Hyperlink"/>
          <w:color w:val="auto"/>
          <w:sz w:val="24"/>
          <w:u w:val="none"/>
          <w:lang w:val="el-GR"/>
        </w:rPr>
        <w:t>.</w:t>
      </w:r>
    </w:p>
  </w:footnote>
  <w:footnote w:id="7">
    <w:p w14:paraId="359CC5F6" w14:textId="20CDD414" w:rsidR="00BE3177" w:rsidRPr="004D5AFB" w:rsidRDefault="00BE3177" w:rsidP="004F20A9">
      <w:pPr>
        <w:pStyle w:val="FootnoteText"/>
        <w:spacing w:line="240" w:lineRule="auto"/>
        <w:ind w:left="567" w:hanging="567"/>
        <w:rPr>
          <w:sz w:val="24"/>
          <w:lang w:val="el-GR"/>
        </w:rPr>
      </w:pPr>
      <w:r w:rsidRPr="004D5AFB">
        <w:rPr>
          <w:rStyle w:val="FootnoteReference"/>
          <w:sz w:val="24"/>
          <w:lang w:val="el-GR"/>
        </w:rPr>
        <w:footnoteRef/>
      </w:r>
      <w:r w:rsidR="004D5AFB" w:rsidRPr="004D5AFB">
        <w:rPr>
          <w:sz w:val="24"/>
          <w:shd w:val="clear" w:color="auto" w:fill="FFFFFF"/>
          <w:lang w:val="el-GR"/>
        </w:rPr>
        <w:t xml:space="preserve"> </w:t>
      </w:r>
      <w:r w:rsidR="004D5AFB" w:rsidRPr="004D5AFB">
        <w:rPr>
          <w:sz w:val="24"/>
          <w:shd w:val="clear" w:color="auto" w:fill="FFFFFF"/>
          <w:lang w:val="el-GR"/>
        </w:rPr>
        <w:tab/>
      </w:r>
      <w:r w:rsidRPr="004D5AFB">
        <w:rPr>
          <w:sz w:val="24"/>
          <w:shd w:val="clear" w:color="auto" w:fill="FFFFFF"/>
          <w:lang w:val="el-GR"/>
        </w:rPr>
        <w:t xml:space="preserve">Βλ. για παράδειγμα, </w:t>
      </w:r>
      <w:proofErr w:type="spellStart"/>
      <w:r w:rsidRPr="004D5AFB">
        <w:rPr>
          <w:sz w:val="24"/>
          <w:shd w:val="clear" w:color="auto" w:fill="FFFFFF"/>
          <w:lang w:val="el-GR"/>
        </w:rPr>
        <w:t>Bonny</w:t>
      </w:r>
      <w:proofErr w:type="spellEnd"/>
      <w:r w:rsidRPr="004D5AFB">
        <w:rPr>
          <w:sz w:val="24"/>
          <w:shd w:val="clear" w:color="auto" w:fill="FFFFFF"/>
          <w:lang w:val="el-GR"/>
        </w:rPr>
        <w:t>, S., «</w:t>
      </w:r>
      <w:proofErr w:type="spellStart"/>
      <w:r w:rsidRPr="004D5AFB">
        <w:rPr>
          <w:sz w:val="24"/>
          <w:shd w:val="clear" w:color="auto" w:fill="FFFFFF"/>
          <w:lang w:val="el-GR"/>
        </w:rPr>
        <w:t>Genetically</w:t>
      </w:r>
      <w:proofErr w:type="spellEnd"/>
      <w:r w:rsidRPr="004D5AFB">
        <w:rPr>
          <w:sz w:val="24"/>
          <w:shd w:val="clear" w:color="auto" w:fill="FFFFFF"/>
          <w:lang w:val="el-GR"/>
        </w:rPr>
        <w:t xml:space="preserve"> </w:t>
      </w:r>
      <w:proofErr w:type="spellStart"/>
      <w:r w:rsidRPr="004D5AFB">
        <w:rPr>
          <w:sz w:val="24"/>
          <w:shd w:val="clear" w:color="auto" w:fill="FFFFFF"/>
          <w:lang w:val="el-GR"/>
        </w:rPr>
        <w:t>Modified</w:t>
      </w:r>
      <w:proofErr w:type="spellEnd"/>
      <w:r w:rsidRPr="004D5AFB">
        <w:rPr>
          <w:sz w:val="24"/>
          <w:shd w:val="clear" w:color="auto" w:fill="FFFFFF"/>
          <w:lang w:val="el-GR"/>
        </w:rPr>
        <w:t xml:space="preserve"> </w:t>
      </w:r>
      <w:proofErr w:type="spellStart"/>
      <w:r w:rsidRPr="004D5AFB">
        <w:rPr>
          <w:sz w:val="24"/>
          <w:shd w:val="clear" w:color="auto" w:fill="FFFFFF"/>
          <w:lang w:val="el-GR"/>
        </w:rPr>
        <w:t>Herbicide-Tolerant</w:t>
      </w:r>
      <w:proofErr w:type="spellEnd"/>
      <w:r w:rsidRPr="004D5AFB">
        <w:rPr>
          <w:sz w:val="24"/>
          <w:shd w:val="clear" w:color="auto" w:fill="FFFFFF"/>
          <w:lang w:val="el-GR"/>
        </w:rPr>
        <w:t xml:space="preserve"> </w:t>
      </w:r>
      <w:proofErr w:type="spellStart"/>
      <w:r w:rsidRPr="004D5AFB">
        <w:rPr>
          <w:sz w:val="24"/>
          <w:shd w:val="clear" w:color="auto" w:fill="FFFFFF"/>
          <w:lang w:val="el-GR"/>
        </w:rPr>
        <w:t>Crops</w:t>
      </w:r>
      <w:proofErr w:type="spellEnd"/>
      <w:r w:rsidRPr="004D5AFB">
        <w:rPr>
          <w:sz w:val="24"/>
          <w:shd w:val="clear" w:color="auto" w:fill="FFFFFF"/>
          <w:lang w:val="el-GR"/>
        </w:rPr>
        <w:t xml:space="preserve">, </w:t>
      </w:r>
      <w:proofErr w:type="spellStart"/>
      <w:r w:rsidRPr="004D5AFB">
        <w:rPr>
          <w:sz w:val="24"/>
          <w:shd w:val="clear" w:color="auto" w:fill="FFFFFF"/>
          <w:lang w:val="el-GR"/>
        </w:rPr>
        <w:t>Weeds</w:t>
      </w:r>
      <w:proofErr w:type="spellEnd"/>
      <w:r w:rsidRPr="004D5AFB">
        <w:rPr>
          <w:sz w:val="24"/>
          <w:shd w:val="clear" w:color="auto" w:fill="FFFFFF"/>
          <w:lang w:val="el-GR"/>
        </w:rPr>
        <w:t xml:space="preserve">, and </w:t>
      </w:r>
      <w:proofErr w:type="spellStart"/>
      <w:r w:rsidRPr="004D5AFB">
        <w:rPr>
          <w:sz w:val="24"/>
          <w:shd w:val="clear" w:color="auto" w:fill="FFFFFF"/>
          <w:lang w:val="el-GR"/>
        </w:rPr>
        <w:t>Herbicides</w:t>
      </w:r>
      <w:proofErr w:type="spellEnd"/>
      <w:r w:rsidRPr="004D5AFB">
        <w:rPr>
          <w:sz w:val="24"/>
          <w:shd w:val="clear" w:color="auto" w:fill="FFFFFF"/>
          <w:lang w:val="el-GR"/>
        </w:rPr>
        <w:t xml:space="preserve">: </w:t>
      </w:r>
      <w:proofErr w:type="spellStart"/>
      <w:r w:rsidRPr="004D5AFB">
        <w:rPr>
          <w:sz w:val="24"/>
          <w:lang w:val="el-GR"/>
        </w:rPr>
        <w:t>Overview</w:t>
      </w:r>
      <w:proofErr w:type="spellEnd"/>
      <w:r w:rsidRPr="004D5AFB">
        <w:rPr>
          <w:sz w:val="24"/>
          <w:lang w:val="el-GR"/>
        </w:rPr>
        <w:t xml:space="preserve"> and </w:t>
      </w:r>
      <w:proofErr w:type="spellStart"/>
      <w:r w:rsidRPr="004D5AFB">
        <w:rPr>
          <w:sz w:val="24"/>
          <w:lang w:val="el-GR"/>
        </w:rPr>
        <w:t>Impact</w:t>
      </w:r>
      <w:proofErr w:type="spellEnd"/>
      <w:r w:rsidRPr="004D5AFB">
        <w:rPr>
          <w:sz w:val="24"/>
          <w:lang w:val="el-GR"/>
        </w:rPr>
        <w:t xml:space="preserve">» (Γενετικώς τροποποιημένες καλλιέργειες ανθεκτικές στα ζιζανιοκτόνα, ζιζάνια και ζιζανιοκτόνα: επισκόπηση και αντίκτυπος), </w:t>
      </w:r>
      <w:proofErr w:type="spellStart"/>
      <w:r w:rsidRPr="004D5AFB">
        <w:rPr>
          <w:sz w:val="24"/>
          <w:lang w:val="el-GR"/>
        </w:rPr>
        <w:t>Environmental</w:t>
      </w:r>
      <w:proofErr w:type="spellEnd"/>
      <w:r w:rsidRPr="004D5AFB">
        <w:rPr>
          <w:sz w:val="24"/>
          <w:lang w:val="el-GR"/>
        </w:rPr>
        <w:t xml:space="preserve"> </w:t>
      </w:r>
      <w:proofErr w:type="spellStart"/>
      <w:r w:rsidRPr="004D5AFB">
        <w:rPr>
          <w:sz w:val="24"/>
          <w:lang w:val="el-GR"/>
        </w:rPr>
        <w:t>Management</w:t>
      </w:r>
      <w:proofErr w:type="spellEnd"/>
      <w:r w:rsidRPr="004D5AFB">
        <w:rPr>
          <w:sz w:val="24"/>
          <w:lang w:val="el-GR"/>
        </w:rPr>
        <w:t xml:space="preserve">, Ιανουάριος 2016· 57(1), σ. </w:t>
      </w:r>
      <w:r w:rsidRPr="004D5AFB">
        <w:rPr>
          <w:sz w:val="24"/>
          <w:lang w:val="el-GR"/>
        </w:rPr>
        <w:t xml:space="preserve">31-48, </w:t>
      </w:r>
      <w:hyperlink r:id="rId16" w:history="1">
        <w:r w:rsidR="004F20A9" w:rsidRPr="004F20A9">
          <w:rPr>
            <w:rStyle w:val="Hyperlink"/>
            <w:sz w:val="24"/>
            <w:shd w:val="clear" w:color="auto" w:fill="FFFFFF"/>
            <w:lang w:val="el-GR"/>
          </w:rPr>
          <w:t>https://doi.org/10.1007/s00267-015-0589-7</w:t>
        </w:r>
      </w:hyperlink>
      <w:r w:rsidRPr="004D5AFB">
        <w:rPr>
          <w:sz w:val="24"/>
          <w:lang w:val="el-GR"/>
        </w:rPr>
        <w:t xml:space="preserve"> και </w:t>
      </w:r>
      <w:proofErr w:type="spellStart"/>
      <w:r w:rsidRPr="004D5AFB">
        <w:rPr>
          <w:sz w:val="24"/>
          <w:lang w:val="el-GR"/>
        </w:rPr>
        <w:t>Benbrook</w:t>
      </w:r>
      <w:proofErr w:type="spellEnd"/>
      <w:r w:rsidRPr="004D5AFB">
        <w:rPr>
          <w:sz w:val="24"/>
          <w:lang w:val="el-GR"/>
        </w:rPr>
        <w:t>, C.M., «</w:t>
      </w:r>
      <w:proofErr w:type="spellStart"/>
      <w:r w:rsidRPr="004D5AFB">
        <w:rPr>
          <w:sz w:val="24"/>
          <w:lang w:val="el-GR"/>
        </w:rPr>
        <w:t>Impacts</w:t>
      </w:r>
      <w:proofErr w:type="spellEnd"/>
      <w:r w:rsidRPr="004D5AFB">
        <w:rPr>
          <w:sz w:val="24"/>
          <w:lang w:val="el-GR"/>
        </w:rPr>
        <w:t xml:space="preserve"> of </w:t>
      </w:r>
      <w:proofErr w:type="spellStart"/>
      <w:r w:rsidRPr="004D5AFB">
        <w:rPr>
          <w:sz w:val="24"/>
          <w:lang w:val="el-GR"/>
        </w:rPr>
        <w:t>genetically</w:t>
      </w:r>
      <w:proofErr w:type="spellEnd"/>
      <w:r w:rsidRPr="004D5AFB">
        <w:rPr>
          <w:sz w:val="24"/>
          <w:lang w:val="el-GR"/>
        </w:rPr>
        <w:t xml:space="preserve"> </w:t>
      </w:r>
      <w:proofErr w:type="spellStart"/>
      <w:r w:rsidRPr="004D5AFB">
        <w:rPr>
          <w:sz w:val="24"/>
          <w:lang w:val="el-GR"/>
        </w:rPr>
        <w:t>engineered</w:t>
      </w:r>
      <w:proofErr w:type="spellEnd"/>
      <w:r w:rsidRPr="004D5AFB">
        <w:rPr>
          <w:sz w:val="24"/>
          <w:lang w:val="el-GR"/>
        </w:rPr>
        <w:t xml:space="preserve"> </w:t>
      </w:r>
      <w:proofErr w:type="spellStart"/>
      <w:r w:rsidRPr="004D5AFB">
        <w:rPr>
          <w:sz w:val="24"/>
          <w:lang w:val="el-GR"/>
        </w:rPr>
        <w:t>crops</w:t>
      </w:r>
      <w:proofErr w:type="spellEnd"/>
      <w:r w:rsidRPr="004D5AFB">
        <w:rPr>
          <w:sz w:val="24"/>
          <w:lang w:val="el-GR"/>
        </w:rPr>
        <w:t xml:space="preserve"> on </w:t>
      </w:r>
      <w:proofErr w:type="spellStart"/>
      <w:r w:rsidRPr="004D5AFB">
        <w:rPr>
          <w:sz w:val="24"/>
          <w:lang w:val="el-GR"/>
        </w:rPr>
        <w:t>pesticide</w:t>
      </w:r>
      <w:proofErr w:type="spellEnd"/>
      <w:r w:rsidRPr="004D5AFB">
        <w:rPr>
          <w:sz w:val="24"/>
          <w:lang w:val="el-GR"/>
        </w:rPr>
        <w:t xml:space="preserve"> </w:t>
      </w:r>
      <w:proofErr w:type="spellStart"/>
      <w:r w:rsidRPr="004D5AFB">
        <w:rPr>
          <w:sz w:val="24"/>
          <w:lang w:val="el-GR"/>
        </w:rPr>
        <w:t>use</w:t>
      </w:r>
      <w:proofErr w:type="spellEnd"/>
      <w:r w:rsidRPr="004D5AFB">
        <w:rPr>
          <w:sz w:val="24"/>
          <w:lang w:val="el-GR"/>
        </w:rPr>
        <w:t xml:space="preserve"> in the U.S. – the </w:t>
      </w:r>
      <w:proofErr w:type="spellStart"/>
      <w:r w:rsidRPr="004D5AFB">
        <w:rPr>
          <w:sz w:val="24"/>
          <w:lang w:val="el-GR"/>
        </w:rPr>
        <w:t>first</w:t>
      </w:r>
      <w:proofErr w:type="spellEnd"/>
      <w:r w:rsidRPr="004D5AFB">
        <w:rPr>
          <w:sz w:val="24"/>
          <w:lang w:val="el-GR"/>
        </w:rPr>
        <w:t xml:space="preserve"> </w:t>
      </w:r>
      <w:proofErr w:type="spellStart"/>
      <w:r w:rsidRPr="004D5AFB">
        <w:rPr>
          <w:sz w:val="24"/>
          <w:lang w:val="el-GR"/>
        </w:rPr>
        <w:t>sixteen</w:t>
      </w:r>
      <w:proofErr w:type="spellEnd"/>
      <w:r w:rsidRPr="004D5AFB">
        <w:rPr>
          <w:sz w:val="24"/>
          <w:lang w:val="el-GR"/>
        </w:rPr>
        <w:t xml:space="preserve"> </w:t>
      </w:r>
      <w:proofErr w:type="spellStart"/>
      <w:r w:rsidRPr="004D5AFB">
        <w:rPr>
          <w:sz w:val="24"/>
          <w:lang w:val="el-GR"/>
        </w:rPr>
        <w:t>years</w:t>
      </w:r>
      <w:proofErr w:type="spellEnd"/>
      <w:r w:rsidRPr="004D5AFB">
        <w:rPr>
          <w:sz w:val="24"/>
          <w:lang w:val="el-GR"/>
        </w:rPr>
        <w:t xml:space="preserve">» (Επιπτώσεις των γενετικώς τροποποιημένων καλλιεργειών στη χρήση γεωργικών φαρμάκων στις ΗΠΑ - τα πρώτα 16 χρόνια), </w:t>
      </w:r>
      <w:proofErr w:type="spellStart"/>
      <w:r w:rsidRPr="004D5AFB">
        <w:rPr>
          <w:sz w:val="24"/>
          <w:lang w:val="el-GR"/>
        </w:rPr>
        <w:t>Environmental</w:t>
      </w:r>
      <w:proofErr w:type="spellEnd"/>
      <w:r w:rsidRPr="004D5AFB">
        <w:rPr>
          <w:sz w:val="24"/>
          <w:lang w:val="el-GR"/>
        </w:rPr>
        <w:t xml:space="preserve"> </w:t>
      </w:r>
      <w:proofErr w:type="spellStart"/>
      <w:r w:rsidRPr="004D5AFB">
        <w:rPr>
          <w:sz w:val="24"/>
          <w:lang w:val="el-GR"/>
        </w:rPr>
        <w:t>Sciences</w:t>
      </w:r>
      <w:proofErr w:type="spellEnd"/>
      <w:r w:rsidRPr="004D5AFB">
        <w:rPr>
          <w:sz w:val="24"/>
          <w:lang w:val="el-GR"/>
        </w:rPr>
        <w:t xml:space="preserve"> Europe·</w:t>
      </w:r>
      <w:r w:rsidRPr="004D5AFB">
        <w:rPr>
          <w:sz w:val="24"/>
          <w:shd w:val="clear" w:color="auto" w:fill="FFFFFF"/>
          <w:lang w:val="el-GR"/>
        </w:rPr>
        <w:t xml:space="preserve"> 28 Σεπτεμβρίου 2012, Τόμος. 24(1), </w:t>
      </w:r>
      <w:hyperlink r:id="rId17" w:history="1">
        <w:r w:rsidRPr="004D5AFB">
          <w:rPr>
            <w:rStyle w:val="Hyperlink"/>
            <w:sz w:val="24"/>
            <w:shd w:val="clear" w:color="auto" w:fill="FFFFFF"/>
            <w:lang w:val="el-GR"/>
          </w:rPr>
          <w:t>https://doi.org/10.1186/2190-4715-24-24</w:t>
        </w:r>
      </w:hyperlink>
      <w:r w:rsidRPr="004D5AFB">
        <w:rPr>
          <w:sz w:val="24"/>
          <w:shd w:val="clear" w:color="auto" w:fill="FFFFFF"/>
          <w:lang w:val="el-GR"/>
        </w:rPr>
        <w:t>.</w:t>
      </w:r>
    </w:p>
  </w:footnote>
  <w:footnote w:id="8">
    <w:p w14:paraId="5A633C37" w14:textId="669C8EEF" w:rsidR="00BE3177" w:rsidRPr="004D5AFB" w:rsidRDefault="00BE3177" w:rsidP="004F20A9">
      <w:pPr>
        <w:pStyle w:val="FootnoteText"/>
        <w:spacing w:line="240" w:lineRule="auto"/>
        <w:ind w:left="567" w:hanging="567"/>
        <w:rPr>
          <w:sz w:val="24"/>
          <w:vertAlign w:val="superscript"/>
          <w:lang w:val="el-GR"/>
        </w:rPr>
      </w:pPr>
      <w:r w:rsidRPr="004D5AFB">
        <w:rPr>
          <w:rStyle w:val="FootnoteReference"/>
          <w:sz w:val="24"/>
          <w:lang w:val="el-GR"/>
        </w:rPr>
        <w:footnoteRef/>
      </w:r>
      <w:r w:rsidR="004D5AFB" w:rsidRPr="004D5AFB">
        <w:rPr>
          <w:sz w:val="24"/>
          <w:lang w:val="el-GR"/>
        </w:rPr>
        <w:t xml:space="preserve"> </w:t>
      </w:r>
      <w:r w:rsidR="004D5AFB" w:rsidRPr="004D5AFB">
        <w:rPr>
          <w:sz w:val="24"/>
          <w:lang w:val="el-GR"/>
        </w:rPr>
        <w:tab/>
      </w:r>
      <w:r w:rsidRPr="004D5AFB">
        <w:rPr>
          <w:sz w:val="24"/>
          <w:lang w:val="el-GR"/>
        </w:rPr>
        <w:t xml:space="preserve">Βλέπε, για παράδειγμα: </w:t>
      </w:r>
    </w:p>
    <w:p w14:paraId="2C09FF9F" w14:textId="1F246754" w:rsidR="00BE3177" w:rsidRPr="004D5AFB" w:rsidRDefault="004D5AFB" w:rsidP="004F20A9">
      <w:pPr>
        <w:pStyle w:val="FootnoteText"/>
        <w:spacing w:line="240" w:lineRule="auto"/>
        <w:ind w:left="567" w:hanging="567"/>
        <w:rPr>
          <w:rStyle w:val="Hyperlink"/>
          <w:sz w:val="24"/>
          <w:vertAlign w:val="superscript"/>
          <w:lang w:val="el-GR"/>
        </w:rPr>
      </w:pPr>
      <w:r w:rsidRPr="004D5AFB">
        <w:rPr>
          <w:sz w:val="24"/>
          <w:lang w:val="el-GR"/>
        </w:rPr>
        <w:t xml:space="preserve"> </w:t>
      </w:r>
      <w:r w:rsidRPr="004D5AFB">
        <w:rPr>
          <w:sz w:val="24"/>
          <w:lang w:val="el-GR"/>
        </w:rPr>
        <w:tab/>
      </w:r>
      <w:hyperlink r:id="rId18" w:history="1">
        <w:r w:rsidR="00BE3177" w:rsidRPr="004D5AFB">
          <w:rPr>
            <w:rStyle w:val="Hyperlink"/>
            <w:sz w:val="24"/>
            <w:lang w:val="el-GR"/>
          </w:rPr>
          <w:t>https://doi.org/10.1002/ps.8105</w:t>
        </w:r>
      </w:hyperlink>
      <w:r w:rsidR="00BE3177" w:rsidRPr="004D5AFB">
        <w:rPr>
          <w:sz w:val="24"/>
          <w:lang w:val="el-GR"/>
        </w:rPr>
        <w:t>,</w:t>
      </w:r>
    </w:p>
    <w:p w14:paraId="16A030FC" w14:textId="529CC8B2" w:rsidR="00BE3177" w:rsidRPr="004D5AFB" w:rsidRDefault="004D5AFB" w:rsidP="004F20A9">
      <w:pPr>
        <w:pStyle w:val="FootnoteText"/>
        <w:spacing w:line="240" w:lineRule="auto"/>
        <w:ind w:left="567" w:hanging="567"/>
        <w:rPr>
          <w:sz w:val="24"/>
          <w:lang w:val="el-GR"/>
        </w:rPr>
      </w:pPr>
      <w:r w:rsidRPr="004D5AFB">
        <w:rPr>
          <w:sz w:val="24"/>
          <w:lang w:val="el-GR"/>
        </w:rPr>
        <w:t xml:space="preserve"> </w:t>
      </w:r>
      <w:r w:rsidRPr="004D5AFB">
        <w:rPr>
          <w:sz w:val="24"/>
          <w:lang w:val="el-GR"/>
        </w:rPr>
        <w:tab/>
      </w:r>
      <w:hyperlink r:id="rId19" w:tgtFrame="_blank" w:tooltip="Μόνιμος υπερσύνδεσμος με αναγνωριστικό κωδικό ψηφιακού αντικειμένου" w:history="1">
        <w:r w:rsidR="00BE3177" w:rsidRPr="004D5AFB">
          <w:rPr>
            <w:rStyle w:val="Hyperlink"/>
            <w:sz w:val="24"/>
            <w:lang w:val="el-GR"/>
          </w:rPr>
          <w:t>https://doi.org/10.1016/j.geoforum.2009.03.009</w:t>
        </w:r>
      </w:hyperlink>
      <w:r w:rsidR="00BE3177" w:rsidRPr="004D5AFB">
        <w:rPr>
          <w:sz w:val="24"/>
          <w:lang w:val="el-GR"/>
        </w:rPr>
        <w:t>.</w:t>
      </w:r>
    </w:p>
  </w:footnote>
  <w:footnote w:id="9">
    <w:p w14:paraId="1A83EC32" w14:textId="596399E3" w:rsidR="00BE3177" w:rsidRPr="004D5AFB" w:rsidRDefault="00BE3177" w:rsidP="004F20A9">
      <w:pPr>
        <w:pStyle w:val="FootnoteText"/>
        <w:spacing w:line="240" w:lineRule="auto"/>
        <w:ind w:left="567" w:hanging="567"/>
        <w:rPr>
          <w:sz w:val="24"/>
          <w:lang w:val="el-GR"/>
        </w:rPr>
      </w:pPr>
      <w:r w:rsidRPr="004D5AFB">
        <w:rPr>
          <w:rStyle w:val="FootnoteReference"/>
          <w:sz w:val="24"/>
          <w:lang w:val="el-GR"/>
        </w:rPr>
        <w:footnoteRef/>
      </w:r>
      <w:r w:rsidR="004D5AFB" w:rsidRPr="004D5AFB">
        <w:rPr>
          <w:sz w:val="24"/>
          <w:lang w:val="el-GR"/>
        </w:rPr>
        <w:t xml:space="preserve"> </w:t>
      </w:r>
      <w:r w:rsidR="004D5AFB" w:rsidRPr="004D5AFB">
        <w:rPr>
          <w:sz w:val="24"/>
          <w:lang w:val="el-GR"/>
        </w:rPr>
        <w:tab/>
      </w:r>
      <w:r w:rsidRPr="004D5AFB">
        <w:rPr>
          <w:sz w:val="24"/>
          <w:lang w:val="el-GR"/>
        </w:rPr>
        <w:t>Βλέπε, για παράδειγμα:</w:t>
      </w:r>
      <w:r w:rsidRPr="004D5AFB">
        <w:rPr>
          <w:sz w:val="24"/>
          <w:lang w:val="el-GR"/>
        </w:rPr>
        <w:br/>
      </w:r>
      <w:hyperlink r:id="rId20" w:tgtFrame="_blank" w:tooltip="Μόνιμος υπερσύνδεσμος με αναγνωριστικό κωδικό ψηφιακού αντικειμένου" w:history="1">
        <w:r w:rsidRPr="004D5AFB">
          <w:rPr>
            <w:rStyle w:val="Hyperlink"/>
            <w:sz w:val="24"/>
            <w:lang w:val="el-GR"/>
          </w:rPr>
          <w:t>https://doi.org/10.1016/j.mrrev.2019.02.001</w:t>
        </w:r>
      </w:hyperlink>
      <w:r w:rsidRPr="004D5AFB">
        <w:rPr>
          <w:sz w:val="24"/>
          <w:lang w:val="el-GR"/>
        </w:rPr>
        <w:t>,</w:t>
      </w:r>
      <w:r w:rsidRPr="004D5AFB">
        <w:rPr>
          <w:sz w:val="24"/>
          <w:lang w:val="el-GR"/>
        </w:rPr>
        <w:br/>
      </w:r>
      <w:hyperlink r:id="rId21" w:history="1">
        <w:r w:rsidRPr="004D5AFB">
          <w:rPr>
            <w:rStyle w:val="Hyperlink"/>
            <w:sz w:val="24"/>
            <w:lang w:val="el-GR"/>
          </w:rPr>
          <w:t>https://doi.org/10.1093/ije/dyz017</w:t>
        </w:r>
      </w:hyperlink>
      <w:r w:rsidRPr="004D5AFB">
        <w:rPr>
          <w:sz w:val="24"/>
          <w:lang w:val="el-GR"/>
        </w:rPr>
        <w:t>,</w:t>
      </w:r>
      <w:r w:rsidRPr="004D5AFB">
        <w:rPr>
          <w:sz w:val="24"/>
          <w:lang w:val="el-GR"/>
        </w:rPr>
        <w:br/>
      </w:r>
      <w:hyperlink r:id="rId22" w:history="1">
        <w:r w:rsidRPr="004D5AFB">
          <w:rPr>
            <w:rStyle w:val="Hyperlink"/>
            <w:sz w:val="24"/>
            <w:lang w:val="el-GR"/>
          </w:rPr>
          <w:t>https://doi.org/10.1371/journal.pone.0219610</w:t>
        </w:r>
      </w:hyperlink>
      <w:r w:rsidRPr="004D5AFB">
        <w:rPr>
          <w:sz w:val="24"/>
          <w:lang w:val="el-GR"/>
        </w:rPr>
        <w:t xml:space="preserve"> και</w:t>
      </w:r>
      <w:r w:rsidRPr="004D5AFB">
        <w:rPr>
          <w:sz w:val="24"/>
          <w:lang w:val="el-GR"/>
        </w:rPr>
        <w:br/>
      </w:r>
      <w:hyperlink r:id="rId23" w:history="1">
        <w:r w:rsidRPr="004D5AFB">
          <w:rPr>
            <w:rStyle w:val="Hyperlink"/>
            <w:sz w:val="24"/>
            <w:lang w:val="el-GR"/>
          </w:rPr>
          <w:t>https://doi.org/10.1186/s13045-019-0767-9</w:t>
        </w:r>
      </w:hyperlink>
      <w:r w:rsidRPr="004D5AFB">
        <w:rPr>
          <w:sz w:val="24"/>
          <w:lang w:val="el-GR"/>
        </w:rPr>
        <w:t>.</w:t>
      </w:r>
    </w:p>
  </w:footnote>
  <w:footnote w:id="10">
    <w:p w14:paraId="5208F9ED" w14:textId="72767DAB" w:rsidR="00BE3177" w:rsidRPr="004D5AFB" w:rsidRDefault="00BE3177" w:rsidP="004F20A9">
      <w:pPr>
        <w:pStyle w:val="FootnoteText"/>
        <w:spacing w:line="240" w:lineRule="auto"/>
        <w:ind w:left="567" w:hanging="567"/>
        <w:rPr>
          <w:sz w:val="24"/>
          <w:lang w:val="el-GR"/>
        </w:rPr>
      </w:pPr>
      <w:r w:rsidRPr="004D5AFB">
        <w:rPr>
          <w:rStyle w:val="FootnoteReference"/>
          <w:sz w:val="24"/>
          <w:lang w:val="el-GR"/>
        </w:rPr>
        <w:footnoteRef/>
      </w:r>
      <w:r w:rsidR="004D5AFB" w:rsidRPr="004D5AFB">
        <w:rPr>
          <w:color w:val="000000" w:themeColor="text1"/>
          <w:sz w:val="24"/>
          <w:lang w:val="el-GR"/>
        </w:rPr>
        <w:t xml:space="preserve"> </w:t>
      </w:r>
      <w:r w:rsidR="004D5AFB" w:rsidRPr="004D5AFB">
        <w:rPr>
          <w:color w:val="000000" w:themeColor="text1"/>
          <w:sz w:val="24"/>
          <w:lang w:val="el-GR"/>
        </w:rPr>
        <w:tab/>
      </w:r>
      <w:r w:rsidRPr="004D5AFB">
        <w:rPr>
          <w:color w:val="000000" w:themeColor="text1"/>
          <w:sz w:val="24"/>
          <w:lang w:val="el-GR"/>
        </w:rPr>
        <w:t>Τον Δεκέμβριο του 2022 συμφωνήθηκε ένα παγκόσμιο πλαίσιο για τη βιοποικιλότητα στην COP15 της Σύμβασης των Ηνωμένων Εθνών για τη βιολογική ποικιλότητα, το οποίο περιλαμβάνει έναν παγκόσμιο στόχο για τη μείωση του κινδύνου από τα φυτοφάρμακα κατά τουλάχιστον 50</w:t>
      </w:r>
      <w:r w:rsidRPr="004D5AFB">
        <w:rPr>
          <w:sz w:val="24"/>
          <w:lang w:val="el-GR"/>
        </w:rPr>
        <w:t> </w:t>
      </w:r>
      <w:r w:rsidRPr="004D5AFB">
        <w:rPr>
          <w:color w:val="000000" w:themeColor="text1"/>
          <w:sz w:val="24"/>
          <w:lang w:val="el-GR"/>
        </w:rPr>
        <w:t xml:space="preserve">% έως το 2030 (βλ.: </w:t>
      </w:r>
      <w:hyperlink r:id="rId24" w:history="1">
        <w:r w:rsidRPr="004D5AFB">
          <w:rPr>
            <w:rStyle w:val="Hyperlink"/>
            <w:sz w:val="24"/>
            <w:lang w:val="el-GR"/>
          </w:rPr>
          <w:t>https://ec.europa.eu/commission/presscorner/detail/en/ip_22_7834</w:t>
        </w:r>
      </w:hyperlink>
      <w:r w:rsidRPr="004D5AFB">
        <w:rPr>
          <w:sz w:val="24"/>
          <w:lang w:val="el-GR"/>
        </w:rPr>
        <w:t>).</w:t>
      </w:r>
    </w:p>
  </w:footnote>
  <w:footnote w:id="11">
    <w:p w14:paraId="3D68E90A" w14:textId="7A55759A" w:rsidR="00BE3177" w:rsidRPr="004D5AFB" w:rsidRDefault="00BE3177" w:rsidP="004F20A9">
      <w:pPr>
        <w:pStyle w:val="FootnoteText"/>
        <w:spacing w:line="240" w:lineRule="auto"/>
        <w:ind w:left="567" w:hanging="567"/>
        <w:rPr>
          <w:sz w:val="24"/>
          <w:lang w:val="el-GR"/>
        </w:rPr>
      </w:pPr>
      <w:r w:rsidRPr="004D5AFB">
        <w:rPr>
          <w:rStyle w:val="FootnoteReference"/>
          <w:sz w:val="24"/>
          <w:lang w:val="el-GR"/>
        </w:rPr>
        <w:footnoteRef/>
      </w:r>
      <w:r w:rsidR="004D5AFB" w:rsidRPr="004D5AFB">
        <w:rPr>
          <w:sz w:val="24"/>
          <w:lang w:val="el-GR"/>
        </w:rPr>
        <w:t xml:space="preserve"> </w:t>
      </w:r>
      <w:r w:rsidR="004D5AFB" w:rsidRPr="004D5AFB">
        <w:rPr>
          <w:sz w:val="24"/>
          <w:lang w:val="el-GR"/>
        </w:rPr>
        <w:tab/>
      </w:r>
      <w:hyperlink r:id="rId25" w:history="1">
        <w:r w:rsidRPr="004D5AFB">
          <w:rPr>
            <w:rStyle w:val="Hyperlink"/>
            <w:sz w:val="24"/>
            <w:lang w:val="el-GR"/>
          </w:rPr>
          <w:t>https://commission.europa.eu/topics/agriculture-and-rural-development/strategic-dialogue-future-eu-agriculture_el</w:t>
        </w:r>
      </w:hyperlink>
      <w:r w:rsidRPr="004D5AFB">
        <w:rPr>
          <w:rStyle w:val="Hyperlink"/>
          <w:sz w:val="24"/>
          <w:lang w:val="el-GR"/>
        </w:rPr>
        <w:t>.</w:t>
      </w:r>
      <w:r w:rsidRPr="004D5AFB">
        <w:rPr>
          <w:sz w:val="24"/>
          <w:lang w:val="el-GR"/>
        </w:rPr>
        <w:t xml:space="preserve"> </w:t>
      </w:r>
    </w:p>
  </w:footnote>
  <w:footnote w:id="12">
    <w:p w14:paraId="7CC10CB4" w14:textId="52671EF9" w:rsidR="00BE3177" w:rsidRPr="004D5AFB" w:rsidRDefault="00BE3177" w:rsidP="004F20A9">
      <w:pPr>
        <w:pStyle w:val="FootnoteText"/>
        <w:spacing w:line="240" w:lineRule="auto"/>
        <w:ind w:left="567" w:hanging="567"/>
        <w:rPr>
          <w:sz w:val="24"/>
          <w:lang w:val="el-GR"/>
        </w:rPr>
      </w:pPr>
      <w:r w:rsidRPr="004D5AFB">
        <w:rPr>
          <w:rStyle w:val="FootnoteReference"/>
          <w:sz w:val="24"/>
          <w:lang w:val="el-GR"/>
        </w:rPr>
        <w:footnoteRef/>
      </w:r>
      <w:r w:rsidR="004D5AFB" w:rsidRPr="004D5AFB">
        <w:rPr>
          <w:sz w:val="24"/>
          <w:lang w:val="el-GR"/>
        </w:rPr>
        <w:t xml:space="preserve"> </w:t>
      </w:r>
      <w:r w:rsidR="004D5AFB" w:rsidRPr="004D5AFB">
        <w:rPr>
          <w:sz w:val="24"/>
          <w:lang w:val="el-GR"/>
        </w:rPr>
        <w:tab/>
      </w:r>
      <w:r w:rsidRPr="004D5AFB">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w:t>
      </w:r>
      <w:r w:rsidRPr="004D5AFB">
        <w:rPr>
          <w:sz w:val="24"/>
          <w:lang w:val="el-GR"/>
        </w:rPr>
        <w:t>1, ELI: </w:t>
      </w:r>
      <w:hyperlink r:id="rId26" w:tgtFrame="Gives%20access%20to%20this%20document%20through%20its%20ELI%20URI." w:history="1">
        <w:r w:rsidRPr="004D5AFB">
          <w:rPr>
            <w:rStyle w:val="Hyperlink"/>
            <w:sz w:val="24"/>
            <w:lang w:val="el-GR"/>
          </w:rPr>
          <w:t>http://data.europa.eu/eli/reg/2002/178/oj</w:t>
        </w:r>
      </w:hyperlink>
      <w:r w:rsidRPr="004D5AFB">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A1808" w14:textId="77777777" w:rsidR="00064002" w:rsidRPr="004D5AF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A8A0D" w14:textId="77777777" w:rsidR="00064002" w:rsidRPr="004D5AF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4B279" w14:textId="77777777" w:rsidR="00064002" w:rsidRPr="004D5A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0234218">
    <w:abstractNumId w:val="9"/>
  </w:num>
  <w:num w:numId="2" w16cid:durableId="853298998">
    <w:abstractNumId w:val="9"/>
  </w:num>
  <w:num w:numId="3" w16cid:durableId="1676881172">
    <w:abstractNumId w:val="7"/>
  </w:num>
  <w:num w:numId="4" w16cid:durableId="1469976691">
    <w:abstractNumId w:val="7"/>
  </w:num>
  <w:num w:numId="5" w16cid:durableId="1067190781">
    <w:abstractNumId w:val="6"/>
  </w:num>
  <w:num w:numId="6" w16cid:durableId="709110511">
    <w:abstractNumId w:val="6"/>
  </w:num>
  <w:num w:numId="7" w16cid:durableId="822042023">
    <w:abstractNumId w:val="5"/>
  </w:num>
  <w:num w:numId="8" w16cid:durableId="872770776">
    <w:abstractNumId w:val="5"/>
  </w:num>
  <w:num w:numId="9" w16cid:durableId="1283807229">
    <w:abstractNumId w:val="4"/>
  </w:num>
  <w:num w:numId="10" w16cid:durableId="1220554495">
    <w:abstractNumId w:val="4"/>
  </w:num>
  <w:num w:numId="11" w16cid:durableId="1287808836">
    <w:abstractNumId w:val="8"/>
  </w:num>
  <w:num w:numId="12" w16cid:durableId="1637567559">
    <w:abstractNumId w:val="8"/>
  </w:num>
  <w:num w:numId="13" w16cid:durableId="654725656">
    <w:abstractNumId w:val="3"/>
  </w:num>
  <w:num w:numId="14" w16cid:durableId="96676826">
    <w:abstractNumId w:val="3"/>
  </w:num>
  <w:num w:numId="15" w16cid:durableId="951673527">
    <w:abstractNumId w:val="2"/>
  </w:num>
  <w:num w:numId="16" w16cid:durableId="2104841684">
    <w:abstractNumId w:val="2"/>
  </w:num>
  <w:num w:numId="17" w16cid:durableId="160583768">
    <w:abstractNumId w:val="1"/>
  </w:num>
  <w:num w:numId="18" w16cid:durableId="79526109">
    <w:abstractNumId w:val="1"/>
  </w:num>
  <w:num w:numId="19" w16cid:durableId="1633168741">
    <w:abstractNumId w:val="0"/>
  </w:num>
  <w:num w:numId="20" w16cid:durableId="373043393">
    <w:abstractNumId w:val="0"/>
  </w:num>
  <w:num w:numId="21" w16cid:durableId="1706371908">
    <w:abstractNumId w:val="9"/>
  </w:num>
  <w:num w:numId="22" w16cid:durableId="1490174582">
    <w:abstractNumId w:val="7"/>
  </w:num>
  <w:num w:numId="23" w16cid:durableId="1832132730">
    <w:abstractNumId w:val="6"/>
  </w:num>
  <w:num w:numId="24" w16cid:durableId="1084571083">
    <w:abstractNumId w:val="5"/>
  </w:num>
  <w:num w:numId="25" w16cid:durableId="113718254">
    <w:abstractNumId w:val="4"/>
  </w:num>
  <w:num w:numId="26" w16cid:durableId="1070427637">
    <w:abstractNumId w:val="8"/>
  </w:num>
  <w:num w:numId="27" w16cid:durableId="542983241">
    <w:abstractNumId w:val="3"/>
  </w:num>
  <w:num w:numId="28" w16cid:durableId="1231505970">
    <w:abstractNumId w:val="2"/>
  </w:num>
  <w:num w:numId="29" w16cid:durableId="557131462">
    <w:abstractNumId w:val="1"/>
  </w:num>
  <w:num w:numId="30" w16cid:durableId="1070539057">
    <w:abstractNumId w:val="0"/>
  </w:num>
  <w:num w:numId="31" w16cid:durableId="1957448759">
    <w:abstractNumId w:val="9"/>
  </w:num>
  <w:num w:numId="32" w16cid:durableId="788623857">
    <w:abstractNumId w:val="7"/>
  </w:num>
  <w:num w:numId="33" w16cid:durableId="540245554">
    <w:abstractNumId w:val="6"/>
  </w:num>
  <w:num w:numId="34" w16cid:durableId="441611233">
    <w:abstractNumId w:val="5"/>
  </w:num>
  <w:num w:numId="35" w16cid:durableId="222176985">
    <w:abstractNumId w:val="4"/>
  </w:num>
  <w:num w:numId="36" w16cid:durableId="1421488433">
    <w:abstractNumId w:val="8"/>
  </w:num>
  <w:num w:numId="37" w16cid:durableId="1641224660">
    <w:abstractNumId w:val="3"/>
  </w:num>
  <w:num w:numId="38" w16cid:durableId="1477724609">
    <w:abstractNumId w:val="2"/>
  </w:num>
  <w:num w:numId="39" w16cid:durableId="1047489872">
    <w:abstractNumId w:val="1"/>
  </w:num>
  <w:num w:numId="40" w16cid:durableId="1196307358">
    <w:abstractNumId w:val="0"/>
  </w:num>
  <w:num w:numId="41" w16cid:durableId="2090423836">
    <w:abstractNumId w:val="10"/>
  </w:num>
  <w:num w:numId="42" w16cid:durableId="580145026">
    <w:abstractNumId w:val="10"/>
  </w:num>
  <w:num w:numId="43" w16cid:durableId="2004822043">
    <w:abstractNumId w:val="10"/>
  </w:num>
  <w:num w:numId="44" w16cid:durableId="18307104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EL"/>
    <w:docVar w:name="dvnumam" w:val="0"/>
    <w:docVar w:name="dvpe" w:val="779.397"/>
    <w:docVar w:name="dvtitre" w:val="Ψήφισμα του Ευρωπαϊκού Κοινοβουλίου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NK603, σύμφωνα με τον κανονισμό (ΕΚ) αριθ. 1829/2003 του Ευρωπαϊκού Κοινοβουλίου και του Συμβουλίου(D110123/02 – 2025/2958(RSP))"/>
  </w:docVars>
  <w:rsids>
    <w:rsidRoot w:val="00E51ACD"/>
    <w:rsid w:val="00002272"/>
    <w:rsid w:val="00064002"/>
    <w:rsid w:val="000677B9"/>
    <w:rsid w:val="000831BA"/>
    <w:rsid w:val="000A42CC"/>
    <w:rsid w:val="000E7DD9"/>
    <w:rsid w:val="0010095E"/>
    <w:rsid w:val="00125B37"/>
    <w:rsid w:val="00187494"/>
    <w:rsid w:val="001F32AE"/>
    <w:rsid w:val="00247B2D"/>
    <w:rsid w:val="002767FF"/>
    <w:rsid w:val="002B18FE"/>
    <w:rsid w:val="002B5493"/>
    <w:rsid w:val="00343214"/>
    <w:rsid w:val="00361C00"/>
    <w:rsid w:val="00395FA1"/>
    <w:rsid w:val="003B0ECD"/>
    <w:rsid w:val="003D41F5"/>
    <w:rsid w:val="003E15D4"/>
    <w:rsid w:val="00411CCE"/>
    <w:rsid w:val="0041666E"/>
    <w:rsid w:val="00421060"/>
    <w:rsid w:val="00471C19"/>
    <w:rsid w:val="004867E3"/>
    <w:rsid w:val="00494A28"/>
    <w:rsid w:val="004C0004"/>
    <w:rsid w:val="004C5D52"/>
    <w:rsid w:val="004D5AFB"/>
    <w:rsid w:val="004F20A9"/>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5E5"/>
    <w:rsid w:val="008C2AC6"/>
    <w:rsid w:val="00930C23"/>
    <w:rsid w:val="0093193B"/>
    <w:rsid w:val="009509D8"/>
    <w:rsid w:val="00950B64"/>
    <w:rsid w:val="00981893"/>
    <w:rsid w:val="00A1687D"/>
    <w:rsid w:val="00A43E52"/>
    <w:rsid w:val="00A4678D"/>
    <w:rsid w:val="00A70C46"/>
    <w:rsid w:val="00A778C7"/>
    <w:rsid w:val="00AB441E"/>
    <w:rsid w:val="00AB6293"/>
    <w:rsid w:val="00AE0928"/>
    <w:rsid w:val="00AF3B82"/>
    <w:rsid w:val="00B12E95"/>
    <w:rsid w:val="00B22876"/>
    <w:rsid w:val="00B558F0"/>
    <w:rsid w:val="00BD48FE"/>
    <w:rsid w:val="00BD7BD8"/>
    <w:rsid w:val="00BE3177"/>
    <w:rsid w:val="00BE6ADC"/>
    <w:rsid w:val="00C05BFE"/>
    <w:rsid w:val="00C23CD4"/>
    <w:rsid w:val="00C61C0C"/>
    <w:rsid w:val="00C941CB"/>
    <w:rsid w:val="00CC2357"/>
    <w:rsid w:val="00CF071A"/>
    <w:rsid w:val="00D058B8"/>
    <w:rsid w:val="00D56C11"/>
    <w:rsid w:val="00D834A0"/>
    <w:rsid w:val="00D872DF"/>
    <w:rsid w:val="00D91E21"/>
    <w:rsid w:val="00DA7FCD"/>
    <w:rsid w:val="00DE386C"/>
    <w:rsid w:val="00E365E1"/>
    <w:rsid w:val="00E51AC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4E741"/>
  <w15:chartTrackingRefBased/>
  <w15:docId w15:val="{289C1A2A-4AE8-4B68-B15D-28966C295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BE3177"/>
    <w:pPr>
      <w:spacing w:before="480" w:after="240"/>
    </w:pPr>
  </w:style>
  <w:style w:type="paragraph" w:customStyle="1" w:styleId="NormalHanging12a">
    <w:name w:val="NormalHanging12a"/>
    <w:basedOn w:val="Normal"/>
    <w:uiPriority w:val="99"/>
    <w:qFormat/>
    <w:rsid w:val="00BE3177"/>
    <w:pPr>
      <w:spacing w:after="240"/>
      <w:ind w:left="567" w:hanging="567"/>
    </w:pPr>
  </w:style>
  <w:style w:type="paragraph" w:customStyle="1" w:styleId="NormalBold">
    <w:name w:val="NormalBold"/>
    <w:basedOn w:val="Normal"/>
    <w:uiPriority w:val="99"/>
    <w:rsid w:val="00BE3177"/>
    <w:rPr>
      <w:b/>
    </w:rPr>
  </w:style>
  <w:style w:type="character" w:styleId="Hyperlink">
    <w:name w:val="Hyperlink"/>
    <w:basedOn w:val="DefaultParagraphFont"/>
    <w:uiPriority w:val="99"/>
    <w:rsid w:val="00BE3177"/>
    <w:rPr>
      <w:color w:val="0563C1" w:themeColor="hyperlink"/>
      <w:u w:val="single"/>
    </w:rPr>
  </w:style>
  <w:style w:type="paragraph" w:styleId="NormalWeb">
    <w:name w:val="Normal (Web)"/>
    <w:basedOn w:val="Normal"/>
    <w:uiPriority w:val="99"/>
    <w:unhideWhenUsed/>
    <w:rsid w:val="00BE3177"/>
    <w:pPr>
      <w:widowControl/>
      <w:spacing w:before="100" w:beforeAutospacing="1" w:after="100" w:afterAutospacing="1"/>
    </w:pPr>
    <w:rPr>
      <w:szCs w:val="24"/>
    </w:rPr>
  </w:style>
  <w:style w:type="paragraph" w:styleId="Revision">
    <w:name w:val="Revision"/>
    <w:hidden/>
    <w:uiPriority w:val="99"/>
    <w:semiHidden/>
    <w:rsid w:val="004F20A9"/>
    <w:rPr>
      <w:sz w:val="24"/>
      <w:lang w:val="el-GR"/>
    </w:rPr>
  </w:style>
  <w:style w:type="character" w:styleId="UnresolvedMention">
    <w:name w:val="Unresolved Mention"/>
    <w:basedOn w:val="DefaultParagraphFont"/>
    <w:uiPriority w:val="99"/>
    <w:semiHidden/>
    <w:unhideWhenUsed/>
    <w:rsid w:val="004F2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topics/agriculture-and-rural-development/strategic-dialogue-future-eu-agriculture_el"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en/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1710</Words>
  <Characters>10212</Characters>
  <Application>Microsoft Office Word</Application>
  <DocSecurity>0</DocSecurity>
  <Lines>255</Lines>
  <Paragraphs>147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RELFINALE Amalia</dc:creator>
  <cp:keywords/>
  <cp:lastModifiedBy>SAVVIDOU Viktoria</cp:lastModifiedBy>
  <cp:revision>2</cp:revision>
  <cp:lastPrinted>2004-11-19T15:42:00Z</cp:lastPrinted>
  <dcterms:created xsi:type="dcterms:W3CDTF">2026-01-30T08:16:00Z</dcterms:created>
  <dcterms:modified xsi:type="dcterms:W3CDTF">2026-01-30T08:16:00Z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B10-0562/2025</vt:lpwstr>
  </property>
  <property fmtid="{D5CDD505-2E9C-101B-9397-08002B2CF9AE}" pid="4" name="&lt;Type&gt;">
    <vt:lpwstr>RR</vt:lpwstr>
  </property>
</Properties>
</file>