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D5166" w14:paraId="4E9D999F" w14:textId="77777777" w:rsidTr="0010095E">
        <w:trPr>
          <w:trHeight w:hRule="exact" w:val="1418"/>
        </w:trPr>
        <w:tc>
          <w:tcPr>
            <w:tcW w:w="6804" w:type="dxa"/>
            <w:shd w:val="clear" w:color="auto" w:fill="auto"/>
            <w:vAlign w:val="center"/>
          </w:tcPr>
          <w:p w14:paraId="7E0236E8" w14:textId="77777777" w:rsidR="00751A4A" w:rsidRPr="00FD5166" w:rsidRDefault="009B6DFB" w:rsidP="0010095E">
            <w:pPr>
              <w:pStyle w:val="EPName"/>
            </w:pPr>
            <w:r w:rsidRPr="00FD5166">
              <w:t>European Parliament</w:t>
            </w:r>
          </w:p>
          <w:p w14:paraId="36016029" w14:textId="77777777" w:rsidR="00751A4A" w:rsidRPr="00FD5166" w:rsidRDefault="005F1B17" w:rsidP="005F1B17">
            <w:pPr>
              <w:pStyle w:val="EPTerm"/>
              <w:rPr>
                <w:rStyle w:val="HideTWBExt"/>
                <w:noProof w:val="0"/>
                <w:vanish w:val="0"/>
                <w:color w:val="auto"/>
              </w:rPr>
            </w:pPr>
            <w:r w:rsidRPr="00FD5166">
              <w:t>2024</w:t>
            </w:r>
            <w:r w:rsidR="00817416" w:rsidRPr="00FD5166">
              <w:t>-202</w:t>
            </w:r>
            <w:r w:rsidRPr="00FD5166">
              <w:t>9</w:t>
            </w:r>
          </w:p>
        </w:tc>
        <w:tc>
          <w:tcPr>
            <w:tcW w:w="2268" w:type="dxa"/>
            <w:shd w:val="clear" w:color="auto" w:fill="auto"/>
          </w:tcPr>
          <w:p w14:paraId="6DD2E4BA" w14:textId="77777777" w:rsidR="00751A4A" w:rsidRPr="00FD5166" w:rsidRDefault="00187494" w:rsidP="0010095E">
            <w:pPr>
              <w:pStyle w:val="EPLogo"/>
            </w:pPr>
            <w:r w:rsidRPr="00FD5166">
              <w:rPr>
                <w:noProof/>
                <w:lang w:eastAsia="ja-JP"/>
              </w:rPr>
              <w:drawing>
                <wp:inline distT="0" distB="0" distL="0" distR="0" wp14:anchorId="78DD5F04" wp14:editId="5F93153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F1B51E4" w14:textId="77777777" w:rsidR="00D058B8" w:rsidRPr="00FD5166" w:rsidRDefault="00D058B8" w:rsidP="004C5D52">
      <w:pPr>
        <w:pStyle w:val="LineTop"/>
      </w:pPr>
    </w:p>
    <w:p w14:paraId="2621453D" w14:textId="77777777" w:rsidR="00680577" w:rsidRPr="00FD5166" w:rsidRDefault="009B6DFB" w:rsidP="00680577">
      <w:pPr>
        <w:pStyle w:val="EPBodyTA1"/>
      </w:pPr>
      <w:r w:rsidRPr="00FD5166">
        <w:t>TEXTS ADOPTED</w:t>
      </w:r>
    </w:p>
    <w:p w14:paraId="6569EB7B" w14:textId="77777777" w:rsidR="00D058B8" w:rsidRPr="00FD5166" w:rsidRDefault="00D058B8" w:rsidP="00D058B8">
      <w:pPr>
        <w:pStyle w:val="LineBottom"/>
      </w:pPr>
    </w:p>
    <w:p w14:paraId="2B7BC1F9" w14:textId="1C047212" w:rsidR="009B6DFB" w:rsidRPr="00FD5166" w:rsidRDefault="009B6DFB" w:rsidP="009B6DFB">
      <w:pPr>
        <w:pStyle w:val="ATHeading1"/>
      </w:pPr>
      <w:bookmarkStart w:id="0" w:name="TANumber"/>
      <w:r w:rsidRPr="00FD5166">
        <w:t>P10_TA(2025)0</w:t>
      </w:r>
      <w:bookmarkEnd w:id="0"/>
      <w:r w:rsidR="00E0543A">
        <w:t>327</w:t>
      </w:r>
    </w:p>
    <w:p w14:paraId="45CD43B3" w14:textId="555BF4FC" w:rsidR="009B6DFB" w:rsidRPr="00FD5166" w:rsidRDefault="009B6DFB" w:rsidP="009B6DFB">
      <w:pPr>
        <w:pStyle w:val="ATHeading2"/>
      </w:pPr>
      <w:bookmarkStart w:id="1" w:name="title"/>
      <w:r w:rsidRPr="00FD5166">
        <w:t>Genetically modified maize NK603</w:t>
      </w:r>
      <w:bookmarkEnd w:id="1"/>
    </w:p>
    <w:p w14:paraId="6EAB067D" w14:textId="77777777" w:rsidR="009B6DFB" w:rsidRPr="00FD5166" w:rsidRDefault="009B6DFB" w:rsidP="009B6DFB">
      <w:pPr>
        <w:rPr>
          <w:i/>
          <w:vanish/>
        </w:rPr>
      </w:pPr>
      <w:r w:rsidRPr="00FD5166">
        <w:rPr>
          <w:i/>
        </w:rPr>
        <w:fldChar w:fldCharType="begin"/>
      </w:r>
      <w:r w:rsidRPr="00FD5166">
        <w:rPr>
          <w:i/>
        </w:rPr>
        <w:instrText xml:space="preserve"> TC"(</w:instrText>
      </w:r>
      <w:bookmarkStart w:id="2" w:name="DocNumber"/>
      <w:r w:rsidRPr="00FD5166">
        <w:rPr>
          <w:i/>
        </w:rPr>
        <w:instrText>B10-0562/2025</w:instrText>
      </w:r>
      <w:bookmarkEnd w:id="2"/>
      <w:r w:rsidRPr="00FD5166">
        <w:rPr>
          <w:i/>
        </w:rPr>
        <w:instrText xml:space="preserve">)"\l3 \n&gt; \* MERGEFORMAT </w:instrText>
      </w:r>
      <w:r w:rsidRPr="00FD5166">
        <w:rPr>
          <w:i/>
        </w:rPr>
        <w:fldChar w:fldCharType="end"/>
      </w:r>
    </w:p>
    <w:p w14:paraId="3224C8CC" w14:textId="77777777" w:rsidR="009B6DFB" w:rsidRPr="00FD5166" w:rsidRDefault="009B6DFB" w:rsidP="009B6DFB">
      <w:pPr>
        <w:rPr>
          <w:vanish/>
        </w:rPr>
      </w:pPr>
      <w:bookmarkStart w:id="3" w:name="PE"/>
      <w:r w:rsidRPr="00FD5166">
        <w:rPr>
          <w:vanish/>
        </w:rPr>
        <w:t>PE779.397</w:t>
      </w:r>
      <w:bookmarkEnd w:id="3"/>
    </w:p>
    <w:p w14:paraId="25F595E8" w14:textId="43D250D2" w:rsidR="009B6DFB" w:rsidRPr="00FD5166" w:rsidRDefault="009B6DFB" w:rsidP="0035005B">
      <w:pPr>
        <w:pStyle w:val="ATHeading3"/>
      </w:pPr>
      <w:bookmarkStart w:id="4" w:name="Sujet"/>
      <w:r w:rsidRPr="00FD5166">
        <w:t>European Parliament resolution of 16 December 2025 on the draft Commission Implementing Decision of renewing the authorisation for the placing on the market of products containing, consisting of or produced from genetically modified maize NK603 pursuant to Regulation (EC) No</w:t>
      </w:r>
      <w:r w:rsidR="00613EEE">
        <w:t> </w:t>
      </w:r>
      <w:r w:rsidRPr="00FD5166">
        <w:t>1829/2003 of the European Parliament and of the Council</w:t>
      </w:r>
      <w:bookmarkEnd w:id="4"/>
      <w:r w:rsidRPr="00FD5166">
        <w:t xml:space="preserve"> </w:t>
      </w:r>
      <w:bookmarkStart w:id="5" w:name="References"/>
      <w:r w:rsidRPr="00FD5166">
        <w:t>(D110123/02 – 2025/2958(RSP))</w:t>
      </w:r>
      <w:bookmarkEnd w:id="5"/>
    </w:p>
    <w:p w14:paraId="6455444E" w14:textId="77777777" w:rsidR="00D23245" w:rsidRPr="00FD5166" w:rsidRDefault="00D23245" w:rsidP="00D23245">
      <w:pPr>
        <w:pStyle w:val="EPComma"/>
      </w:pPr>
      <w:bookmarkStart w:id="6" w:name="TextBodyBegin"/>
      <w:bookmarkEnd w:id="6"/>
      <w:r w:rsidRPr="00FD5166">
        <w:rPr>
          <w:i/>
        </w:rPr>
        <w:t>The European Parliament</w:t>
      </w:r>
      <w:r w:rsidRPr="00FD5166">
        <w:t>,</w:t>
      </w:r>
    </w:p>
    <w:p w14:paraId="362A5F25" w14:textId="77777777" w:rsidR="00D23245" w:rsidRPr="00EA56D3" w:rsidRDefault="00D23245" w:rsidP="00EA56D3">
      <w:pPr>
        <w:pStyle w:val="NormalHanging12a"/>
        <w:widowControl/>
      </w:pPr>
      <w:r w:rsidRPr="00EA56D3">
        <w:t>–</w:t>
      </w:r>
      <w:r w:rsidRPr="00EA56D3">
        <w:tab/>
        <w:t>having regard to the draft Commission implementing decision renewing the authorisation for the placing on the market of products containing, consisting of or produced from genetically modified maize NK603 pursuant to Regulation (EC) No 1829/2003 of the European Parliament and of the Council (D110123/02),</w:t>
      </w:r>
    </w:p>
    <w:p w14:paraId="1290DD1F" w14:textId="77777777" w:rsidR="00D23245" w:rsidRPr="00EA56D3" w:rsidRDefault="00D23245" w:rsidP="00EA56D3">
      <w:pPr>
        <w:pStyle w:val="NormalHanging12a"/>
        <w:widowControl/>
      </w:pPr>
      <w:r w:rsidRPr="00EA56D3">
        <w:t>–</w:t>
      </w:r>
      <w:r w:rsidRPr="00EA56D3">
        <w:tab/>
        <w:t>having regard to Regulation (EC) No 1829/2003 of the European Parliament and of the Council of 22 September 2003 on genetically modified food and feed</w:t>
      </w:r>
      <w:r w:rsidRPr="00EA56D3">
        <w:rPr>
          <w:vertAlign w:val="superscript"/>
        </w:rPr>
        <w:footnoteReference w:id="1"/>
      </w:r>
      <w:r w:rsidRPr="00EA56D3">
        <w:t>, and in particular Article 11(3) and Article 22(3) thereof,</w:t>
      </w:r>
    </w:p>
    <w:p w14:paraId="5A7F9719" w14:textId="08E8F406" w:rsidR="00D23245" w:rsidRPr="00EA56D3" w:rsidRDefault="00D23245" w:rsidP="00EA56D3">
      <w:pPr>
        <w:pStyle w:val="NormalHanging12a"/>
        <w:widowControl/>
      </w:pPr>
      <w:r w:rsidRPr="00EA56D3">
        <w:t>–</w:t>
      </w:r>
      <w:r w:rsidRPr="00EA56D3">
        <w:tab/>
        <w:t>having regard to the vote of the Standing Committee on Plants, Animals, Food and Feed referred to in Article 35 of Regulation (EC) No 1829/2003, on 14 October 2025, at which no opinion was delivered,</w:t>
      </w:r>
      <w:r w:rsidR="00613EEE">
        <w:t xml:space="preserve"> </w:t>
      </w:r>
      <w:r w:rsidR="00613EEE" w:rsidRPr="004F4EE8">
        <w:t>and the vote of the Appeal Committee on 2</w:t>
      </w:r>
      <w:r w:rsidR="00613EEE">
        <w:t>8</w:t>
      </w:r>
      <w:r w:rsidR="00613EEE" w:rsidRPr="004F4EE8">
        <w:t> </w:t>
      </w:r>
      <w:r w:rsidR="00613EEE">
        <w:t>November </w:t>
      </w:r>
      <w:r w:rsidR="00613EEE" w:rsidRPr="004F4EE8">
        <w:t>2025, at which again no opinion was delivered,</w:t>
      </w:r>
    </w:p>
    <w:p w14:paraId="6BD473B2" w14:textId="77777777" w:rsidR="00D23245" w:rsidRPr="00EA56D3" w:rsidRDefault="00D23245" w:rsidP="00EA56D3">
      <w:pPr>
        <w:pStyle w:val="NormalHanging12a"/>
        <w:widowControl/>
        <w:rPr>
          <w:szCs w:val="24"/>
        </w:rPr>
      </w:pPr>
      <w:r w:rsidRPr="00EA56D3">
        <w:t>–</w:t>
      </w:r>
      <w:r w:rsidRPr="00EA56D3">
        <w:tab/>
      </w:r>
      <w:r w:rsidRPr="00EA56D3">
        <w:rPr>
          <w:szCs w:val="24"/>
        </w:rPr>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EA56D3">
        <w:rPr>
          <w:rStyle w:val="FootnoteReference"/>
          <w:szCs w:val="24"/>
        </w:rPr>
        <w:footnoteReference w:id="2"/>
      </w:r>
      <w:r w:rsidRPr="00EA56D3">
        <w:rPr>
          <w:szCs w:val="24"/>
        </w:rPr>
        <w:t>,</w:t>
      </w:r>
    </w:p>
    <w:p w14:paraId="506756CB" w14:textId="77777777" w:rsidR="00D23245" w:rsidRPr="00EA56D3" w:rsidRDefault="00D23245" w:rsidP="00EA56D3">
      <w:pPr>
        <w:pStyle w:val="NormalHanging12a"/>
        <w:widowControl/>
      </w:pPr>
      <w:r w:rsidRPr="00EA56D3">
        <w:lastRenderedPageBreak/>
        <w:t>–</w:t>
      </w:r>
      <w:r w:rsidRPr="00EA56D3">
        <w:tab/>
        <w:t>having regard to the opinion adopted by the European Food Safety Authority (EFSA) on 22 May 2025, and published on 20 June 2025</w:t>
      </w:r>
      <w:r w:rsidRPr="00EA56D3">
        <w:rPr>
          <w:rStyle w:val="FootnoteReference"/>
        </w:rPr>
        <w:footnoteReference w:id="3"/>
      </w:r>
      <w:r w:rsidRPr="00EA56D3">
        <w:t>,</w:t>
      </w:r>
    </w:p>
    <w:p w14:paraId="27798F93" w14:textId="77777777" w:rsidR="00D23245" w:rsidRPr="00EA56D3" w:rsidRDefault="00D23245" w:rsidP="00EA56D3">
      <w:pPr>
        <w:pStyle w:val="NormalHanging12a"/>
        <w:widowControl/>
      </w:pPr>
      <w:r w:rsidRPr="00EA56D3">
        <w:t>–</w:t>
      </w:r>
      <w:r w:rsidRPr="00EA56D3">
        <w:tab/>
        <w:t>having regard to its previous resolutions objecting to the authorisation of genetically modified organisms (GMOs)</w:t>
      </w:r>
      <w:r w:rsidRPr="00EA56D3">
        <w:rPr>
          <w:rStyle w:val="FootnoteReference"/>
        </w:rPr>
        <w:footnoteReference w:id="4"/>
      </w:r>
      <w:r w:rsidRPr="00EA56D3">
        <w:t>,</w:t>
      </w:r>
    </w:p>
    <w:p w14:paraId="7D85CE78" w14:textId="77777777" w:rsidR="00D23245" w:rsidRPr="00EA56D3" w:rsidRDefault="00D23245" w:rsidP="00EA56D3">
      <w:pPr>
        <w:pStyle w:val="NormalHanging12a"/>
        <w:widowControl/>
      </w:pPr>
      <w:r w:rsidRPr="00EA56D3">
        <w:lastRenderedPageBreak/>
        <w:t>–</w:t>
      </w:r>
      <w:r w:rsidRPr="00EA56D3">
        <w:tab/>
        <w:t>having regard to Rule 115(2) and (3) of its Rules of Procedure,</w:t>
      </w:r>
    </w:p>
    <w:p w14:paraId="114ECA28" w14:textId="77777777" w:rsidR="00D23245" w:rsidRPr="00EA56D3" w:rsidRDefault="00D23245" w:rsidP="00EA56D3">
      <w:pPr>
        <w:pStyle w:val="NormalHanging12a"/>
        <w:widowControl/>
      </w:pPr>
      <w:r w:rsidRPr="00EA56D3">
        <w:t>–</w:t>
      </w:r>
      <w:r w:rsidRPr="00EA56D3">
        <w:tab/>
        <w:t>having regard to the motion for a resolution of the Committee on the Environment, Climate and Food Safety,</w:t>
      </w:r>
    </w:p>
    <w:p w14:paraId="16AE1E0D" w14:textId="77777777" w:rsidR="00D23245" w:rsidRPr="00EA56D3" w:rsidRDefault="00D23245" w:rsidP="00EA56D3">
      <w:pPr>
        <w:pStyle w:val="NormalHanging12a"/>
        <w:widowControl/>
      </w:pPr>
      <w:r w:rsidRPr="00EA56D3">
        <w:t>A.</w:t>
      </w:r>
      <w:r w:rsidRPr="00EA56D3">
        <w:tab/>
        <w:t>whereas Commission Implementing Decision (EU) 2015/684</w:t>
      </w:r>
      <w:r w:rsidRPr="00EA56D3">
        <w:rPr>
          <w:rStyle w:val="FootnoteReference"/>
        </w:rPr>
        <w:footnoteReference w:id="5"/>
      </w:r>
      <w:r w:rsidRPr="00EA56D3">
        <w:rPr>
          <w:rFonts w:ascii="EUAlbertina" w:hAnsi="EUAlbertina"/>
        </w:rPr>
        <w:t xml:space="preserve"> </w:t>
      </w:r>
      <w:r w:rsidRPr="00EA56D3">
        <w:rPr>
          <w:szCs w:val="24"/>
        </w:rPr>
        <w:t>authorised the placing on the market of food and feed containing, consisting of or produced from genetically modified maize NK603 (the ‘GM maize’). The scope of that authorisation also covers the placing on the market of products, other than food and feed, containing or consisting of genetically modified maize NK603 for the same uses as any other maize, with the exception of cultivation</w:t>
      </w:r>
      <w:r w:rsidRPr="00EA56D3">
        <w:t>;</w:t>
      </w:r>
    </w:p>
    <w:p w14:paraId="30C39112" w14:textId="77777777" w:rsidR="00D23245" w:rsidRPr="00EA56D3" w:rsidRDefault="00D23245" w:rsidP="00EA56D3">
      <w:pPr>
        <w:pStyle w:val="NormalHanging12a"/>
        <w:widowControl/>
      </w:pPr>
      <w:r w:rsidRPr="00EA56D3">
        <w:t>B.</w:t>
      </w:r>
      <w:r w:rsidRPr="00EA56D3">
        <w:tab/>
        <w:t>whereas on 11 March 2024, Bayer Agriculture B.V., based in Belgium, submitted on behalf of Bayer CropScience LP, based in the United States, an application to the Commission, in accordance with Articles 11 and 23 of Regulation (EC) No 1829/2003, for the renewal of that authorisation;</w:t>
      </w:r>
    </w:p>
    <w:p w14:paraId="59A129CB" w14:textId="77777777" w:rsidR="00D23245" w:rsidRPr="00EA56D3" w:rsidRDefault="00D23245" w:rsidP="00EA56D3">
      <w:pPr>
        <w:pStyle w:val="NormalHanging12a"/>
        <w:widowControl/>
      </w:pPr>
      <w:r w:rsidRPr="00EA56D3">
        <w:t>C.</w:t>
      </w:r>
      <w:r w:rsidRPr="00EA56D3">
        <w:tab/>
        <w:t>whereas on 20 June 2025, EFSA issued a favourable scientific opinion on the GM</w:t>
      </w:r>
      <w:r w:rsidRPr="00EA56D3">
        <w:rPr>
          <w:szCs w:val="24"/>
        </w:rPr>
        <w:t xml:space="preserve"> maize </w:t>
      </w:r>
      <w:r w:rsidRPr="00EA56D3">
        <w:t>in accordance with Articles 6 and 18 of Regulation (EC) No 1829/2003, in which it concluded that the renewal application did not contain evidence of any new hazards, modified exposure or scientific uncertainties that would change the conclusions of the original risk assessment on the GM maize, adopted by EFSA in 2009</w:t>
      </w:r>
      <w:r w:rsidRPr="00EA56D3">
        <w:rPr>
          <w:rStyle w:val="FootnoteReference"/>
          <w:szCs w:val="24"/>
        </w:rPr>
        <w:footnoteReference w:id="6"/>
      </w:r>
      <w:r w:rsidRPr="00EA56D3">
        <w:t>; whereas those opinions did not address several broader environmental, socio-economic, and cumulative impacts which EFSA considers to fall outside its remit;</w:t>
      </w:r>
    </w:p>
    <w:p w14:paraId="16CD2AD0" w14:textId="77777777" w:rsidR="00D23245" w:rsidRPr="00EA56D3" w:rsidRDefault="00D23245" w:rsidP="00EA56D3">
      <w:pPr>
        <w:pStyle w:val="NormalHanging12a"/>
        <w:widowControl/>
      </w:pPr>
      <w:r w:rsidRPr="00EA56D3">
        <w:t>D.</w:t>
      </w:r>
      <w:r w:rsidRPr="00EA56D3">
        <w:tab/>
        <w:t xml:space="preserve">whereas the GM maize has been developed to confer tolerance to glyphosate; </w:t>
      </w:r>
    </w:p>
    <w:p w14:paraId="57F02DC6" w14:textId="77777777" w:rsidR="00D23245" w:rsidRPr="00EA56D3" w:rsidRDefault="00D23245" w:rsidP="00EA56D3">
      <w:pPr>
        <w:pStyle w:val="NormalHanging12a"/>
        <w:widowControl/>
      </w:pPr>
      <w:r w:rsidRPr="00EA56D3">
        <w:t>E.</w:t>
      </w:r>
      <w:r w:rsidRPr="00EA56D3">
        <w:tab/>
        <w:t xml:space="preserve">whereas the risk assessments carried out by EFSA did not include long-term toxicological studies or detailed analysis of cumulative and combinatorial effects, </w:t>
      </w:r>
      <w:r w:rsidRPr="00EA56D3">
        <w:lastRenderedPageBreak/>
        <w:t>including potential interactions with residues of pesticides commonly used in maize cultivation;</w:t>
      </w:r>
    </w:p>
    <w:p w14:paraId="3418F852" w14:textId="77777777" w:rsidR="00D23245" w:rsidRPr="00EA56D3" w:rsidRDefault="00D23245" w:rsidP="00EA56D3">
      <w:pPr>
        <w:pStyle w:val="NormalHanging12a"/>
        <w:widowControl/>
        <w:rPr>
          <w:szCs w:val="24"/>
        </w:rPr>
      </w:pPr>
      <w:r w:rsidRPr="00EA56D3">
        <w:rPr>
          <w:szCs w:val="24"/>
        </w:rPr>
        <w:t>F.</w:t>
      </w:r>
      <w:r w:rsidRPr="00EA56D3">
        <w:rPr>
          <w:szCs w:val="24"/>
        </w:rPr>
        <w:tab/>
        <w:t>whereas the vast majority of GM crops, including the GM maize, have been genetically modified so that they are tolerant to one or more ‘complementary’ herbicides which can be used throughout the cultivation of the GM crop, without the crop dying, as would be the case for a non-herbicide tolerant crop; whereas a number of studies show that herbicide-tolerant GM crops result in a higher use of complementary herbicides, in large part because of the emergence of herbicide-tolerant weeds</w:t>
      </w:r>
      <w:r w:rsidRPr="00EA56D3">
        <w:rPr>
          <w:rStyle w:val="FootnoteReference"/>
          <w:szCs w:val="24"/>
        </w:rPr>
        <w:footnoteReference w:id="7"/>
      </w:r>
      <w:r w:rsidRPr="00EA56D3">
        <w:rPr>
          <w:szCs w:val="24"/>
        </w:rPr>
        <w:t>;</w:t>
      </w:r>
    </w:p>
    <w:p w14:paraId="3CFB3123" w14:textId="77777777" w:rsidR="00D23245" w:rsidRPr="00EA56D3" w:rsidRDefault="00D23245" w:rsidP="00EA56D3">
      <w:pPr>
        <w:widowControl/>
        <w:spacing w:after="240"/>
        <w:ind w:left="567" w:hanging="567"/>
        <w:rPr>
          <w:szCs w:val="24"/>
        </w:rPr>
      </w:pPr>
      <w:r w:rsidRPr="00EA56D3">
        <w:rPr>
          <w:szCs w:val="24"/>
        </w:rPr>
        <w:t>G.</w:t>
      </w:r>
      <w:r w:rsidRPr="00EA56D3">
        <w:rPr>
          <w:szCs w:val="24"/>
        </w:rPr>
        <w:tab/>
        <w:t>whereas herbicide-tolerant GM crops lock farmers into a weed management system that is largely or wholly dependent on herbicides, and does so by charging a premium for GM seeds that can be justified only if farmers purchasing such seed also spray the complementary herbicides; whereas heightened reliance on the complementary herbicides on farms planting the GM maize will accelerate the emergence and spread of weeds resistant to those herbicides, thereby triggering the need for even more herbicide use, a vicious circle known as ‘the herbicide treadmill’; whereas, as a consequence, the adverse impacts stemming from excessive reliance on herbicides will worsen on soil health, water quality, and above and below ground biodiversity, as well as leading to increased human and animal exposure, potentially also via increased herbicide residues on food and feed</w:t>
      </w:r>
      <w:r w:rsidRPr="00EA56D3">
        <w:rPr>
          <w:rStyle w:val="FootnoteReference"/>
          <w:szCs w:val="24"/>
        </w:rPr>
        <w:footnoteReference w:id="8"/>
      </w:r>
      <w:r w:rsidRPr="00EA56D3">
        <w:rPr>
          <w:szCs w:val="24"/>
        </w:rPr>
        <w:t>;</w:t>
      </w:r>
    </w:p>
    <w:p w14:paraId="0B98F345" w14:textId="77777777" w:rsidR="00D23245" w:rsidRPr="00EA56D3" w:rsidRDefault="00D23245" w:rsidP="00EA56D3">
      <w:pPr>
        <w:pStyle w:val="NormalHanging12a"/>
        <w:widowControl/>
      </w:pPr>
      <w:r w:rsidRPr="00EA56D3">
        <w:t>H.</w:t>
      </w:r>
      <w:r w:rsidRPr="00EA56D3">
        <w:tab/>
        <w:t>whereas serious questions concerning the carcinogenicity of glyphosate remain; whereas EFSA concluded in November 2015 that glyphosate was unlikely to be carcinogenic and the European Chemicals Agency concluded in March 2017 that no classification was warranted; whereas, on the contrary, in 2015, the International Agency for Research on Cancer, the specialised cancer agency of the World Health Organization, classified glyphosate as a probable carcinogen for humans; whereas a number of recent peer-reviewed scientific studies confirm the carcinogenic potential of glyphosate</w:t>
      </w:r>
      <w:r w:rsidRPr="00EA56D3">
        <w:rPr>
          <w:rStyle w:val="FootnoteReference"/>
        </w:rPr>
        <w:footnoteReference w:id="9"/>
      </w:r>
      <w:r w:rsidRPr="00EA56D3">
        <w:t>;</w:t>
      </w:r>
    </w:p>
    <w:p w14:paraId="05B95298" w14:textId="77777777" w:rsidR="00D23245" w:rsidRPr="00EA56D3" w:rsidRDefault="00D23245" w:rsidP="00EA56D3">
      <w:pPr>
        <w:pStyle w:val="NormalHanging12a"/>
        <w:widowControl/>
      </w:pPr>
      <w:r w:rsidRPr="00EA56D3">
        <w:t>I.</w:t>
      </w:r>
      <w:r w:rsidRPr="00EA56D3">
        <w:tab/>
        <w:t>whereas the risk of gene flow from maize to wild relatives such as teosinte, reported in Spain and France, raises concerns about transgene persistence and environmental impacts;</w:t>
      </w:r>
    </w:p>
    <w:p w14:paraId="31A2515C" w14:textId="77777777" w:rsidR="00D23245" w:rsidRPr="00EA56D3" w:rsidRDefault="00D23245" w:rsidP="00EA56D3">
      <w:pPr>
        <w:pStyle w:val="NormalHanging12a"/>
        <w:widowControl/>
      </w:pPr>
      <w:r w:rsidRPr="00EA56D3">
        <w:lastRenderedPageBreak/>
        <w:t>J.</w:t>
      </w:r>
      <w:r w:rsidRPr="00EA56D3">
        <w:tab/>
        <w:t>whereas independent monitoring and surveillance of potential adverse effects on biodiversity, soil health, pollinators and non-target organisms remain insufficiently guaranteed;</w:t>
      </w:r>
    </w:p>
    <w:p w14:paraId="3B17FC7B" w14:textId="77777777" w:rsidR="00D23245" w:rsidRPr="00EA56D3" w:rsidRDefault="00D23245" w:rsidP="00EA56D3">
      <w:pPr>
        <w:widowControl/>
        <w:spacing w:after="240"/>
        <w:ind w:left="567" w:hanging="567"/>
      </w:pPr>
      <w:r w:rsidRPr="00EA56D3">
        <w:t>K.</w:t>
      </w:r>
      <w:r w:rsidRPr="00EA56D3">
        <w:tab/>
        <w:t>whereas the precautionary principle, enshrined in Article 191 of the Treaty on the Functioning of the European Union, should apply in cases of scientific uncertainty;</w:t>
      </w:r>
    </w:p>
    <w:p w14:paraId="223DCE28" w14:textId="77777777" w:rsidR="00D23245" w:rsidRPr="00EA56D3" w:rsidRDefault="00D23245" w:rsidP="00EA56D3">
      <w:pPr>
        <w:widowControl/>
        <w:spacing w:after="240"/>
        <w:ind w:left="567" w:hanging="567"/>
      </w:pPr>
      <w:r w:rsidRPr="00EA56D3">
        <w:t>L.</w:t>
      </w:r>
      <w:r w:rsidRPr="00EA56D3">
        <w:tab/>
        <w:t>whereas Regulation (EC) No 1829/2003 requires that GM food and feed must not have adverse effects on human health, animal health or the environment;</w:t>
      </w:r>
    </w:p>
    <w:p w14:paraId="381A9558" w14:textId="77777777" w:rsidR="00D23245" w:rsidRPr="00EA56D3" w:rsidRDefault="00D23245" w:rsidP="00EA56D3">
      <w:pPr>
        <w:pStyle w:val="NormalWeb"/>
        <w:spacing w:before="0" w:beforeAutospacing="0" w:after="240" w:afterAutospacing="0"/>
        <w:ind w:left="567" w:hanging="567"/>
      </w:pPr>
      <w:r w:rsidRPr="00EA56D3">
        <w:t>M.</w:t>
      </w:r>
      <w:r w:rsidRPr="00EA56D3">
        <w:tab/>
        <w:t>whereas Union renewal of the authorisation of the GM maize would not be consistent with international commitments on pesticide reduction</w:t>
      </w:r>
      <w:r w:rsidRPr="00EA56D3">
        <w:rPr>
          <w:vertAlign w:val="superscript"/>
        </w:rPr>
        <w:footnoteReference w:id="10"/>
      </w:r>
      <w:r w:rsidRPr="00EA56D3">
        <w:t>, given the increased human, animal and environmental exposure to glyphosate, dicamba and glufosinate in countries which grow this herbicide tolerant GM crop, along with the potentially serious associated health outcomes;</w:t>
      </w:r>
    </w:p>
    <w:p w14:paraId="6EE02F60" w14:textId="77777777" w:rsidR="00D23245" w:rsidRPr="00EA56D3" w:rsidRDefault="00D23245" w:rsidP="00EA56D3">
      <w:pPr>
        <w:widowControl/>
        <w:spacing w:after="240"/>
        <w:ind w:left="567" w:hanging="567"/>
      </w:pPr>
      <w:r w:rsidRPr="00EA56D3">
        <w:t>N.</w:t>
      </w:r>
      <w:r w:rsidRPr="00EA56D3">
        <w:tab/>
        <w:t>whereas the Commission implementing decision would continue to allow imports into the Union that do not comply with the standards observed by Union farmers, thereby placing them at a competitive disadvantage;</w:t>
      </w:r>
    </w:p>
    <w:p w14:paraId="298670FC" w14:textId="77777777" w:rsidR="00D23245" w:rsidRPr="00EA56D3" w:rsidRDefault="00D23245" w:rsidP="00EA56D3">
      <w:pPr>
        <w:widowControl/>
        <w:spacing w:after="240"/>
        <w:ind w:left="567" w:hanging="567"/>
      </w:pPr>
      <w:r w:rsidRPr="00EA56D3">
        <w:t>O.</w:t>
      </w:r>
      <w:r w:rsidRPr="00EA56D3">
        <w:tab/>
        <w:t>whereas the conclusions of the Strategic Dialogue on the Future of EU Agriculture</w:t>
      </w:r>
      <w:r w:rsidRPr="00EA56D3">
        <w:rPr>
          <w:rStyle w:val="FootnoteReference"/>
        </w:rPr>
        <w:footnoteReference w:id="11"/>
      </w:r>
      <w:r w:rsidRPr="00EA56D3">
        <w:t xml:space="preserve"> call on the Commission to reassess its approach on market access for agri-food imports and exports, given the challenge of diverging standards of the Union and its trading partners; whereas fairer trade relations, at a global level, consistent with goals for a healthy environment were one of the main demands of farmers during the demonstrations of 2023 and 2024;</w:t>
      </w:r>
    </w:p>
    <w:p w14:paraId="25A937CF" w14:textId="77777777" w:rsidR="00D23245" w:rsidRPr="00EA56D3" w:rsidRDefault="00D23245" w:rsidP="00EA56D3">
      <w:pPr>
        <w:widowControl/>
        <w:spacing w:after="240"/>
        <w:ind w:left="567" w:hanging="567"/>
      </w:pPr>
      <w:r w:rsidRPr="00EA56D3">
        <w:t>P.</w:t>
      </w:r>
      <w:r w:rsidRPr="00EA56D3">
        <w:tab/>
        <w:t>whereas Parliament has repeatedly stressed that the Commission should not authorise GMOs in cases where no qualified majority is reached by Member States in the Standing Committee on Plants, Animals, Food and Feed or the Appeal Committee, in order to address the persistent democratic deficit;</w:t>
      </w:r>
    </w:p>
    <w:p w14:paraId="67CEC5E1" w14:textId="77777777" w:rsidR="00D23245" w:rsidRPr="00EA56D3" w:rsidRDefault="00D23245" w:rsidP="00EA56D3">
      <w:pPr>
        <w:pStyle w:val="NormalWeb"/>
        <w:shd w:val="clear" w:color="auto" w:fill="FFFFFF"/>
        <w:spacing w:before="0" w:beforeAutospacing="0" w:after="240" w:afterAutospacing="0"/>
        <w:ind w:left="567" w:hanging="567"/>
      </w:pPr>
      <w:r w:rsidRPr="00EA56D3">
        <w:t>Q.</w:t>
      </w:r>
      <w:r w:rsidRPr="00EA56D3">
        <w:tab/>
        <w:t>whereas despite its own acknowledgement of the democratic shortcomings, the lack of support from Member States and the objections of Parliament, the Commission continues to authorise GMOs;</w:t>
      </w:r>
    </w:p>
    <w:p w14:paraId="028A4619" w14:textId="77777777" w:rsidR="00D23245" w:rsidRPr="00EA56D3" w:rsidRDefault="00D23245" w:rsidP="00EA56D3">
      <w:pPr>
        <w:widowControl/>
        <w:spacing w:after="240"/>
        <w:ind w:left="567" w:hanging="567"/>
      </w:pPr>
      <w:r w:rsidRPr="00EA56D3">
        <w:t>R.</w:t>
      </w:r>
      <w:r w:rsidRPr="00EA56D3">
        <w:tab/>
        <w:t>whereas the One Health approach requires taking into account the interdependence between human, animal, plant and environmental health when assessing the long-term sustainability and safety of GMOs;</w:t>
      </w:r>
    </w:p>
    <w:p w14:paraId="0DAFDC24" w14:textId="77777777" w:rsidR="00D23245" w:rsidRPr="00EA56D3" w:rsidRDefault="00D23245" w:rsidP="00EA56D3">
      <w:pPr>
        <w:widowControl/>
        <w:spacing w:after="240"/>
        <w:ind w:left="567" w:hanging="567"/>
      </w:pPr>
      <w:r w:rsidRPr="00EA56D3">
        <w:t>1.</w:t>
      </w:r>
      <w:r w:rsidRPr="00EA56D3">
        <w:tab/>
        <w:t>Considers that the draft Commission implementing decision exceeds the implementing powers provided for in Regulation (EC) No 1829/2003;</w:t>
      </w:r>
    </w:p>
    <w:p w14:paraId="2E9D0741" w14:textId="77777777" w:rsidR="00D23245" w:rsidRPr="00EA56D3" w:rsidRDefault="00D23245" w:rsidP="00EA56D3">
      <w:pPr>
        <w:widowControl/>
        <w:spacing w:after="240"/>
        <w:ind w:left="567" w:hanging="567"/>
      </w:pPr>
      <w:r w:rsidRPr="00EA56D3">
        <w:t>2.</w:t>
      </w:r>
      <w:r w:rsidRPr="00EA56D3">
        <w:tab/>
        <w:t xml:space="preserve">Considers that the draft Commission implementing decision is not consistent with Union law, in that it is incompatible with the aim of Regulation (EC) No 1829/2003, </w:t>
      </w:r>
      <w:r w:rsidRPr="00EA56D3">
        <w:lastRenderedPageBreak/>
        <w:t>which is, in accordance with the general principles laid down in Regulation (EC) No 178/2002 of the European Parliament and of the Council</w:t>
      </w:r>
      <w:r w:rsidRPr="00EA56D3">
        <w:rPr>
          <w:vertAlign w:val="superscript"/>
        </w:rPr>
        <w:footnoteReference w:id="12"/>
      </w:r>
      <w:r w:rsidRPr="00EA56D3">
        <w:t>, to provide the basis for ensuring a high level of protection of human life and health, animal health and welfare, and environmental and consumer interests, in relation to GM food and feed, while ensuring the effective functioning of the internal market;</w:t>
      </w:r>
    </w:p>
    <w:p w14:paraId="592C1F9B" w14:textId="77777777" w:rsidR="00D23245" w:rsidRPr="00EA56D3" w:rsidRDefault="00D23245" w:rsidP="00EA56D3">
      <w:pPr>
        <w:widowControl/>
        <w:spacing w:after="240"/>
        <w:ind w:left="567" w:hanging="567"/>
      </w:pPr>
      <w:r w:rsidRPr="00EA56D3">
        <w:t>3.</w:t>
      </w:r>
      <w:r w:rsidRPr="00EA56D3">
        <w:tab/>
        <w:t>Calls on the Commission to withdraw its implementing decision;</w:t>
      </w:r>
    </w:p>
    <w:p w14:paraId="0CC552BB" w14:textId="77777777" w:rsidR="00D23245" w:rsidRPr="00EA56D3" w:rsidRDefault="00D23245" w:rsidP="00EA56D3">
      <w:pPr>
        <w:widowControl/>
        <w:spacing w:after="240"/>
        <w:ind w:left="567" w:hanging="567"/>
      </w:pPr>
      <w:r w:rsidRPr="00EA56D3">
        <w:t>4.</w:t>
      </w:r>
      <w:r w:rsidRPr="00EA56D3">
        <w:tab/>
        <w:t>Calls on the Commission not to renew the authorisation of the GM maize due to the lack of sufficient evidence on long-term impacts on biodiversity, food safety, farmers’ livelihoods and animal health, in line with the One Health approach;</w:t>
      </w:r>
    </w:p>
    <w:p w14:paraId="0903861C" w14:textId="77777777" w:rsidR="00D23245" w:rsidRPr="00EA56D3" w:rsidRDefault="00D23245" w:rsidP="00EA56D3">
      <w:pPr>
        <w:widowControl/>
        <w:spacing w:after="240"/>
        <w:ind w:left="567" w:hanging="567"/>
      </w:pPr>
      <w:r w:rsidRPr="00EA56D3">
        <w:t>5.</w:t>
      </w:r>
      <w:r w:rsidRPr="00EA56D3">
        <w:tab/>
        <w:t>Calls on the Commission to submit, without delay, a legislative proposal to reform the decision-making procedure on GMOs in order to respond to the consistent objections of Parliament and the lack of qualified majority support among Member States;</w:t>
      </w:r>
    </w:p>
    <w:p w14:paraId="673CA029" w14:textId="77777777" w:rsidR="00D23245" w:rsidRPr="00EA56D3" w:rsidRDefault="00D23245" w:rsidP="00EA56D3">
      <w:pPr>
        <w:widowControl/>
        <w:spacing w:after="240"/>
        <w:ind w:left="567" w:hanging="567"/>
      </w:pPr>
      <w:r w:rsidRPr="00EA56D3">
        <w:t>6.</w:t>
      </w:r>
      <w:r w:rsidRPr="00EA56D3">
        <w:tab/>
        <w:t>Highlights, in this regard, that authorising the import for food or feed uses of any GM plant which has been made tolerant to herbicides that are banned in the Union, such as glufosinate, is inconsistent with the Union’s international commitments under, inter alia, the United Nations (UN) Convention on Biological Diversity and the UN Sustainable Development Goals, including the Kunming-Montreal Framework, and that it creates an uneven playing field for Union farmers;</w:t>
      </w:r>
    </w:p>
    <w:p w14:paraId="50B10775" w14:textId="08406281" w:rsidR="00E365E1" w:rsidRPr="00EA56D3" w:rsidRDefault="00D23245" w:rsidP="009424D1">
      <w:pPr>
        <w:widowControl/>
        <w:spacing w:after="240"/>
        <w:ind w:left="567" w:hanging="567"/>
      </w:pPr>
      <w:r w:rsidRPr="00EA56D3">
        <w:t>7.</w:t>
      </w:r>
      <w:r w:rsidRPr="00EA56D3">
        <w:tab/>
        <w:t>Instructs its President to forward this resolution to the Council and the Commission, and to the governments and parliaments of the Member States.</w:t>
      </w:r>
    </w:p>
    <w:sectPr w:rsidR="00E365E1" w:rsidRPr="00EA56D3" w:rsidSect="00FD516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2D193" w14:textId="77777777" w:rsidR="009B6DFB" w:rsidRPr="00FD5166" w:rsidRDefault="009B6DFB">
      <w:r w:rsidRPr="00FD5166">
        <w:separator/>
      </w:r>
    </w:p>
  </w:endnote>
  <w:endnote w:type="continuationSeparator" w:id="0">
    <w:p w14:paraId="04D49B1F" w14:textId="77777777" w:rsidR="009B6DFB" w:rsidRPr="00FD5166" w:rsidRDefault="009B6DFB">
      <w:r w:rsidRPr="00FD5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58E5" w14:textId="77777777" w:rsidR="00064002" w:rsidRPr="00FD516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D66C" w14:textId="77777777" w:rsidR="00064002" w:rsidRPr="00FD516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558FA" w14:textId="77777777" w:rsidR="00064002" w:rsidRPr="00FD516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B219C" w14:textId="77777777" w:rsidR="009B6DFB" w:rsidRPr="00FD5166" w:rsidRDefault="009B6DFB">
      <w:r w:rsidRPr="00FD5166">
        <w:separator/>
      </w:r>
    </w:p>
  </w:footnote>
  <w:footnote w:type="continuationSeparator" w:id="0">
    <w:p w14:paraId="70C30252" w14:textId="77777777" w:rsidR="009B6DFB" w:rsidRPr="00FD5166" w:rsidRDefault="009B6DFB">
      <w:r w:rsidRPr="00FD5166">
        <w:continuationSeparator/>
      </w:r>
    </w:p>
  </w:footnote>
  <w:footnote w:id="1">
    <w:p w14:paraId="72DD21EA" w14:textId="5B86030C" w:rsidR="00D23245" w:rsidRPr="00887225" w:rsidRDefault="00D23245" w:rsidP="00FD5166">
      <w:pPr>
        <w:pStyle w:val="FootnoteText"/>
        <w:suppressAutoHyphens/>
        <w:ind w:left="567" w:hanging="567"/>
        <w:rPr>
          <w:sz w:val="24"/>
          <w:lang w:val="pl-PL"/>
        </w:rPr>
      </w:pPr>
      <w:r w:rsidRPr="00FD5166">
        <w:rPr>
          <w:rStyle w:val="FootnoteReference"/>
          <w:sz w:val="24"/>
          <w:lang w:val="en-GB"/>
        </w:rPr>
        <w:footnoteRef/>
      </w:r>
      <w:r w:rsidR="00FD5166" w:rsidRPr="00887225">
        <w:rPr>
          <w:sz w:val="24"/>
          <w:lang w:val="pl-PL"/>
        </w:rPr>
        <w:t xml:space="preserve"> </w:t>
      </w:r>
      <w:r w:rsidR="00FD5166" w:rsidRPr="00887225">
        <w:rPr>
          <w:sz w:val="24"/>
          <w:lang w:val="pl-PL"/>
        </w:rPr>
        <w:tab/>
      </w:r>
      <w:r w:rsidRPr="00887225">
        <w:rPr>
          <w:sz w:val="24"/>
          <w:lang w:val="pl-PL"/>
        </w:rPr>
        <w:t>OJ L 268, 18.10.2003, p. 1, ELI: </w:t>
      </w:r>
      <w:hyperlink r:id="rId1" w:tooltip="Gives access to this document through its ELI URI." w:history="1">
        <w:r w:rsidRPr="00887225">
          <w:rPr>
            <w:rStyle w:val="Hyperlink"/>
            <w:sz w:val="24"/>
            <w:lang w:val="pl-PL"/>
          </w:rPr>
          <w:t>http://data.europa.eu/eli/reg/2003/1829/oj</w:t>
        </w:r>
      </w:hyperlink>
      <w:r w:rsidRPr="00887225">
        <w:rPr>
          <w:color w:val="0563C1" w:themeColor="hyperlink"/>
          <w:sz w:val="24"/>
          <w:u w:val="single"/>
          <w:lang w:val="pl-PL"/>
        </w:rPr>
        <w:t>.</w:t>
      </w:r>
    </w:p>
  </w:footnote>
  <w:footnote w:id="2">
    <w:p w14:paraId="286B12EF" w14:textId="23DEFE97" w:rsidR="00D23245" w:rsidRPr="00887225" w:rsidRDefault="00D23245" w:rsidP="00FD5166">
      <w:pPr>
        <w:pStyle w:val="FootnoteText"/>
        <w:ind w:left="567" w:hanging="567"/>
        <w:rPr>
          <w:sz w:val="24"/>
          <w:lang w:val="fi-FI"/>
        </w:rPr>
      </w:pPr>
      <w:r w:rsidRPr="00FD5166">
        <w:rPr>
          <w:rStyle w:val="FootnoteReference"/>
          <w:sz w:val="24"/>
          <w:lang w:val="en-GB"/>
        </w:rPr>
        <w:footnoteRef/>
      </w:r>
      <w:r w:rsidR="00FD5166" w:rsidRPr="00887225">
        <w:rPr>
          <w:sz w:val="24"/>
          <w:lang w:val="fi-FI"/>
        </w:rPr>
        <w:t xml:space="preserve"> </w:t>
      </w:r>
      <w:r w:rsidR="00FD5166" w:rsidRPr="00887225">
        <w:rPr>
          <w:sz w:val="24"/>
          <w:lang w:val="fi-FI"/>
        </w:rPr>
        <w:tab/>
      </w:r>
      <w:r w:rsidRPr="00887225">
        <w:rPr>
          <w:sz w:val="24"/>
          <w:lang w:val="fi-FI"/>
        </w:rPr>
        <w:t xml:space="preserve">OJ L 55, 28.2.2011, p. 13, ELI: </w:t>
      </w:r>
      <w:hyperlink r:id="rId2" w:history="1">
        <w:r w:rsidRPr="00887225">
          <w:rPr>
            <w:rStyle w:val="Hyperlink"/>
            <w:sz w:val="24"/>
            <w:lang w:val="fi-FI"/>
          </w:rPr>
          <w:t>http://data.europa.eu/eli/reg/2011/182/oj</w:t>
        </w:r>
      </w:hyperlink>
      <w:r w:rsidRPr="00887225">
        <w:rPr>
          <w:sz w:val="24"/>
          <w:lang w:val="fi-FI"/>
        </w:rPr>
        <w:t>.</w:t>
      </w:r>
    </w:p>
  </w:footnote>
  <w:footnote w:id="3">
    <w:p w14:paraId="2EC2174B" w14:textId="505C59F0" w:rsidR="00D23245" w:rsidRPr="00FD5166" w:rsidRDefault="00D23245" w:rsidP="00FD5166">
      <w:pPr>
        <w:pStyle w:val="FootnoteText"/>
        <w:suppressAutoHyphens/>
        <w:ind w:left="567" w:hanging="567"/>
        <w:rPr>
          <w:sz w:val="24"/>
          <w:lang w:val="en-GB"/>
        </w:rPr>
      </w:pPr>
      <w:r w:rsidRPr="00FD5166">
        <w:rPr>
          <w:rStyle w:val="FootnoteReference"/>
          <w:sz w:val="24"/>
          <w:lang w:val="en-GB"/>
        </w:rPr>
        <w:footnoteRef/>
      </w:r>
      <w:r w:rsidR="00FD5166" w:rsidRPr="00FD5166">
        <w:rPr>
          <w:sz w:val="24"/>
          <w:lang w:val="en-GB"/>
        </w:rPr>
        <w:t xml:space="preserve"> </w:t>
      </w:r>
      <w:r w:rsidR="00FD5166" w:rsidRPr="00FD5166">
        <w:rPr>
          <w:sz w:val="24"/>
          <w:lang w:val="en-GB"/>
        </w:rPr>
        <w:tab/>
      </w:r>
      <w:r w:rsidRPr="00FD5166">
        <w:rPr>
          <w:sz w:val="24"/>
          <w:lang w:val="en-GB"/>
        </w:rPr>
        <w:t xml:space="preserve">Scientific opinion of the EFSA Panel on Genetically Modified Organisms on the ‘Assessment of genetically modified maize NK603 for renewal authorisation under Regulation (EC) No 1829/2003 (dossier GMFF-2023-21250)’. EFSA Journal 2025;23(6):9505; </w:t>
      </w:r>
      <w:hyperlink r:id="rId3" w:history="1">
        <w:r w:rsidRPr="00FD5166">
          <w:rPr>
            <w:rStyle w:val="Hyperlink"/>
            <w:sz w:val="24"/>
            <w:lang w:val="en-GB"/>
          </w:rPr>
          <w:t>https://doi.org/10.2903/j.efsa.2025.9505</w:t>
        </w:r>
      </w:hyperlink>
      <w:r w:rsidRPr="00887225">
        <w:rPr>
          <w:rStyle w:val="Hyperlink"/>
          <w:color w:val="auto"/>
          <w:sz w:val="24"/>
          <w:u w:val="none"/>
          <w:lang w:val="en-GB"/>
        </w:rPr>
        <w:t>.</w:t>
      </w:r>
    </w:p>
  </w:footnote>
  <w:footnote w:id="4">
    <w:p w14:paraId="67046220" w14:textId="290F942E" w:rsidR="00D23245" w:rsidRPr="00FD5166" w:rsidRDefault="00D23245" w:rsidP="00FD5166">
      <w:pPr>
        <w:pStyle w:val="FootnoteText"/>
        <w:suppressAutoHyphens/>
        <w:ind w:left="567" w:hanging="567"/>
        <w:rPr>
          <w:color w:val="000000" w:themeColor="text1"/>
          <w:sz w:val="24"/>
          <w:vertAlign w:val="superscript"/>
          <w:lang w:val="en-GB"/>
        </w:rPr>
      </w:pPr>
      <w:r w:rsidRPr="00FD5166">
        <w:rPr>
          <w:rStyle w:val="FootnoteReference"/>
          <w:sz w:val="24"/>
          <w:lang w:val="en-GB"/>
        </w:rPr>
        <w:footnoteRef/>
      </w:r>
      <w:r w:rsidR="00FD5166" w:rsidRPr="00FD5166">
        <w:rPr>
          <w:color w:val="000000" w:themeColor="text1"/>
          <w:sz w:val="24"/>
          <w:lang w:val="en-GB"/>
        </w:rPr>
        <w:t xml:space="preserve"> </w:t>
      </w:r>
      <w:r w:rsidR="00FD5166" w:rsidRPr="00FD5166">
        <w:rPr>
          <w:color w:val="000000" w:themeColor="text1"/>
          <w:sz w:val="24"/>
          <w:lang w:val="en-GB"/>
        </w:rPr>
        <w:tab/>
      </w:r>
      <w:r w:rsidRPr="00FD5166">
        <w:rPr>
          <w:color w:val="000000" w:themeColor="text1"/>
          <w:sz w:val="24"/>
          <w:lang w:val="en-GB"/>
        </w:rPr>
        <w:t xml:space="preserve">In its eighth term, Parliament adopted 36 resolutions and, in its ninth term, Parliament adopted 38 resolutions </w:t>
      </w:r>
      <w:r w:rsidRPr="00FD5166">
        <w:rPr>
          <w:sz w:val="24"/>
          <w:lang w:val="en-GB"/>
        </w:rPr>
        <w:t>objecting</w:t>
      </w:r>
      <w:r w:rsidRPr="00FD5166">
        <w:rPr>
          <w:color w:val="000000" w:themeColor="text1"/>
          <w:sz w:val="24"/>
          <w:lang w:val="en-GB"/>
        </w:rPr>
        <w:t xml:space="preserve"> to the authorisation of GMOs. Furthermore, </w:t>
      </w:r>
      <w:r w:rsidR="00A10FB1">
        <w:rPr>
          <w:color w:val="000000" w:themeColor="text1"/>
          <w:sz w:val="24"/>
          <w:lang w:val="en-GB"/>
        </w:rPr>
        <w:t>in</w:t>
      </w:r>
      <w:r w:rsidRPr="00FD5166">
        <w:rPr>
          <w:color w:val="000000" w:themeColor="text1"/>
          <w:sz w:val="24"/>
          <w:lang w:val="en-GB"/>
        </w:rPr>
        <w:t xml:space="preserve"> its tenth term, Parliament has adopted the following resolutions:</w:t>
      </w:r>
    </w:p>
    <w:p w14:paraId="2E354336" w14:textId="55B46DB8" w:rsidR="00D23245" w:rsidRPr="00FD5166" w:rsidRDefault="00D23245" w:rsidP="00887225">
      <w:pPr>
        <w:pStyle w:val="FootnoteText"/>
        <w:suppressAutoHyphens/>
        <w:ind w:left="1134" w:hanging="567"/>
        <w:rPr>
          <w:color w:val="000000" w:themeColor="text1"/>
          <w:sz w:val="24"/>
          <w:vertAlign w:val="superscript"/>
          <w:lang w:val="en-GB"/>
        </w:rPr>
      </w:pPr>
      <w:bookmarkStart w:id="7" w:name="_Hlk216282357"/>
      <w:r w:rsidRPr="00FD5166">
        <w:rPr>
          <w:color w:val="000000" w:themeColor="text1"/>
          <w:sz w:val="24"/>
          <w:lang w:val="en-GB"/>
        </w:rPr>
        <w:t>–</w:t>
      </w:r>
      <w:r w:rsidRPr="00FD5166">
        <w:rPr>
          <w:color w:val="000000" w:themeColor="text1"/>
          <w:sz w:val="24"/>
          <w:lang w:val="en-GB"/>
        </w:rPr>
        <w:tab/>
      </w:r>
      <w:bookmarkEnd w:id="7"/>
      <w:r w:rsidRPr="00FD5166">
        <w:rPr>
          <w:color w:val="000000" w:themeColor="text1"/>
          <w:sz w:val="24"/>
          <w:lang w:val="en-GB"/>
        </w:rPr>
        <w:t xml:space="preserve">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hyperlink r:id="rId4" w:history="1">
        <w:r w:rsidRPr="00FD5166">
          <w:rPr>
            <w:rStyle w:val="Hyperlink"/>
            <w:sz w:val="24"/>
            <w:lang w:val="en-GB"/>
          </w:rPr>
          <w:t>http://data.europa.eu/eli/C/2025/1797/oj</w:t>
        </w:r>
      </w:hyperlink>
      <w:r w:rsidRPr="00FD5166">
        <w:rPr>
          <w:color w:val="000000" w:themeColor="text1"/>
          <w:sz w:val="24"/>
          <w:lang w:val="en-GB"/>
        </w:rPr>
        <w:t>).</w:t>
      </w:r>
    </w:p>
    <w:p w14:paraId="4C604370" w14:textId="56AFBE3B" w:rsidR="00D23245" w:rsidRPr="00FD5166" w:rsidRDefault="00D23245" w:rsidP="00887225">
      <w:pPr>
        <w:pStyle w:val="FootnoteText"/>
        <w:suppressAutoHyphens/>
        <w:ind w:left="1134" w:hanging="567"/>
        <w:rPr>
          <w:color w:val="000000" w:themeColor="text1"/>
          <w:sz w:val="24"/>
          <w:vertAlign w:val="superscript"/>
          <w:lang w:val="en-GB"/>
        </w:rPr>
      </w:pPr>
      <w:r w:rsidRPr="00FD5166">
        <w:rPr>
          <w:color w:val="000000" w:themeColor="text1"/>
          <w:sz w:val="24"/>
          <w:lang w:val="en-GB"/>
        </w:rPr>
        <w:t>–</w:t>
      </w:r>
      <w:r w:rsidRPr="00FD5166">
        <w:rPr>
          <w:color w:val="000000" w:themeColor="text1"/>
          <w:sz w:val="24"/>
          <w:lang w:val="en-GB"/>
        </w:rPr>
        <w:tab/>
        <w:t xml:space="preserve">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hyperlink r:id="rId5" w:history="1">
        <w:r w:rsidRPr="00FD5166">
          <w:rPr>
            <w:rStyle w:val="Hyperlink"/>
            <w:sz w:val="24"/>
            <w:lang w:val="en-GB"/>
          </w:rPr>
          <w:t>http://data.europa.eu/eli/C/2025/1798/oj</w:t>
        </w:r>
      </w:hyperlink>
      <w:r w:rsidRPr="00FD5166">
        <w:rPr>
          <w:color w:val="000000" w:themeColor="text1"/>
          <w:sz w:val="24"/>
          <w:lang w:val="en-GB"/>
        </w:rPr>
        <w:t>).</w:t>
      </w:r>
    </w:p>
    <w:p w14:paraId="2407EAD8" w14:textId="2F21B58D" w:rsidR="00D23245" w:rsidRPr="00FD5166" w:rsidRDefault="00D23245" w:rsidP="00887225">
      <w:pPr>
        <w:pStyle w:val="FootnoteText"/>
        <w:suppressAutoHyphens/>
        <w:ind w:left="1134" w:hanging="567"/>
        <w:rPr>
          <w:color w:val="000000" w:themeColor="text1"/>
          <w:sz w:val="24"/>
          <w:vertAlign w:val="superscript"/>
          <w:lang w:val="en-GB"/>
        </w:rPr>
      </w:pPr>
      <w:r w:rsidRPr="00FD5166">
        <w:rPr>
          <w:color w:val="000000" w:themeColor="text1"/>
          <w:sz w:val="24"/>
          <w:lang w:val="en-GB"/>
        </w:rPr>
        <w:t>–</w:t>
      </w:r>
      <w:r w:rsidRPr="00FD5166">
        <w:rPr>
          <w:color w:val="000000" w:themeColor="text1"/>
          <w:sz w:val="24"/>
          <w:lang w:val="en-GB"/>
        </w:rPr>
        <w:tab/>
        <w:t xml:space="preserve">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hyperlink r:id="rId6" w:history="1">
        <w:r w:rsidRPr="00FD5166">
          <w:rPr>
            <w:rStyle w:val="Hyperlink"/>
            <w:sz w:val="24"/>
            <w:lang w:val="en-GB"/>
          </w:rPr>
          <w:t>http://data.europa.eu/eli/C/2025/1799/oj</w:t>
        </w:r>
      </w:hyperlink>
      <w:r w:rsidRPr="00FD5166">
        <w:rPr>
          <w:color w:val="000000" w:themeColor="text1"/>
          <w:sz w:val="24"/>
          <w:lang w:val="en-GB"/>
        </w:rPr>
        <w:t>).</w:t>
      </w:r>
    </w:p>
    <w:p w14:paraId="5EC91B10" w14:textId="3B3EAD14" w:rsidR="00D23245" w:rsidRPr="00FD5166" w:rsidRDefault="00D23245" w:rsidP="00887225">
      <w:pPr>
        <w:pStyle w:val="FootnoteText"/>
        <w:ind w:left="1134" w:hanging="567"/>
        <w:rPr>
          <w:color w:val="000000" w:themeColor="text1"/>
          <w:sz w:val="24"/>
          <w:vertAlign w:val="superscript"/>
          <w:lang w:val="en-GB"/>
        </w:rPr>
      </w:pPr>
      <w:r w:rsidRPr="00FD5166">
        <w:rPr>
          <w:color w:val="000000" w:themeColor="text1"/>
          <w:sz w:val="24"/>
          <w:lang w:val="en-GB"/>
        </w:rPr>
        <w:t>–</w:t>
      </w:r>
      <w:r w:rsidRPr="00FD5166">
        <w:rPr>
          <w:color w:val="000000" w:themeColor="text1"/>
          <w:sz w:val="24"/>
          <w:lang w:val="en-GB"/>
        </w:rPr>
        <w:tab/>
        <w:t xml:space="preserve">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hyperlink r:id="rId7" w:history="1">
        <w:r w:rsidRPr="00FD5166">
          <w:rPr>
            <w:rStyle w:val="Hyperlink"/>
            <w:sz w:val="24"/>
            <w:lang w:val="en-GB"/>
          </w:rPr>
          <w:t>http://data.europa.eu/eli/C/2025/1800/oj</w:t>
        </w:r>
      </w:hyperlink>
      <w:r w:rsidRPr="00FD5166">
        <w:rPr>
          <w:color w:val="000000" w:themeColor="text1"/>
          <w:sz w:val="24"/>
          <w:lang w:val="en-GB"/>
        </w:rPr>
        <w:t>).</w:t>
      </w:r>
    </w:p>
    <w:p w14:paraId="6420104C" w14:textId="6E829D59" w:rsidR="00D23245" w:rsidRPr="00FD5166" w:rsidRDefault="00D23245" w:rsidP="00887225">
      <w:pPr>
        <w:pStyle w:val="FootnoteText"/>
        <w:ind w:left="1134" w:hanging="567"/>
        <w:rPr>
          <w:color w:val="000000" w:themeColor="text1"/>
          <w:sz w:val="24"/>
          <w:vertAlign w:val="superscript"/>
          <w:lang w:val="en-GB"/>
        </w:rPr>
      </w:pPr>
      <w:r w:rsidRPr="00FD5166">
        <w:rPr>
          <w:color w:val="000000" w:themeColor="text1"/>
          <w:sz w:val="24"/>
          <w:lang w:val="en-GB"/>
        </w:rPr>
        <w:t>–</w:t>
      </w:r>
      <w:r w:rsidRPr="00FD5166">
        <w:rPr>
          <w:color w:val="000000" w:themeColor="text1"/>
          <w:sz w:val="24"/>
          <w:lang w:val="en-GB"/>
        </w:rPr>
        <w:tab/>
        <w:t xml:space="preserve">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hyperlink r:id="rId8" w:history="1">
        <w:r w:rsidRPr="00FD5166">
          <w:rPr>
            <w:rStyle w:val="Hyperlink"/>
            <w:sz w:val="24"/>
            <w:lang w:val="en-GB"/>
          </w:rPr>
          <w:t>http://data.europa.eu/eli/C/2025/1801/oj</w:t>
        </w:r>
      </w:hyperlink>
      <w:r w:rsidRPr="00FD5166">
        <w:rPr>
          <w:color w:val="000000" w:themeColor="text1"/>
          <w:sz w:val="24"/>
          <w:lang w:val="en-GB"/>
        </w:rPr>
        <w:t>).</w:t>
      </w:r>
    </w:p>
    <w:p w14:paraId="3D1E2B7F" w14:textId="23DB4B4E" w:rsidR="00D23245" w:rsidRPr="00FD5166" w:rsidRDefault="00D23245" w:rsidP="00887225">
      <w:pPr>
        <w:pStyle w:val="FootnoteText"/>
        <w:ind w:left="1134" w:hanging="567"/>
        <w:rPr>
          <w:color w:val="000000" w:themeColor="text1"/>
          <w:sz w:val="24"/>
          <w:vertAlign w:val="superscript"/>
          <w:lang w:val="en-GB"/>
        </w:rPr>
      </w:pPr>
      <w:r w:rsidRPr="00FD5166">
        <w:rPr>
          <w:color w:val="000000" w:themeColor="text1"/>
          <w:sz w:val="24"/>
          <w:lang w:val="en-GB"/>
        </w:rPr>
        <w:t>–</w:t>
      </w:r>
      <w:r w:rsidRPr="00FD5166">
        <w:rPr>
          <w:color w:val="000000" w:themeColor="text1"/>
          <w:sz w:val="24"/>
          <w:lang w:val="en-GB"/>
        </w:rPr>
        <w:tab/>
        <w:t xml:space="preserve">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hyperlink r:id="rId9" w:history="1">
        <w:r w:rsidRPr="00FD5166">
          <w:rPr>
            <w:rStyle w:val="Hyperlink"/>
            <w:sz w:val="24"/>
            <w:lang w:val="en-GB"/>
          </w:rPr>
          <w:t>http://data.europa.eu/eli/C/2025/1802/oj</w:t>
        </w:r>
      </w:hyperlink>
      <w:r w:rsidRPr="00FD5166">
        <w:rPr>
          <w:color w:val="000000" w:themeColor="text1"/>
          <w:sz w:val="24"/>
          <w:lang w:val="en-GB"/>
        </w:rPr>
        <w:t>).</w:t>
      </w:r>
    </w:p>
    <w:p w14:paraId="49777297" w14:textId="2EE4BF70" w:rsidR="00D23245" w:rsidRPr="00FD5166" w:rsidRDefault="00D23245" w:rsidP="00887225">
      <w:pPr>
        <w:pStyle w:val="FootnoteText"/>
        <w:ind w:left="1134" w:hanging="567"/>
        <w:rPr>
          <w:color w:val="000000" w:themeColor="text1"/>
          <w:sz w:val="24"/>
          <w:vertAlign w:val="superscript"/>
          <w:lang w:val="en-GB"/>
        </w:rPr>
      </w:pPr>
      <w:r w:rsidRPr="00FD5166">
        <w:rPr>
          <w:color w:val="000000" w:themeColor="text1"/>
          <w:sz w:val="24"/>
          <w:lang w:val="en-GB"/>
        </w:rPr>
        <w:t>–</w:t>
      </w:r>
      <w:r w:rsidRPr="00FD5166">
        <w:rPr>
          <w:color w:val="000000" w:themeColor="text1"/>
          <w:sz w:val="24"/>
          <w:lang w:val="en-GB"/>
        </w:rPr>
        <w:tab/>
        <w:t xml:space="preserve">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hyperlink r:id="rId10" w:history="1">
        <w:r w:rsidRPr="00FD5166">
          <w:rPr>
            <w:rStyle w:val="Hyperlink"/>
            <w:sz w:val="24"/>
            <w:lang w:val="en-GB"/>
          </w:rPr>
          <w:t>http://data.europa.eu/eli/C/2025/1803/oj</w:t>
        </w:r>
      </w:hyperlink>
      <w:r w:rsidRPr="00FD5166">
        <w:rPr>
          <w:color w:val="000000" w:themeColor="text1"/>
          <w:sz w:val="24"/>
          <w:lang w:val="en-GB"/>
        </w:rPr>
        <w:t>).</w:t>
      </w:r>
    </w:p>
    <w:p w14:paraId="0673E154" w14:textId="1890E5D6" w:rsidR="00D23245" w:rsidRPr="00FD5166" w:rsidRDefault="00D23245" w:rsidP="00887225">
      <w:pPr>
        <w:pStyle w:val="FootnoteText"/>
        <w:ind w:left="1134" w:hanging="567"/>
        <w:rPr>
          <w:color w:val="000000" w:themeColor="text1"/>
          <w:sz w:val="24"/>
          <w:vertAlign w:val="superscript"/>
          <w:lang w:val="en-GB"/>
        </w:rPr>
      </w:pPr>
      <w:r w:rsidRPr="00FD5166">
        <w:rPr>
          <w:color w:val="000000" w:themeColor="text1"/>
          <w:sz w:val="24"/>
          <w:lang w:val="en-GB"/>
        </w:rPr>
        <w:t>–</w:t>
      </w:r>
      <w:r w:rsidRPr="00FD5166">
        <w:rPr>
          <w:color w:val="000000" w:themeColor="text1"/>
          <w:sz w:val="24"/>
          <w:lang w:val="en-GB"/>
        </w:rPr>
        <w:tab/>
        <w:t xml:space="preserve">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hyperlink r:id="rId11" w:history="1">
        <w:r w:rsidRPr="00FD5166">
          <w:rPr>
            <w:rStyle w:val="Hyperlink"/>
            <w:sz w:val="24"/>
            <w:lang w:val="en-GB"/>
          </w:rPr>
          <w:t>http://data.europa.eu/eli/C/2025/1804/oj</w:t>
        </w:r>
      </w:hyperlink>
      <w:r w:rsidRPr="00FD5166">
        <w:rPr>
          <w:color w:val="000000" w:themeColor="text1"/>
          <w:sz w:val="24"/>
          <w:lang w:val="en-GB"/>
        </w:rPr>
        <w:t>).</w:t>
      </w:r>
    </w:p>
    <w:p w14:paraId="2697F828" w14:textId="09CDF46C" w:rsidR="00D23245" w:rsidRPr="00FD5166" w:rsidRDefault="00D23245" w:rsidP="00887225">
      <w:pPr>
        <w:pStyle w:val="FootnoteText"/>
        <w:ind w:left="1134" w:hanging="567"/>
        <w:rPr>
          <w:sz w:val="24"/>
          <w:vertAlign w:val="superscript"/>
          <w:lang w:val="en-GB"/>
        </w:rPr>
      </w:pPr>
      <w:r w:rsidRPr="00FD5166">
        <w:rPr>
          <w:color w:val="000000" w:themeColor="text1"/>
          <w:sz w:val="24"/>
          <w:lang w:val="en-GB"/>
        </w:rPr>
        <w:t>–</w:t>
      </w:r>
      <w:r w:rsidRPr="00FD5166">
        <w:rPr>
          <w:color w:val="000000" w:themeColor="text1"/>
          <w:sz w:val="24"/>
          <w:lang w:val="en-GB"/>
        </w:rPr>
        <w:tab/>
      </w:r>
      <w:r w:rsidRPr="00FD5166">
        <w:rPr>
          <w:sz w:val="24"/>
          <w:lang w:val="en-GB"/>
        </w:rPr>
        <w:t xml:space="preserve">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hyperlink r:id="rId12" w:tooltip="Gives access to this document through its ELI URI." w:history="1">
        <w:r w:rsidRPr="00FD5166">
          <w:rPr>
            <w:rStyle w:val="Hyperlink"/>
            <w:sz w:val="24"/>
            <w:lang w:val="en-GB"/>
          </w:rPr>
          <w:t>http://data.europa.eu/eli/C/2025/2246/oj</w:t>
        </w:r>
      </w:hyperlink>
      <w:r w:rsidRPr="00FD5166">
        <w:rPr>
          <w:sz w:val="24"/>
          <w:lang w:val="en-GB"/>
        </w:rPr>
        <w:t>).</w:t>
      </w:r>
    </w:p>
    <w:p w14:paraId="2F17E98E" w14:textId="3D26971F" w:rsidR="00D23245" w:rsidRPr="00FD5166" w:rsidRDefault="00D23245" w:rsidP="00887225">
      <w:pPr>
        <w:pStyle w:val="FootnoteText"/>
        <w:ind w:left="1134" w:hanging="567"/>
        <w:rPr>
          <w:sz w:val="24"/>
          <w:vertAlign w:val="superscript"/>
          <w:lang w:val="en-GB"/>
        </w:rPr>
      </w:pPr>
      <w:r w:rsidRPr="00FD5166">
        <w:rPr>
          <w:sz w:val="24"/>
          <w:lang w:val="en-GB"/>
        </w:rPr>
        <w:t>–</w:t>
      </w:r>
      <w:r w:rsidRPr="00FD5166">
        <w:rPr>
          <w:sz w:val="24"/>
          <w:lang w:val="en-GB"/>
        </w:rPr>
        <w:tab/>
        <w:t xml:space="preserve">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hyperlink r:id="rId13" w:tooltip="Gives access to this document through its ELI URI." w:history="1">
        <w:r w:rsidRPr="00FD5166">
          <w:rPr>
            <w:rStyle w:val="Hyperlink"/>
            <w:sz w:val="24"/>
            <w:lang w:val="en-GB"/>
          </w:rPr>
          <w:t>http://data.europa.eu/eli/C/2025/2247/oj</w:t>
        </w:r>
      </w:hyperlink>
      <w:r w:rsidRPr="00FD5166">
        <w:rPr>
          <w:sz w:val="24"/>
          <w:lang w:val="en-GB"/>
        </w:rPr>
        <w:t>).</w:t>
      </w:r>
    </w:p>
    <w:p w14:paraId="4367A9F4" w14:textId="0C804978" w:rsidR="00D23245" w:rsidRPr="00FD5166" w:rsidRDefault="00D23245" w:rsidP="00887225">
      <w:pPr>
        <w:pStyle w:val="FootnoteText"/>
        <w:ind w:left="1134" w:hanging="567"/>
        <w:rPr>
          <w:sz w:val="24"/>
          <w:vertAlign w:val="superscript"/>
          <w:lang w:val="en-GB"/>
        </w:rPr>
      </w:pPr>
      <w:r w:rsidRPr="00FD5166">
        <w:rPr>
          <w:sz w:val="24"/>
          <w:lang w:val="en-GB"/>
        </w:rPr>
        <w:t>–</w:t>
      </w:r>
      <w:r w:rsidRPr="00FD5166">
        <w:rPr>
          <w:sz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(P10_TA(2025)0106).</w:t>
      </w:r>
    </w:p>
    <w:p w14:paraId="7AEFC669" w14:textId="308F45D4" w:rsidR="00D23245" w:rsidRPr="00FD5166" w:rsidRDefault="00D23245" w:rsidP="00887225">
      <w:pPr>
        <w:pStyle w:val="FootnoteText"/>
        <w:ind w:left="1134" w:hanging="567"/>
        <w:rPr>
          <w:sz w:val="24"/>
          <w:vertAlign w:val="superscript"/>
          <w:lang w:val="en-GB"/>
        </w:rPr>
      </w:pPr>
      <w:r w:rsidRPr="00FD5166">
        <w:rPr>
          <w:sz w:val="24"/>
          <w:lang w:val="en-GB"/>
        </w:rPr>
        <w:t>–</w:t>
      </w:r>
      <w:r w:rsidRPr="00FD5166">
        <w:rPr>
          <w:sz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(P10_TA(2025)0222).</w:t>
      </w:r>
    </w:p>
    <w:p w14:paraId="5B9BA301" w14:textId="7A53C117" w:rsidR="00D23245" w:rsidRPr="00FD5166" w:rsidRDefault="00D23245" w:rsidP="00887225">
      <w:pPr>
        <w:pStyle w:val="FootnoteText"/>
        <w:ind w:left="1134" w:hanging="567"/>
        <w:rPr>
          <w:sz w:val="24"/>
          <w:vertAlign w:val="superscript"/>
          <w:lang w:val="en-GB"/>
        </w:rPr>
      </w:pPr>
      <w:bookmarkStart w:id="8" w:name="_Hlk215330280"/>
      <w:r w:rsidRPr="00FD5166">
        <w:rPr>
          <w:sz w:val="24"/>
          <w:lang w:val="en-GB"/>
        </w:rPr>
        <w:t>–</w:t>
      </w:r>
      <w:r w:rsidRPr="00FD5166">
        <w:rPr>
          <w:sz w:val="24"/>
          <w:lang w:val="en-GB"/>
        </w:rPr>
        <w:tab/>
        <w:t>European Parliament resolution of 25 November 2025 on the draft Commission implementing decision authorising the placing on the market of products containing, consisting of or produced from genetically modified maize DAS1131, pursuant to Regulation (EC) No</w:t>
      </w:r>
      <w:r w:rsidR="00613EEE">
        <w:rPr>
          <w:sz w:val="24"/>
          <w:lang w:val="en-GB"/>
        </w:rPr>
        <w:t> </w:t>
      </w:r>
      <w:r w:rsidRPr="00FD5166">
        <w:rPr>
          <w:sz w:val="24"/>
          <w:lang w:val="en-GB"/>
        </w:rPr>
        <w:t>1829/2003 of the European Parliament and of the Council (P10_TA(2025)0288).</w:t>
      </w:r>
    </w:p>
    <w:p w14:paraId="7CC936C0" w14:textId="415871EC" w:rsidR="00D23245" w:rsidRPr="00FD5166" w:rsidRDefault="00D23245" w:rsidP="00887225">
      <w:pPr>
        <w:pStyle w:val="FootnoteText"/>
        <w:ind w:left="1134" w:hanging="567"/>
        <w:rPr>
          <w:sz w:val="24"/>
          <w:vertAlign w:val="superscript"/>
          <w:lang w:val="en-GB"/>
        </w:rPr>
      </w:pPr>
      <w:r w:rsidRPr="00FD5166">
        <w:rPr>
          <w:sz w:val="24"/>
          <w:lang w:val="en-GB"/>
        </w:rPr>
        <w:t>–</w:t>
      </w:r>
      <w:r w:rsidRPr="00FD5166">
        <w:rPr>
          <w:sz w:val="24"/>
          <w:lang w:val="en-GB"/>
        </w:rPr>
        <w:tab/>
        <w:t>European Parliament resolution of 25 November 2025 on the draft Commission implementing decision renewing the authorisation for the placing on the market of products containing, consisting of or produced from genetically modified cotton MON 88913 (MON-88913-8), pursuant to Regulation (EC) No</w:t>
      </w:r>
      <w:r w:rsidR="00613EEE">
        <w:rPr>
          <w:sz w:val="24"/>
          <w:lang w:val="en-GB"/>
        </w:rPr>
        <w:t> </w:t>
      </w:r>
      <w:r w:rsidRPr="00FD5166">
        <w:rPr>
          <w:sz w:val="24"/>
          <w:lang w:val="en-GB"/>
        </w:rPr>
        <w:t>1829/2003 of the European Parliament and of the Council (P10_TA(2025)0289).</w:t>
      </w:r>
    </w:p>
    <w:p w14:paraId="4E465856" w14:textId="09F6EC60" w:rsidR="00D23245" w:rsidRPr="00FD5166" w:rsidRDefault="00D23245" w:rsidP="00887225">
      <w:pPr>
        <w:pStyle w:val="FootnoteText"/>
        <w:ind w:left="1134" w:hanging="567"/>
        <w:rPr>
          <w:sz w:val="24"/>
          <w:vertAlign w:val="superscript"/>
          <w:lang w:val="en-GB"/>
        </w:rPr>
      </w:pPr>
      <w:r w:rsidRPr="00FD5166">
        <w:rPr>
          <w:sz w:val="24"/>
          <w:lang w:val="en-GB"/>
        </w:rPr>
        <w:t>–</w:t>
      </w:r>
      <w:r w:rsidRPr="00FD5166">
        <w:rPr>
          <w:sz w:val="24"/>
          <w:lang w:val="en-GB"/>
        </w:rPr>
        <w:tab/>
        <w:t>European Parliament resolution of 25 November 2025 on the draft Commission implementing decision renewing the authorisation for the placing on the market of products containing, consisting of or produced from genetically modified oilseed rape MON 88302, pursuant to Regulation (EC) No</w:t>
      </w:r>
      <w:r w:rsidR="00613EEE">
        <w:rPr>
          <w:sz w:val="24"/>
          <w:lang w:val="en-GB"/>
        </w:rPr>
        <w:t> </w:t>
      </w:r>
      <w:r w:rsidRPr="00FD5166">
        <w:rPr>
          <w:sz w:val="24"/>
          <w:lang w:val="en-GB"/>
        </w:rPr>
        <w:t>1829/2003 of the European Parliament and of the Council (P10_TA(2025)0290).</w:t>
      </w:r>
    </w:p>
    <w:p w14:paraId="7BB7CD5B" w14:textId="2C399967" w:rsidR="00D23245" w:rsidRPr="00FD5166" w:rsidRDefault="00D23245" w:rsidP="00887225">
      <w:pPr>
        <w:pStyle w:val="FootnoteText"/>
        <w:ind w:left="1134" w:hanging="567"/>
        <w:rPr>
          <w:sz w:val="24"/>
          <w:vertAlign w:val="superscript"/>
          <w:lang w:val="en-GB"/>
        </w:rPr>
      </w:pPr>
      <w:r w:rsidRPr="00FD5166">
        <w:rPr>
          <w:sz w:val="24"/>
          <w:lang w:val="en-GB"/>
        </w:rPr>
        <w:t>–</w:t>
      </w:r>
      <w:r w:rsidRPr="00FD5166">
        <w:rPr>
          <w:sz w:val="24"/>
          <w:lang w:val="en-GB"/>
        </w:rPr>
        <w:tab/>
        <w:t>European Parliament resolution of 25 November 2025 on Commission Implementing Decision renewing the authorisation for the placing on the market of products containing, consisting of or produced from genetically modified soybean MON 87708, pursuant to Regulation (EC) No</w:t>
      </w:r>
      <w:r w:rsidR="00613EEE">
        <w:rPr>
          <w:sz w:val="24"/>
          <w:lang w:val="en-GB"/>
        </w:rPr>
        <w:t> </w:t>
      </w:r>
      <w:r w:rsidRPr="00FD5166">
        <w:rPr>
          <w:sz w:val="24"/>
          <w:lang w:val="en-GB"/>
        </w:rPr>
        <w:t>1829/2003 of the European Parliament and of the Council (P10_TA(2025)0291).</w:t>
      </w:r>
    </w:p>
    <w:p w14:paraId="554E0E66" w14:textId="2AB23D4A" w:rsidR="00D23245" w:rsidRPr="00FD5166" w:rsidRDefault="00D23245" w:rsidP="00887225">
      <w:pPr>
        <w:pStyle w:val="FootnoteText"/>
        <w:ind w:left="1134" w:hanging="567"/>
        <w:rPr>
          <w:sz w:val="24"/>
          <w:lang w:val="en-GB"/>
        </w:rPr>
      </w:pPr>
      <w:r w:rsidRPr="00FD5166">
        <w:rPr>
          <w:sz w:val="24"/>
          <w:lang w:val="en-GB"/>
        </w:rPr>
        <w:tab/>
        <w:t xml:space="preserve">European Parliament resolution of 25 November 2025 on the draft Commission implementing decision renewing the authorisation for the placing on the market of products containing, consisting of or produced from genetically modified maize MON 87427, pursuant to Regulation </w:t>
      </w:r>
      <w:r w:rsidR="008A069C">
        <w:rPr>
          <w:sz w:val="24"/>
          <w:lang w:val="en-GB"/>
        </w:rPr>
        <w:t xml:space="preserve">(EC) </w:t>
      </w:r>
      <w:r w:rsidRPr="00FD5166">
        <w:rPr>
          <w:sz w:val="24"/>
          <w:lang w:val="en-GB"/>
        </w:rPr>
        <w:t>No</w:t>
      </w:r>
      <w:r w:rsidR="00613EEE">
        <w:rPr>
          <w:sz w:val="24"/>
          <w:lang w:val="en-GB"/>
        </w:rPr>
        <w:t> </w:t>
      </w:r>
      <w:r w:rsidRPr="00FD5166">
        <w:rPr>
          <w:sz w:val="24"/>
          <w:lang w:val="en-GB"/>
        </w:rPr>
        <w:t>1829/2003 of the European Parliament and of the Council (P10_TA(2025)0292).</w:t>
      </w:r>
      <w:bookmarkEnd w:id="8"/>
    </w:p>
  </w:footnote>
  <w:footnote w:id="5">
    <w:p w14:paraId="2E8B4017" w14:textId="2216CBEC" w:rsidR="00D23245" w:rsidRPr="00FD5166" w:rsidRDefault="00D23245" w:rsidP="00FD5166">
      <w:pPr>
        <w:pStyle w:val="FootnoteText"/>
        <w:ind w:left="567" w:hanging="567"/>
        <w:rPr>
          <w:sz w:val="24"/>
          <w:lang w:val="en-GB"/>
        </w:rPr>
      </w:pPr>
      <w:r w:rsidRPr="00FD5166">
        <w:rPr>
          <w:rStyle w:val="FootnoteReference"/>
          <w:sz w:val="24"/>
          <w:lang w:val="en-GB"/>
        </w:rPr>
        <w:footnoteRef/>
      </w:r>
      <w:r w:rsidR="00FD5166" w:rsidRPr="00FD5166">
        <w:rPr>
          <w:sz w:val="24"/>
          <w:lang w:val="en-GB"/>
        </w:rPr>
        <w:t xml:space="preserve"> </w:t>
      </w:r>
      <w:r w:rsidR="00FD5166" w:rsidRPr="00FD5166">
        <w:rPr>
          <w:sz w:val="24"/>
          <w:lang w:val="en-GB"/>
        </w:rPr>
        <w:tab/>
      </w:r>
      <w:r w:rsidRPr="00FD5166">
        <w:rPr>
          <w:sz w:val="24"/>
          <w:lang w:val="en-GB"/>
        </w:rPr>
        <w:t>Commission Implementing Decision (EU) 2015/684 of 24 April 2015 authorising the placing on the market of genetically modified maize NK603 (MON-ØØ6Ø3–6) and renewing the existing maize NK603 (MON-ØØ6Ø3–6) products, pursuant to Regulation (EC) No 1829/2003 of the European Parliament and of the Council (OJ L 112</w:t>
      </w:r>
      <w:r w:rsidR="0088490D">
        <w:rPr>
          <w:sz w:val="24"/>
          <w:lang w:val="en-GB"/>
        </w:rPr>
        <w:t>,</w:t>
      </w:r>
      <w:r w:rsidRPr="00FD5166">
        <w:rPr>
          <w:sz w:val="24"/>
          <w:lang w:val="en-GB"/>
        </w:rPr>
        <w:t xml:space="preserve"> </w:t>
      </w:r>
      <w:r w:rsidR="00406310">
        <w:rPr>
          <w:sz w:val="24"/>
          <w:lang w:val="en-GB"/>
        </w:rPr>
        <w:t>30</w:t>
      </w:r>
      <w:r w:rsidRPr="00FD5166">
        <w:rPr>
          <w:sz w:val="24"/>
          <w:lang w:val="en-GB"/>
        </w:rPr>
        <w:t>.</w:t>
      </w:r>
      <w:r w:rsidR="00406310">
        <w:rPr>
          <w:sz w:val="24"/>
          <w:lang w:val="en-GB"/>
        </w:rPr>
        <w:t>4</w:t>
      </w:r>
      <w:r w:rsidRPr="00FD5166">
        <w:rPr>
          <w:sz w:val="24"/>
          <w:lang w:val="en-GB"/>
        </w:rPr>
        <w:t>.20</w:t>
      </w:r>
      <w:r w:rsidR="00406310">
        <w:rPr>
          <w:sz w:val="24"/>
          <w:lang w:val="en-GB"/>
        </w:rPr>
        <w:t>15</w:t>
      </w:r>
      <w:r w:rsidRPr="00FD5166">
        <w:rPr>
          <w:sz w:val="24"/>
          <w:lang w:val="en-GB"/>
        </w:rPr>
        <w:t>, p. 6, ELI: </w:t>
      </w:r>
      <w:hyperlink r:id="rId14" w:tooltip="Gives access to this document through its ELI URI." w:history="1">
        <w:r w:rsidRPr="00FD5166">
          <w:rPr>
            <w:rStyle w:val="Hyperlink"/>
            <w:sz w:val="24"/>
            <w:lang w:val="en-GB"/>
          </w:rPr>
          <w:t>http://data.europa.eu/eli/dec_impl/2015/684/oj</w:t>
        </w:r>
      </w:hyperlink>
      <w:r w:rsidRPr="00FD5166">
        <w:rPr>
          <w:sz w:val="24"/>
          <w:lang w:val="en-GB"/>
        </w:rPr>
        <w:t>).</w:t>
      </w:r>
    </w:p>
  </w:footnote>
  <w:footnote w:id="6">
    <w:p w14:paraId="2F266E73" w14:textId="5B03D0A4" w:rsidR="00D23245" w:rsidRPr="00FD5166" w:rsidRDefault="00D23245" w:rsidP="00FD5166">
      <w:pPr>
        <w:pStyle w:val="FootnoteText"/>
        <w:ind w:left="567" w:hanging="567"/>
        <w:rPr>
          <w:sz w:val="24"/>
          <w:lang w:val="en-GB"/>
        </w:rPr>
      </w:pPr>
      <w:r w:rsidRPr="009424D1">
        <w:rPr>
          <w:rStyle w:val="FootnoteReference"/>
          <w:sz w:val="24"/>
          <w:lang w:val="en-GB"/>
        </w:rPr>
        <w:footnoteRef/>
      </w:r>
      <w:r w:rsidR="00FD5166" w:rsidRPr="00887225">
        <w:rPr>
          <w:rStyle w:val="Hyperlink"/>
          <w:color w:val="auto"/>
          <w:sz w:val="24"/>
          <w:u w:val="none"/>
          <w:lang w:val="en-GB"/>
        </w:rPr>
        <w:t xml:space="preserve"> </w:t>
      </w:r>
      <w:r w:rsidR="00FD5166" w:rsidRPr="00887225">
        <w:rPr>
          <w:rStyle w:val="Hyperlink"/>
          <w:color w:val="auto"/>
          <w:sz w:val="24"/>
          <w:u w:val="none"/>
          <w:lang w:val="en-GB"/>
        </w:rPr>
        <w:tab/>
      </w:r>
      <w:r w:rsidRPr="00887225">
        <w:rPr>
          <w:rStyle w:val="Hyperlink"/>
          <w:color w:val="auto"/>
          <w:sz w:val="24"/>
          <w:u w:val="none"/>
          <w:lang w:val="en-GB"/>
        </w:rPr>
        <w:t>EFSA GMO Panel, 2009. Scientific Opinion of the Panel on Genetically Modified Organisms on applications (EFSA-GMO-NL-2005-22 and EFSA-GMO-RX-NK603) for the placing on the market of the genetically modified glyphosate tolerant maize NK603 for cultivation, food and feed uses and import and processing, and for renewal of the authorisation of maize NK603 as existing product. EFSA Journal, 7(6), 1137</w:t>
      </w:r>
      <w:r w:rsidR="009424D1">
        <w:rPr>
          <w:rStyle w:val="Hyperlink"/>
          <w:color w:val="auto"/>
          <w:sz w:val="24"/>
          <w:u w:val="none"/>
          <w:lang w:val="en-GB"/>
        </w:rPr>
        <w:t xml:space="preserve">, </w:t>
      </w:r>
      <w:hyperlink r:id="rId15" w:history="1">
        <w:r w:rsidR="009424D1" w:rsidRPr="009424D1">
          <w:rPr>
            <w:rStyle w:val="Hyperlink"/>
            <w:sz w:val="24"/>
            <w:lang w:val="en-GB"/>
          </w:rPr>
          <w:t>https://doi.org/10.2903/j.efsa.2009.1137</w:t>
        </w:r>
      </w:hyperlink>
      <w:r w:rsidRPr="00887225">
        <w:rPr>
          <w:rStyle w:val="Hyperlink"/>
          <w:color w:val="auto"/>
          <w:sz w:val="24"/>
          <w:u w:val="none"/>
          <w:lang w:val="en-GB"/>
        </w:rPr>
        <w:t>.</w:t>
      </w:r>
    </w:p>
  </w:footnote>
  <w:footnote w:id="7">
    <w:p w14:paraId="7067FF2D" w14:textId="415D3DE8" w:rsidR="00D23245" w:rsidRPr="00FD5166" w:rsidRDefault="00D23245" w:rsidP="00FD5166">
      <w:pPr>
        <w:pStyle w:val="FootnoteText"/>
        <w:ind w:left="567" w:hanging="567"/>
        <w:rPr>
          <w:sz w:val="24"/>
          <w:lang w:val="en-GB"/>
        </w:rPr>
      </w:pPr>
      <w:r w:rsidRPr="00FD5166">
        <w:rPr>
          <w:rStyle w:val="FootnoteReference"/>
          <w:sz w:val="24"/>
          <w:lang w:val="en-GB"/>
        </w:rPr>
        <w:footnoteRef/>
      </w:r>
      <w:r w:rsidR="00FD5166" w:rsidRPr="00FD5166">
        <w:rPr>
          <w:sz w:val="24"/>
          <w:shd w:val="clear" w:color="auto" w:fill="FFFFFF"/>
          <w:lang w:val="en-GB"/>
        </w:rPr>
        <w:t xml:space="preserve"> </w:t>
      </w:r>
      <w:r w:rsidR="00FD5166" w:rsidRPr="00FD5166">
        <w:rPr>
          <w:sz w:val="24"/>
          <w:shd w:val="clear" w:color="auto" w:fill="FFFFFF"/>
          <w:lang w:val="en-GB"/>
        </w:rPr>
        <w:tab/>
      </w:r>
      <w:r w:rsidRPr="00FD5166">
        <w:rPr>
          <w:sz w:val="24"/>
          <w:shd w:val="clear" w:color="auto" w:fill="FFFFFF"/>
          <w:lang w:val="en-GB"/>
        </w:rPr>
        <w:t xml:space="preserve">See, for example, Bonny, S., ‘Genetically Modified Herbicide-Tolerant Crops, Weeds, and Herbicides: Overview and Impact’, Environmental Management, January 2016;57(1), pp. 31-48, </w:t>
      </w:r>
      <w:hyperlink r:id="rId16" w:history="1">
        <w:r w:rsidRPr="00FD5166">
          <w:rPr>
            <w:rStyle w:val="Hyperlink"/>
            <w:sz w:val="24"/>
            <w:shd w:val="clear" w:color="auto" w:fill="FFFFFF"/>
            <w:lang w:val="en-GB"/>
          </w:rPr>
          <w:t>https://doi.org/10.1007/s00267-015-0589-7</w:t>
        </w:r>
      </w:hyperlink>
      <w:r w:rsidRPr="00FD5166">
        <w:rPr>
          <w:sz w:val="24"/>
          <w:shd w:val="clear" w:color="auto" w:fill="FFFFFF"/>
          <w:lang w:val="en-GB"/>
        </w:rPr>
        <w:t xml:space="preserve">, and Benbrook, C.M., ‘Impacts of genetically engineered crops on pesticide use in the U.S. – the first sixteen years’, Environmental Sciences Europe; 28 September 2012, Vol. 24(1), </w:t>
      </w:r>
      <w:hyperlink r:id="rId17" w:history="1">
        <w:r w:rsidRPr="00FD5166">
          <w:rPr>
            <w:rStyle w:val="Hyperlink"/>
            <w:sz w:val="24"/>
            <w:shd w:val="clear" w:color="auto" w:fill="FFFFFF"/>
            <w:lang w:val="en-GB"/>
          </w:rPr>
          <w:t>https://doi.org/10.1186/2190-4715-24-24</w:t>
        </w:r>
      </w:hyperlink>
      <w:r w:rsidRPr="00FD5166">
        <w:rPr>
          <w:sz w:val="24"/>
          <w:shd w:val="clear" w:color="auto" w:fill="FFFFFF"/>
          <w:lang w:val="en-GB"/>
        </w:rPr>
        <w:t>.</w:t>
      </w:r>
    </w:p>
  </w:footnote>
  <w:footnote w:id="8">
    <w:p w14:paraId="2906E407" w14:textId="2DC29724" w:rsidR="00D23245" w:rsidRPr="00FD5166" w:rsidRDefault="00D23245" w:rsidP="009424D1">
      <w:pPr>
        <w:pStyle w:val="FootnoteText"/>
        <w:ind w:left="567" w:hanging="567"/>
        <w:rPr>
          <w:sz w:val="24"/>
          <w:lang w:val="en-GB"/>
        </w:rPr>
      </w:pPr>
      <w:r w:rsidRPr="00FD5166">
        <w:rPr>
          <w:rStyle w:val="FootnoteReference"/>
          <w:sz w:val="24"/>
          <w:lang w:val="en-GB"/>
        </w:rPr>
        <w:footnoteRef/>
      </w:r>
      <w:r w:rsidR="00FD5166" w:rsidRPr="00FD5166">
        <w:rPr>
          <w:sz w:val="24"/>
          <w:lang w:val="en-GB"/>
        </w:rPr>
        <w:t xml:space="preserve"> </w:t>
      </w:r>
      <w:r w:rsidR="00FD5166" w:rsidRPr="00FD5166">
        <w:rPr>
          <w:sz w:val="24"/>
          <w:lang w:val="en-GB"/>
        </w:rPr>
        <w:tab/>
      </w:r>
      <w:r w:rsidRPr="00FD5166">
        <w:rPr>
          <w:sz w:val="24"/>
          <w:lang w:val="en-GB"/>
        </w:rPr>
        <w:t xml:space="preserve">See, for example: </w:t>
      </w:r>
      <w:r w:rsidR="009424D1">
        <w:rPr>
          <w:sz w:val="24"/>
          <w:lang w:val="en-GB"/>
        </w:rPr>
        <w:br/>
      </w:r>
      <w:hyperlink r:id="rId18" w:history="1">
        <w:r w:rsidR="009424D1" w:rsidRPr="009424D1">
          <w:rPr>
            <w:rStyle w:val="Hyperlink"/>
            <w:sz w:val="24"/>
            <w:lang w:val="en-GB"/>
          </w:rPr>
          <w:t>https://doi.org/10.1002/ps.8105</w:t>
        </w:r>
      </w:hyperlink>
      <w:r w:rsidRPr="00FD5166">
        <w:rPr>
          <w:sz w:val="24"/>
          <w:lang w:val="en-GB"/>
        </w:rPr>
        <w:t>,</w:t>
      </w:r>
      <w:r w:rsidR="009424D1">
        <w:rPr>
          <w:sz w:val="24"/>
          <w:lang w:val="en-GB"/>
        </w:rPr>
        <w:br/>
      </w:r>
      <w:hyperlink r:id="rId19" w:history="1">
        <w:r w:rsidR="009424D1" w:rsidRPr="009424D1">
          <w:rPr>
            <w:rStyle w:val="Hyperlink"/>
            <w:sz w:val="24"/>
            <w:lang w:val="en-GB"/>
          </w:rPr>
          <w:t>https://doi.org/10.1016/j.geoforum.2009.03.009</w:t>
        </w:r>
      </w:hyperlink>
      <w:r w:rsidRPr="00FD5166">
        <w:rPr>
          <w:sz w:val="24"/>
          <w:lang w:val="en-GB"/>
        </w:rPr>
        <w:t>.</w:t>
      </w:r>
    </w:p>
  </w:footnote>
  <w:footnote w:id="9">
    <w:p w14:paraId="0866B571" w14:textId="7F0A9040" w:rsidR="00D23245" w:rsidRPr="00FD5166" w:rsidRDefault="00D23245" w:rsidP="00FD5166">
      <w:pPr>
        <w:pStyle w:val="FootnoteText"/>
        <w:ind w:left="567" w:hanging="567"/>
        <w:rPr>
          <w:sz w:val="24"/>
          <w:lang w:val="en-GB"/>
        </w:rPr>
      </w:pPr>
      <w:r w:rsidRPr="00FD5166">
        <w:rPr>
          <w:rStyle w:val="FootnoteReference"/>
          <w:sz w:val="24"/>
          <w:lang w:val="en-GB"/>
        </w:rPr>
        <w:footnoteRef/>
      </w:r>
      <w:r w:rsidR="00FD5166" w:rsidRPr="00FD5166">
        <w:rPr>
          <w:sz w:val="24"/>
          <w:lang w:val="en-GB"/>
        </w:rPr>
        <w:t xml:space="preserve"> </w:t>
      </w:r>
      <w:r w:rsidR="00FD5166" w:rsidRPr="00FD5166">
        <w:rPr>
          <w:sz w:val="24"/>
          <w:lang w:val="en-GB"/>
        </w:rPr>
        <w:tab/>
      </w:r>
      <w:r w:rsidRPr="00FD5166">
        <w:rPr>
          <w:sz w:val="24"/>
          <w:lang w:val="en-GB"/>
        </w:rPr>
        <w:t>See, for example:</w:t>
      </w:r>
      <w:r w:rsidRPr="00FD5166">
        <w:rPr>
          <w:sz w:val="24"/>
          <w:lang w:val="en-GB"/>
        </w:rPr>
        <w:br/>
      </w:r>
      <w:hyperlink r:id="rId20" w:tgtFrame="_blank" w:tooltip="Persistent link using digital object identifier" w:history="1">
        <w:r w:rsidRPr="00FD5166">
          <w:rPr>
            <w:rStyle w:val="Hyperlink"/>
            <w:sz w:val="24"/>
            <w:lang w:val="en-GB"/>
          </w:rPr>
          <w:t>https://doi.org/10.1016/j.mrrev.2019.02.001</w:t>
        </w:r>
      </w:hyperlink>
      <w:r w:rsidRPr="00FD5166">
        <w:rPr>
          <w:sz w:val="24"/>
          <w:lang w:val="en-GB"/>
        </w:rPr>
        <w:t>,</w:t>
      </w:r>
      <w:r w:rsidRPr="00FD5166">
        <w:rPr>
          <w:sz w:val="24"/>
          <w:lang w:val="en-GB"/>
        </w:rPr>
        <w:br/>
      </w:r>
      <w:hyperlink r:id="rId21" w:history="1">
        <w:r w:rsidRPr="00FD5166">
          <w:rPr>
            <w:rStyle w:val="Hyperlink"/>
            <w:sz w:val="24"/>
            <w:lang w:val="en-GB"/>
          </w:rPr>
          <w:t>https://doi.org/10.1093/ije/dyz017</w:t>
        </w:r>
      </w:hyperlink>
      <w:r w:rsidRPr="00FD5166">
        <w:rPr>
          <w:sz w:val="24"/>
          <w:lang w:val="en-GB"/>
        </w:rPr>
        <w:t>,</w:t>
      </w:r>
      <w:r w:rsidRPr="00FD5166">
        <w:rPr>
          <w:sz w:val="24"/>
          <w:lang w:val="en-GB"/>
        </w:rPr>
        <w:br/>
      </w:r>
      <w:hyperlink r:id="rId22" w:history="1">
        <w:r w:rsidRPr="00FD5166">
          <w:rPr>
            <w:rStyle w:val="Hyperlink"/>
            <w:sz w:val="24"/>
            <w:lang w:val="en-GB"/>
          </w:rPr>
          <w:t>https://doi.org/10.1371/journal.pone.0219610</w:t>
        </w:r>
      </w:hyperlink>
      <w:r w:rsidRPr="00FD5166">
        <w:rPr>
          <w:sz w:val="24"/>
          <w:lang w:val="en-GB"/>
        </w:rPr>
        <w:t xml:space="preserve"> and</w:t>
      </w:r>
      <w:r w:rsidRPr="00FD5166">
        <w:rPr>
          <w:sz w:val="24"/>
          <w:lang w:val="en-GB"/>
        </w:rPr>
        <w:br/>
      </w:r>
      <w:hyperlink r:id="rId23" w:history="1">
        <w:r w:rsidRPr="00FD5166">
          <w:rPr>
            <w:rStyle w:val="Hyperlink"/>
            <w:sz w:val="24"/>
            <w:lang w:val="en-GB"/>
          </w:rPr>
          <w:t>https://doi.org/10.1186/s13045-019-0767-9</w:t>
        </w:r>
      </w:hyperlink>
      <w:r w:rsidRPr="00FD5166">
        <w:rPr>
          <w:sz w:val="24"/>
          <w:lang w:val="en-GB"/>
        </w:rPr>
        <w:t>.</w:t>
      </w:r>
    </w:p>
  </w:footnote>
  <w:footnote w:id="10">
    <w:p w14:paraId="674B5BCF" w14:textId="30FDAC9A" w:rsidR="00D23245" w:rsidRPr="00FD5166" w:rsidRDefault="00D23245" w:rsidP="00FD5166">
      <w:pPr>
        <w:pStyle w:val="FootnoteText"/>
        <w:ind w:left="567" w:hanging="567"/>
        <w:rPr>
          <w:sz w:val="24"/>
          <w:lang w:val="en-GB"/>
        </w:rPr>
      </w:pPr>
      <w:r w:rsidRPr="00FD5166">
        <w:rPr>
          <w:rStyle w:val="FootnoteReference"/>
          <w:sz w:val="24"/>
          <w:lang w:val="en-GB"/>
        </w:rPr>
        <w:footnoteRef/>
      </w:r>
      <w:r w:rsidR="00FD5166" w:rsidRPr="00FD5166">
        <w:rPr>
          <w:color w:val="000000" w:themeColor="text1"/>
          <w:sz w:val="24"/>
          <w:lang w:val="en-GB"/>
        </w:rPr>
        <w:t xml:space="preserve"> </w:t>
      </w:r>
      <w:r w:rsidR="00FD5166" w:rsidRPr="00FD5166">
        <w:rPr>
          <w:color w:val="000000" w:themeColor="text1"/>
          <w:sz w:val="24"/>
          <w:lang w:val="en-GB"/>
        </w:rPr>
        <w:tab/>
      </w:r>
      <w:r w:rsidRPr="00FD5166">
        <w:rPr>
          <w:color w:val="000000" w:themeColor="text1"/>
          <w:sz w:val="24"/>
          <w:lang w:val="en-GB"/>
        </w:rPr>
        <w:t>In December 2022 a global framework on biodiversity was agreed at the COP15 of the United Nations Convention on Biological Diversity which includes a global target for reducing the risk of pesticides by at least 50</w:t>
      </w:r>
      <w:r w:rsidRPr="00FD5166">
        <w:rPr>
          <w:sz w:val="24"/>
          <w:lang w:val="en-GB"/>
        </w:rPr>
        <w:t> </w:t>
      </w:r>
      <w:r w:rsidRPr="00FD5166">
        <w:rPr>
          <w:color w:val="000000" w:themeColor="text1"/>
          <w:sz w:val="24"/>
          <w:lang w:val="en-GB"/>
        </w:rPr>
        <w:t xml:space="preserve">% by 2030 (see: </w:t>
      </w:r>
      <w:hyperlink r:id="rId24" w:history="1">
        <w:r w:rsidRPr="00FD5166">
          <w:rPr>
            <w:rStyle w:val="Hyperlink"/>
            <w:sz w:val="24"/>
            <w:lang w:val="en-GB"/>
          </w:rPr>
          <w:t>https://ec.europa.eu/commission/presscorner/detail/en/ip_22_7834</w:t>
        </w:r>
      </w:hyperlink>
      <w:r w:rsidRPr="00FD5166">
        <w:rPr>
          <w:sz w:val="24"/>
          <w:lang w:val="en-GB"/>
        </w:rPr>
        <w:t>).</w:t>
      </w:r>
    </w:p>
  </w:footnote>
  <w:footnote w:id="11">
    <w:p w14:paraId="510DF109" w14:textId="1EAB548E" w:rsidR="00D23245" w:rsidRPr="00FD5166" w:rsidRDefault="00D23245" w:rsidP="00FD5166">
      <w:pPr>
        <w:pStyle w:val="FootnoteText"/>
        <w:ind w:left="567" w:hanging="567"/>
        <w:rPr>
          <w:sz w:val="24"/>
          <w:lang w:val="en-GB"/>
        </w:rPr>
      </w:pPr>
      <w:r w:rsidRPr="00FD5166">
        <w:rPr>
          <w:rStyle w:val="FootnoteReference"/>
          <w:sz w:val="24"/>
          <w:lang w:val="en-GB"/>
        </w:rPr>
        <w:footnoteRef/>
      </w:r>
      <w:r w:rsidR="00FD5166" w:rsidRPr="00FD5166">
        <w:rPr>
          <w:sz w:val="24"/>
          <w:lang w:val="en-GB"/>
        </w:rPr>
        <w:t xml:space="preserve"> </w:t>
      </w:r>
      <w:r w:rsidR="00FD5166" w:rsidRPr="00FD5166">
        <w:rPr>
          <w:sz w:val="24"/>
          <w:lang w:val="en-GB"/>
        </w:rPr>
        <w:tab/>
      </w:r>
      <w:hyperlink r:id="rId25" w:history="1">
        <w:r w:rsidRPr="00FD5166">
          <w:rPr>
            <w:rStyle w:val="Hyperlink"/>
            <w:sz w:val="24"/>
            <w:lang w:val="en-GB"/>
          </w:rPr>
          <w:t>https://commission.europa.eu/strategy-and-policy/priorities-2019-2024/european-green-deal/agriculture-and-green-deal/strategic-dialogue-future-eu-agriculture_en</w:t>
        </w:r>
      </w:hyperlink>
      <w:r w:rsidRPr="00887225">
        <w:rPr>
          <w:rStyle w:val="Hyperlink"/>
          <w:color w:val="auto"/>
          <w:sz w:val="24"/>
          <w:u w:val="none"/>
          <w:lang w:val="en-GB"/>
        </w:rPr>
        <w:t>.</w:t>
      </w:r>
      <w:r w:rsidRPr="00FD5166">
        <w:rPr>
          <w:sz w:val="24"/>
          <w:lang w:val="en-GB"/>
        </w:rPr>
        <w:t xml:space="preserve"> </w:t>
      </w:r>
    </w:p>
  </w:footnote>
  <w:footnote w:id="12">
    <w:p w14:paraId="1EE4C222" w14:textId="055CC6C7" w:rsidR="00D23245" w:rsidRPr="00FD5166" w:rsidRDefault="00D23245" w:rsidP="00FD5166">
      <w:pPr>
        <w:pStyle w:val="FootnoteText"/>
        <w:ind w:left="567" w:hanging="567"/>
        <w:rPr>
          <w:sz w:val="24"/>
          <w:lang w:val="en-GB"/>
        </w:rPr>
      </w:pPr>
      <w:r w:rsidRPr="00FD5166">
        <w:rPr>
          <w:rStyle w:val="FootnoteReference"/>
          <w:sz w:val="24"/>
          <w:lang w:val="en-GB"/>
        </w:rPr>
        <w:footnoteRef/>
      </w:r>
      <w:r w:rsidR="00FD5166" w:rsidRPr="00FD5166">
        <w:rPr>
          <w:sz w:val="24"/>
          <w:lang w:val="en-GB"/>
        </w:rPr>
        <w:t xml:space="preserve"> </w:t>
      </w:r>
      <w:r w:rsidR="00FD5166" w:rsidRPr="00FD5166">
        <w:rPr>
          <w:sz w:val="24"/>
          <w:lang w:val="en-GB"/>
        </w:rPr>
        <w:tab/>
      </w:r>
      <w:r w:rsidRPr="00FD5166">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26" w:tgtFrame="Gives%20access%20to%20this%20document%20through%20its%20ELI%20URI." w:history="1">
        <w:r w:rsidRPr="00FD5166">
          <w:rPr>
            <w:rStyle w:val="Hyperlink"/>
            <w:sz w:val="24"/>
            <w:lang w:val="en-GB"/>
          </w:rPr>
          <w:t>http://data.europa.eu/eli/reg/2002/178/oj</w:t>
        </w:r>
      </w:hyperlink>
      <w:r w:rsidRPr="00FD516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14D1" w14:textId="77777777" w:rsidR="00064002" w:rsidRPr="00FD516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43CD" w14:textId="77777777" w:rsidR="00064002" w:rsidRPr="00FD516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9E7F" w14:textId="77777777" w:rsidR="00064002" w:rsidRPr="00FD516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60150698">
    <w:abstractNumId w:val="9"/>
  </w:num>
  <w:num w:numId="2" w16cid:durableId="1472672993">
    <w:abstractNumId w:val="9"/>
  </w:num>
  <w:num w:numId="3" w16cid:durableId="533083731">
    <w:abstractNumId w:val="7"/>
  </w:num>
  <w:num w:numId="4" w16cid:durableId="892814072">
    <w:abstractNumId w:val="7"/>
  </w:num>
  <w:num w:numId="5" w16cid:durableId="1728718206">
    <w:abstractNumId w:val="6"/>
  </w:num>
  <w:num w:numId="6" w16cid:durableId="1715352584">
    <w:abstractNumId w:val="6"/>
  </w:num>
  <w:num w:numId="7" w16cid:durableId="74058010">
    <w:abstractNumId w:val="5"/>
  </w:num>
  <w:num w:numId="8" w16cid:durableId="609314516">
    <w:abstractNumId w:val="5"/>
  </w:num>
  <w:num w:numId="9" w16cid:durableId="484012308">
    <w:abstractNumId w:val="4"/>
  </w:num>
  <w:num w:numId="10" w16cid:durableId="432016894">
    <w:abstractNumId w:val="4"/>
  </w:num>
  <w:num w:numId="11" w16cid:durableId="341124358">
    <w:abstractNumId w:val="8"/>
  </w:num>
  <w:num w:numId="12" w16cid:durableId="369840233">
    <w:abstractNumId w:val="8"/>
  </w:num>
  <w:num w:numId="13" w16cid:durableId="763841705">
    <w:abstractNumId w:val="3"/>
  </w:num>
  <w:num w:numId="14" w16cid:durableId="885943777">
    <w:abstractNumId w:val="3"/>
  </w:num>
  <w:num w:numId="15" w16cid:durableId="510341800">
    <w:abstractNumId w:val="2"/>
  </w:num>
  <w:num w:numId="16" w16cid:durableId="509565763">
    <w:abstractNumId w:val="2"/>
  </w:num>
  <w:num w:numId="17" w16cid:durableId="1649162890">
    <w:abstractNumId w:val="1"/>
  </w:num>
  <w:num w:numId="18" w16cid:durableId="39060770">
    <w:abstractNumId w:val="1"/>
  </w:num>
  <w:num w:numId="19" w16cid:durableId="869418752">
    <w:abstractNumId w:val="0"/>
  </w:num>
  <w:num w:numId="20" w16cid:durableId="694384788">
    <w:abstractNumId w:val="0"/>
  </w:num>
  <w:num w:numId="21" w16cid:durableId="1728452771">
    <w:abstractNumId w:val="9"/>
  </w:num>
  <w:num w:numId="22" w16cid:durableId="1004086047">
    <w:abstractNumId w:val="7"/>
  </w:num>
  <w:num w:numId="23" w16cid:durableId="757605311">
    <w:abstractNumId w:val="6"/>
  </w:num>
  <w:num w:numId="24" w16cid:durableId="533034652">
    <w:abstractNumId w:val="5"/>
  </w:num>
  <w:num w:numId="25" w16cid:durableId="2127040581">
    <w:abstractNumId w:val="4"/>
  </w:num>
  <w:num w:numId="26" w16cid:durableId="1914851673">
    <w:abstractNumId w:val="8"/>
  </w:num>
  <w:num w:numId="27" w16cid:durableId="961575707">
    <w:abstractNumId w:val="3"/>
  </w:num>
  <w:num w:numId="28" w16cid:durableId="1410271881">
    <w:abstractNumId w:val="2"/>
  </w:num>
  <w:num w:numId="29" w16cid:durableId="488833767">
    <w:abstractNumId w:val="1"/>
  </w:num>
  <w:num w:numId="30" w16cid:durableId="1548371789">
    <w:abstractNumId w:val="0"/>
  </w:num>
  <w:num w:numId="31" w16cid:durableId="1554151720">
    <w:abstractNumId w:val="9"/>
  </w:num>
  <w:num w:numId="32" w16cid:durableId="1070345720">
    <w:abstractNumId w:val="7"/>
  </w:num>
  <w:num w:numId="33" w16cid:durableId="608312982">
    <w:abstractNumId w:val="6"/>
  </w:num>
  <w:num w:numId="34" w16cid:durableId="38172539">
    <w:abstractNumId w:val="5"/>
  </w:num>
  <w:num w:numId="35" w16cid:durableId="1465005854">
    <w:abstractNumId w:val="4"/>
  </w:num>
  <w:num w:numId="36" w16cid:durableId="351997943">
    <w:abstractNumId w:val="8"/>
  </w:num>
  <w:num w:numId="37" w16cid:durableId="1481849981">
    <w:abstractNumId w:val="3"/>
  </w:num>
  <w:num w:numId="38" w16cid:durableId="885411307">
    <w:abstractNumId w:val="2"/>
  </w:num>
  <w:num w:numId="39" w16cid:durableId="2127041737">
    <w:abstractNumId w:val="1"/>
  </w:num>
  <w:num w:numId="40" w16cid:durableId="1417942815">
    <w:abstractNumId w:val="0"/>
  </w:num>
  <w:num w:numId="41" w16cid:durableId="1409111517">
    <w:abstractNumId w:val="10"/>
  </w:num>
  <w:num w:numId="42" w16cid:durableId="1931742198">
    <w:abstractNumId w:val="10"/>
  </w:num>
  <w:num w:numId="43" w16cid:durableId="1120957536">
    <w:abstractNumId w:val="10"/>
  </w:num>
  <w:num w:numId="44" w16cid:durableId="15810627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62/2025"/>
    <w:docVar w:name="dvlangue" w:val="EN"/>
    <w:docVar w:name="dvnumam" w:val="0"/>
    <w:docVar w:name="dvpe" w:val="779.397"/>
    <w:docVar w:name="dvtitre" w:val="European Parliament resolution of 16 December 2025 on the draft Commission Implementing Decision of renewing the authorisation for the placing on the market of products containing, consisting of or produced from genetically modified maize NK603 pursuant to Regulation (EC) No 1829/2003 of the European Parliament and of the Council(D110123/02 – 2025/2958(RSP))"/>
  </w:docVars>
  <w:rsids>
    <w:rsidRoot w:val="009B6DFB"/>
    <w:rsid w:val="00002272"/>
    <w:rsid w:val="00057BDB"/>
    <w:rsid w:val="00064002"/>
    <w:rsid w:val="000677B9"/>
    <w:rsid w:val="000831BA"/>
    <w:rsid w:val="000977F2"/>
    <w:rsid w:val="000A42CC"/>
    <w:rsid w:val="000E7DD9"/>
    <w:rsid w:val="0010095E"/>
    <w:rsid w:val="00125B37"/>
    <w:rsid w:val="00187494"/>
    <w:rsid w:val="001F32AE"/>
    <w:rsid w:val="002767FF"/>
    <w:rsid w:val="002B18FE"/>
    <w:rsid w:val="002B5493"/>
    <w:rsid w:val="002D5767"/>
    <w:rsid w:val="0033223A"/>
    <w:rsid w:val="00343214"/>
    <w:rsid w:val="0035005B"/>
    <w:rsid w:val="00361C00"/>
    <w:rsid w:val="00395FA1"/>
    <w:rsid w:val="003E15D4"/>
    <w:rsid w:val="00406310"/>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13EEE"/>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490D"/>
    <w:rsid w:val="00887225"/>
    <w:rsid w:val="00887B3E"/>
    <w:rsid w:val="008A069C"/>
    <w:rsid w:val="008C2AC6"/>
    <w:rsid w:val="00930C23"/>
    <w:rsid w:val="0093193B"/>
    <w:rsid w:val="009424D1"/>
    <w:rsid w:val="009509D8"/>
    <w:rsid w:val="00950B64"/>
    <w:rsid w:val="00981893"/>
    <w:rsid w:val="009B6DFB"/>
    <w:rsid w:val="00A10D26"/>
    <w:rsid w:val="00A10FB1"/>
    <w:rsid w:val="00A1687D"/>
    <w:rsid w:val="00A43E52"/>
    <w:rsid w:val="00A4678D"/>
    <w:rsid w:val="00A778C7"/>
    <w:rsid w:val="00AB441E"/>
    <w:rsid w:val="00AB6293"/>
    <w:rsid w:val="00AE0928"/>
    <w:rsid w:val="00AF3B82"/>
    <w:rsid w:val="00B12E95"/>
    <w:rsid w:val="00B22876"/>
    <w:rsid w:val="00B558F0"/>
    <w:rsid w:val="00B6676F"/>
    <w:rsid w:val="00BD48FE"/>
    <w:rsid w:val="00BD7BD8"/>
    <w:rsid w:val="00BE6ADC"/>
    <w:rsid w:val="00C05BFE"/>
    <w:rsid w:val="00C23CD4"/>
    <w:rsid w:val="00C61C0C"/>
    <w:rsid w:val="00C941CB"/>
    <w:rsid w:val="00CC2357"/>
    <w:rsid w:val="00CE3AD8"/>
    <w:rsid w:val="00CF071A"/>
    <w:rsid w:val="00D058B8"/>
    <w:rsid w:val="00D23245"/>
    <w:rsid w:val="00D56C11"/>
    <w:rsid w:val="00D67656"/>
    <w:rsid w:val="00D834A0"/>
    <w:rsid w:val="00D872DF"/>
    <w:rsid w:val="00D91E21"/>
    <w:rsid w:val="00DA7FCD"/>
    <w:rsid w:val="00E0543A"/>
    <w:rsid w:val="00E365E1"/>
    <w:rsid w:val="00E820A4"/>
    <w:rsid w:val="00EA56D3"/>
    <w:rsid w:val="00EB006A"/>
    <w:rsid w:val="00EB4772"/>
    <w:rsid w:val="00ED169E"/>
    <w:rsid w:val="00ED4235"/>
    <w:rsid w:val="00F04346"/>
    <w:rsid w:val="00F075DC"/>
    <w:rsid w:val="00F149E9"/>
    <w:rsid w:val="00F5134D"/>
    <w:rsid w:val="00F74202"/>
    <w:rsid w:val="00F87713"/>
    <w:rsid w:val="00FB4360"/>
    <w:rsid w:val="00FD0C70"/>
    <w:rsid w:val="00FD5166"/>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C36E5"/>
  <w15:chartTrackingRefBased/>
  <w15:docId w15:val="{B98BC918-772D-48CF-BA80-F464B63A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uiPriority w:val="99"/>
    <w:rsid w:val="00D23245"/>
    <w:pPr>
      <w:spacing w:before="480" w:after="240"/>
    </w:pPr>
  </w:style>
  <w:style w:type="paragraph" w:customStyle="1" w:styleId="NormalHanging12a">
    <w:name w:val="NormalHanging12a"/>
    <w:basedOn w:val="Normal"/>
    <w:uiPriority w:val="99"/>
    <w:qFormat/>
    <w:rsid w:val="00D23245"/>
    <w:pPr>
      <w:spacing w:after="240"/>
      <w:ind w:left="567" w:hanging="567"/>
    </w:pPr>
  </w:style>
  <w:style w:type="character" w:styleId="Hyperlink">
    <w:name w:val="Hyperlink"/>
    <w:basedOn w:val="DefaultParagraphFont"/>
    <w:uiPriority w:val="99"/>
    <w:rsid w:val="00D23245"/>
    <w:rPr>
      <w:color w:val="0563C1" w:themeColor="hyperlink"/>
      <w:u w:val="single"/>
    </w:rPr>
  </w:style>
  <w:style w:type="paragraph" w:styleId="NormalWeb">
    <w:name w:val="Normal (Web)"/>
    <w:basedOn w:val="Normal"/>
    <w:uiPriority w:val="99"/>
    <w:unhideWhenUsed/>
    <w:rsid w:val="00D23245"/>
    <w:pPr>
      <w:widowControl/>
      <w:spacing w:before="100" w:beforeAutospacing="1" w:after="100" w:afterAutospacing="1"/>
    </w:pPr>
    <w:rPr>
      <w:szCs w:val="24"/>
    </w:rPr>
  </w:style>
  <w:style w:type="paragraph" w:styleId="Revision">
    <w:name w:val="Revision"/>
    <w:hidden/>
    <w:uiPriority w:val="99"/>
    <w:semiHidden/>
    <w:rsid w:val="009424D1"/>
    <w:rPr>
      <w:sz w:val="24"/>
    </w:rPr>
  </w:style>
  <w:style w:type="character" w:styleId="FollowedHyperlink">
    <w:name w:val="FollowedHyperlink"/>
    <w:basedOn w:val="DefaultParagraphFont"/>
    <w:rsid w:val="009424D1"/>
    <w:rPr>
      <w:color w:val="954F72" w:themeColor="followedHyperlink"/>
      <w:u w:val="single"/>
    </w:rPr>
  </w:style>
  <w:style w:type="character" w:styleId="UnresolvedMention">
    <w:name w:val="Unresolved Mention"/>
    <w:basedOn w:val="DefaultParagraphFont"/>
    <w:uiPriority w:val="99"/>
    <w:semiHidden/>
    <w:unhideWhenUsed/>
    <w:rsid w:val="009424D1"/>
    <w:rPr>
      <w:color w:val="605E5C"/>
      <w:shd w:val="clear" w:color="auto" w:fill="E1DFDD"/>
    </w:rPr>
  </w:style>
  <w:style w:type="character" w:styleId="CommentReference">
    <w:name w:val="annotation reference"/>
    <w:basedOn w:val="DefaultParagraphFont"/>
    <w:rsid w:val="00613EEE"/>
    <w:rPr>
      <w:sz w:val="16"/>
      <w:szCs w:val="16"/>
    </w:rPr>
  </w:style>
  <w:style w:type="paragraph" w:styleId="CommentText">
    <w:name w:val="annotation text"/>
    <w:basedOn w:val="Normal"/>
    <w:link w:val="CommentTextChar"/>
    <w:rsid w:val="00613EEE"/>
    <w:rPr>
      <w:sz w:val="20"/>
    </w:rPr>
  </w:style>
  <w:style w:type="character" w:customStyle="1" w:styleId="CommentTextChar">
    <w:name w:val="Comment Text Char"/>
    <w:basedOn w:val="DefaultParagraphFont"/>
    <w:link w:val="CommentText"/>
    <w:rsid w:val="00613EEE"/>
  </w:style>
  <w:style w:type="paragraph" w:styleId="CommentSubject">
    <w:name w:val="annotation subject"/>
    <w:basedOn w:val="CommentText"/>
    <w:next w:val="CommentText"/>
    <w:link w:val="CommentSubjectChar"/>
    <w:rsid w:val="00613EEE"/>
    <w:rPr>
      <w:b/>
      <w:bCs/>
    </w:rPr>
  </w:style>
  <w:style w:type="character" w:customStyle="1" w:styleId="CommentSubjectChar">
    <w:name w:val="Comment Subject Char"/>
    <w:basedOn w:val="CommentTextChar"/>
    <w:link w:val="CommentSubject"/>
    <w:rsid w:val="00613E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1801/oj" TargetMode="External"/><Relationship Id="rId13" Type="http://schemas.openxmlformats.org/officeDocument/2006/relationships/hyperlink" Target="http://data.europa.eu/eli/C/2025/2247/oj" TargetMode="External"/><Relationship Id="rId18" Type="http://schemas.openxmlformats.org/officeDocument/2006/relationships/hyperlink" Target="https://doi.org/10.1002/ps.8105" TargetMode="External"/><Relationship Id="rId26" Type="http://schemas.openxmlformats.org/officeDocument/2006/relationships/hyperlink" Target="http://data.europa.eu/eli/reg/2002/178/oj" TargetMode="External"/><Relationship Id="rId3" Type="http://schemas.openxmlformats.org/officeDocument/2006/relationships/hyperlink" Target="https://doi.org/10.2903/j.efsa.2025.9505" TargetMode="External"/><Relationship Id="rId21" Type="http://schemas.openxmlformats.org/officeDocument/2006/relationships/hyperlink" Target="https://doi.org/10.1093/ije/dyz017" TargetMode="External"/><Relationship Id="rId7" Type="http://schemas.openxmlformats.org/officeDocument/2006/relationships/hyperlink" Target="http://data.europa.eu/eli/C/2025/1800/oj" TargetMode="External"/><Relationship Id="rId12" Type="http://schemas.openxmlformats.org/officeDocument/2006/relationships/hyperlink" Target="http://data.europa.eu/eli/C/2025/2246/oj" TargetMode="External"/><Relationship Id="rId17" Type="http://schemas.openxmlformats.org/officeDocument/2006/relationships/hyperlink" Target="https://doi.org/10.1186/2190-4715-24-24" TargetMode="External"/><Relationship Id="rId25" Type="http://schemas.openxmlformats.org/officeDocument/2006/relationships/hyperlink" Target="https://commission.europa.eu/strategy-and-policy/priorities-2019-2024/european-green-deal/agriculture-and-green-deal/strategic-dialogue-future-eu-agriculture_en" TargetMode="External"/><Relationship Id="rId2" Type="http://schemas.openxmlformats.org/officeDocument/2006/relationships/hyperlink" Target="http://data.europa.eu/eli/reg/2011/182/oj" TargetMode="External"/><Relationship Id="rId16" Type="http://schemas.openxmlformats.org/officeDocument/2006/relationships/hyperlink" Target="https://doi.org/10.1007/s00267-015-0589-7" TargetMode="External"/><Relationship Id="rId20" Type="http://schemas.openxmlformats.org/officeDocument/2006/relationships/hyperlink" Target="https://doi.org/10.1016/j.mrrev.2019.02.001" TargetMode="External"/><Relationship Id="rId1" Type="http://schemas.openxmlformats.org/officeDocument/2006/relationships/hyperlink" Target="http://data.europa.eu/eli/reg/2003/1829/oj" TargetMode="External"/><Relationship Id="rId6" Type="http://schemas.openxmlformats.org/officeDocument/2006/relationships/hyperlink" Target="http://data.europa.eu/eli/C/2025/1799/oj" TargetMode="External"/><Relationship Id="rId11" Type="http://schemas.openxmlformats.org/officeDocument/2006/relationships/hyperlink" Target="http://data.europa.eu/eli/C/2025/1804/oj" TargetMode="External"/><Relationship Id="rId24" Type="http://schemas.openxmlformats.org/officeDocument/2006/relationships/hyperlink" Target="https://ec.europa.eu/commission/presscorner/detail/en/ip_22_7834" TargetMode="External"/><Relationship Id="rId5" Type="http://schemas.openxmlformats.org/officeDocument/2006/relationships/hyperlink" Target="http://data.europa.eu/eli/C/2025/1798/oj" TargetMode="External"/><Relationship Id="rId15" Type="http://schemas.openxmlformats.org/officeDocument/2006/relationships/hyperlink" Target="https://doi.org/10.2903/j.efsa.2009.1137" TargetMode="External"/><Relationship Id="rId23" Type="http://schemas.openxmlformats.org/officeDocument/2006/relationships/hyperlink" Target="https://doi.org/10.1186/s13045-019-0767-9" TargetMode="External"/><Relationship Id="rId10" Type="http://schemas.openxmlformats.org/officeDocument/2006/relationships/hyperlink" Target="http://data.europa.eu/eli/C/2025/1803/oj" TargetMode="External"/><Relationship Id="rId19" Type="http://schemas.openxmlformats.org/officeDocument/2006/relationships/hyperlink" Target="https://doi.org/10.1016/j.geoforum.2009.03.009" TargetMode="External"/><Relationship Id="rId4" Type="http://schemas.openxmlformats.org/officeDocument/2006/relationships/hyperlink" Target="http://data.europa.eu/eli/C/2025/1797/oj" TargetMode="External"/><Relationship Id="rId9" Type="http://schemas.openxmlformats.org/officeDocument/2006/relationships/hyperlink" Target="http://data.europa.eu/eli/C/2025/1802/oj" TargetMode="External"/><Relationship Id="rId14" Type="http://schemas.openxmlformats.org/officeDocument/2006/relationships/hyperlink" Target="http://data.europa.eu/eli/dec_impl/2015/684/oj" TargetMode="External"/><Relationship Id="rId22" Type="http://schemas.openxmlformats.org/officeDocument/2006/relationships/hyperlink" Target="https://doi.org/10.1371/journal.pone.0219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1518</Words>
  <Characters>8422</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GIRGINOV Kiril</cp:lastModifiedBy>
  <cp:revision>2</cp:revision>
  <cp:lastPrinted>2004-11-19T15:42:00Z</cp:lastPrinted>
  <dcterms:created xsi:type="dcterms:W3CDTF">2026-03-23T15:27:00Z</dcterms:created>
  <dcterms:modified xsi:type="dcterms:W3CDTF">2026-03-23T15:27:00Z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B10-0562/2025</vt:lpwstr>
  </property>
  <property fmtid="{D5CDD505-2E9C-101B-9397-08002B2CF9AE}" pid="4" name="&lt;Type&gt;">
    <vt:lpwstr>RR</vt:lpwstr>
  </property>
</Properties>
</file>