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30F9" w14:paraId="1A138B59" w14:textId="77777777" w:rsidTr="0010095E">
        <w:trPr>
          <w:trHeight w:hRule="exact" w:val="1418"/>
        </w:trPr>
        <w:tc>
          <w:tcPr>
            <w:tcW w:w="6804" w:type="dxa"/>
            <w:shd w:val="clear" w:color="auto" w:fill="auto"/>
            <w:vAlign w:val="center"/>
          </w:tcPr>
          <w:p w14:paraId="23508F09" w14:textId="77777777" w:rsidR="00751A4A" w:rsidRPr="00A730F9" w:rsidRDefault="00A87E1B" w:rsidP="0010095E">
            <w:pPr>
              <w:pStyle w:val="EPName"/>
            </w:pPr>
            <w:r w:rsidRPr="00A730F9">
              <w:t>Parlamento Europeo</w:t>
            </w:r>
          </w:p>
          <w:p w14:paraId="648C0BBB" w14:textId="77777777" w:rsidR="00751A4A" w:rsidRPr="00A730F9" w:rsidRDefault="005F1B17" w:rsidP="005F1B17">
            <w:pPr>
              <w:pStyle w:val="EPTerm"/>
              <w:rPr>
                <w:rStyle w:val="HideTWBExt"/>
                <w:noProof w:val="0"/>
                <w:vanish w:val="0"/>
                <w:color w:val="auto"/>
              </w:rPr>
            </w:pPr>
            <w:r w:rsidRPr="00A730F9">
              <w:t>2024</w:t>
            </w:r>
            <w:r w:rsidR="00817416" w:rsidRPr="00A730F9">
              <w:t>-202</w:t>
            </w:r>
            <w:r w:rsidRPr="00A730F9">
              <w:t>9</w:t>
            </w:r>
          </w:p>
        </w:tc>
        <w:tc>
          <w:tcPr>
            <w:tcW w:w="2268" w:type="dxa"/>
            <w:shd w:val="clear" w:color="auto" w:fill="auto"/>
          </w:tcPr>
          <w:p w14:paraId="6BAAFF5D" w14:textId="77777777" w:rsidR="00751A4A" w:rsidRPr="00A730F9" w:rsidRDefault="00187494" w:rsidP="0010095E">
            <w:pPr>
              <w:pStyle w:val="EPLogo"/>
            </w:pPr>
            <w:r w:rsidRPr="00A730F9">
              <w:rPr>
                <w:noProof/>
                <w:lang w:eastAsia="ja-JP"/>
              </w:rPr>
              <w:drawing>
                <wp:inline distT="0" distB="0" distL="0" distR="0" wp14:anchorId="325450EB" wp14:editId="67B119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D592D8" w14:textId="77777777" w:rsidR="00D058B8" w:rsidRPr="00A730F9" w:rsidRDefault="00D058B8" w:rsidP="004C5D52">
      <w:pPr>
        <w:pStyle w:val="LineTop"/>
      </w:pPr>
    </w:p>
    <w:p w14:paraId="6E6F6D8A" w14:textId="77777777" w:rsidR="00680577" w:rsidRPr="005A64AE" w:rsidRDefault="00A87E1B" w:rsidP="00680577">
      <w:pPr>
        <w:pStyle w:val="EPBodyTA1"/>
        <w:rPr>
          <w:lang w:val="pt-PT"/>
        </w:rPr>
      </w:pPr>
      <w:r w:rsidRPr="005A64AE">
        <w:rPr>
          <w:lang w:val="pt-PT"/>
        </w:rPr>
        <w:t>TEXTOS APROBADOS</w:t>
      </w:r>
    </w:p>
    <w:p w14:paraId="43CA37C0" w14:textId="77777777" w:rsidR="00D058B8" w:rsidRPr="005A64AE" w:rsidRDefault="00D058B8" w:rsidP="00D058B8">
      <w:pPr>
        <w:pStyle w:val="LineBottom"/>
        <w:rPr>
          <w:lang w:val="pt-PT"/>
        </w:rPr>
      </w:pPr>
    </w:p>
    <w:p w14:paraId="3FC99AE4" w14:textId="66873362" w:rsidR="00A87E1B" w:rsidRPr="005A64AE" w:rsidRDefault="00A87E1B" w:rsidP="00A87E1B">
      <w:pPr>
        <w:pStyle w:val="ATHeading1"/>
        <w:rPr>
          <w:lang w:val="pt-PT"/>
        </w:rPr>
      </w:pPr>
      <w:bookmarkStart w:id="0" w:name="TANumber"/>
      <w:r w:rsidRPr="005A64AE">
        <w:rPr>
          <w:lang w:val="pt-PT"/>
        </w:rPr>
        <w:t>P10_TA(2025)0</w:t>
      </w:r>
      <w:r w:rsidR="006D5AFA" w:rsidRPr="005A64AE">
        <w:rPr>
          <w:lang w:val="pt-PT"/>
        </w:rPr>
        <w:t>327</w:t>
      </w:r>
      <w:bookmarkEnd w:id="0"/>
    </w:p>
    <w:p w14:paraId="3447E403" w14:textId="030CCABC" w:rsidR="00A87E1B" w:rsidRPr="005A64AE" w:rsidRDefault="00B64706" w:rsidP="00A87E1B">
      <w:pPr>
        <w:pStyle w:val="ATHeading2"/>
        <w:rPr>
          <w:lang w:val="pt-PT"/>
        </w:rPr>
      </w:pPr>
      <w:bookmarkStart w:id="1" w:name="title"/>
      <w:proofErr w:type="spellStart"/>
      <w:r w:rsidRPr="005A64AE">
        <w:rPr>
          <w:lang w:val="pt-PT"/>
        </w:rPr>
        <w:t>M</w:t>
      </w:r>
      <w:r w:rsidR="00A87E1B" w:rsidRPr="005A64AE">
        <w:rPr>
          <w:lang w:val="pt-PT"/>
        </w:rPr>
        <w:t>aíz</w:t>
      </w:r>
      <w:proofErr w:type="spellEnd"/>
      <w:r w:rsidR="00A87E1B" w:rsidRPr="005A64AE">
        <w:rPr>
          <w:lang w:val="pt-PT"/>
        </w:rPr>
        <w:t xml:space="preserve"> modificado </w:t>
      </w:r>
      <w:proofErr w:type="spellStart"/>
      <w:r w:rsidR="00A87E1B" w:rsidRPr="005A64AE">
        <w:rPr>
          <w:lang w:val="pt-PT"/>
        </w:rPr>
        <w:t>genéticamente</w:t>
      </w:r>
      <w:proofErr w:type="spellEnd"/>
      <w:r w:rsidR="00A87E1B" w:rsidRPr="005A64AE">
        <w:rPr>
          <w:lang w:val="pt-PT"/>
        </w:rPr>
        <w:t xml:space="preserve"> NK603</w:t>
      </w:r>
      <w:bookmarkEnd w:id="1"/>
    </w:p>
    <w:p w14:paraId="45030FFF" w14:textId="77777777" w:rsidR="00A87E1B" w:rsidRPr="005A64AE" w:rsidRDefault="00A87E1B" w:rsidP="00A87E1B">
      <w:pPr>
        <w:rPr>
          <w:i/>
          <w:vanish/>
          <w:lang w:val="pt-PT"/>
        </w:rPr>
      </w:pPr>
      <w:r w:rsidRPr="00A730F9">
        <w:rPr>
          <w:i/>
        </w:rPr>
        <w:fldChar w:fldCharType="begin"/>
      </w:r>
      <w:r w:rsidRPr="005A64AE">
        <w:rPr>
          <w:i/>
          <w:lang w:val="pt-PT"/>
        </w:rPr>
        <w:instrText xml:space="preserve"> TC"(</w:instrText>
      </w:r>
      <w:bookmarkStart w:id="2" w:name="DocNumber"/>
      <w:r w:rsidRPr="005A64AE">
        <w:rPr>
          <w:i/>
          <w:lang w:val="pt-PT"/>
        </w:rPr>
        <w:instrText>B10-0562/2025</w:instrText>
      </w:r>
      <w:bookmarkEnd w:id="2"/>
      <w:r w:rsidRPr="005A64AE">
        <w:rPr>
          <w:i/>
          <w:lang w:val="pt-PT"/>
        </w:rPr>
        <w:instrText xml:space="preserve">)"\l3 \n&gt; \* MERGEFORMAT </w:instrText>
      </w:r>
      <w:r w:rsidRPr="00A730F9">
        <w:rPr>
          <w:i/>
        </w:rPr>
        <w:fldChar w:fldCharType="end"/>
      </w:r>
    </w:p>
    <w:p w14:paraId="2189795D" w14:textId="77777777" w:rsidR="00A87E1B" w:rsidRPr="00A730F9" w:rsidRDefault="00A87E1B" w:rsidP="00A87E1B">
      <w:pPr>
        <w:rPr>
          <w:vanish/>
        </w:rPr>
      </w:pPr>
      <w:bookmarkStart w:id="3" w:name="PE"/>
      <w:r w:rsidRPr="00A730F9">
        <w:rPr>
          <w:vanish/>
        </w:rPr>
        <w:t>PE779.397</w:t>
      </w:r>
      <w:bookmarkEnd w:id="3"/>
    </w:p>
    <w:p w14:paraId="3201A274" w14:textId="77777777" w:rsidR="00A87E1B" w:rsidRPr="005A64AE" w:rsidRDefault="00A87E1B" w:rsidP="00A87E1B">
      <w:pPr>
        <w:pStyle w:val="ATHeading3"/>
      </w:pPr>
      <w:bookmarkStart w:id="4" w:name="Sujet"/>
      <w:r w:rsidRPr="005A64AE">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w:t>
      </w:r>
      <w:bookmarkEnd w:id="4"/>
      <w:r w:rsidRPr="005A64AE">
        <w:t xml:space="preserve"> </w:t>
      </w:r>
      <w:bookmarkStart w:id="5" w:name="References"/>
      <w:r w:rsidRPr="005A64AE">
        <w:t>(D110123/02 – 2025/2958(RSP))</w:t>
      </w:r>
      <w:bookmarkEnd w:id="5"/>
    </w:p>
    <w:p w14:paraId="7A48295C" w14:textId="77777777" w:rsidR="004649D0" w:rsidRPr="00A730F9" w:rsidRDefault="004649D0" w:rsidP="004649D0">
      <w:pPr>
        <w:pStyle w:val="EPComma"/>
      </w:pPr>
      <w:bookmarkStart w:id="6" w:name="TextBodyBegin"/>
      <w:bookmarkEnd w:id="6"/>
      <w:r w:rsidRPr="00A730F9">
        <w:rPr>
          <w:i/>
        </w:rPr>
        <w:t>El Parlamento Europeo</w:t>
      </w:r>
      <w:r w:rsidRPr="00A730F9">
        <w:t>,</w:t>
      </w:r>
    </w:p>
    <w:p w14:paraId="3D67B5D1" w14:textId="77777777" w:rsidR="004649D0" w:rsidRPr="00A730F9" w:rsidRDefault="004649D0" w:rsidP="004649D0">
      <w:pPr>
        <w:pStyle w:val="NormalHanging12a"/>
      </w:pPr>
      <w:r w:rsidRPr="00A730F9">
        <w:t>–</w:t>
      </w:r>
      <w:r w:rsidRPr="00A730F9">
        <w:tab/>
        <w:t>Visto el proyecto de Decisión de Ejecución de la Comisión por la que se renueva la autorización de comercialización de los productos que contengan, se compongan o se hayan producido a partir del maíz modificado genéticamente NK603 con arreglo al Reglamento (CE) n.º 1829/2003 del Parlamento Europeo y del Consejo (D110123/02),</w:t>
      </w:r>
    </w:p>
    <w:p w14:paraId="4EB6F575" w14:textId="77777777" w:rsidR="004649D0" w:rsidRPr="00A730F9" w:rsidRDefault="004649D0" w:rsidP="004649D0">
      <w:pPr>
        <w:pStyle w:val="NormalHanging12a"/>
      </w:pPr>
      <w:r w:rsidRPr="00A730F9">
        <w:t>–</w:t>
      </w:r>
      <w:r w:rsidRPr="00A730F9">
        <w:tab/>
        <w:t>Visto el Reglamento (CE) n.º 1829/2003 del Parlamento Europeo y del Consejo, de 22 de septiembre de 2003, sobre alimentos y piensos modificados genéticamente</w:t>
      </w:r>
      <w:r w:rsidRPr="00A730F9">
        <w:rPr>
          <w:vertAlign w:val="superscript"/>
        </w:rPr>
        <w:footnoteReference w:id="1"/>
      </w:r>
      <w:r w:rsidRPr="00A730F9">
        <w:t>, y en particular su artículo 11, apartado 3, y su artículo 22, apartado 3,</w:t>
      </w:r>
    </w:p>
    <w:p w14:paraId="5BF35DDF" w14:textId="34DAC93E" w:rsidR="004649D0" w:rsidRPr="00A730F9" w:rsidRDefault="004649D0" w:rsidP="00C32A55">
      <w:pPr>
        <w:pStyle w:val="NormalHanging12a"/>
      </w:pPr>
      <w:r w:rsidRPr="00A730F9">
        <w:t>–</w:t>
      </w:r>
      <w:r w:rsidRPr="00A730F9">
        <w:tab/>
        <w:t>Vista la votación en el Comité Permanente de Vegetales, Animales, Alimentos y Piensos al que se refiere el artículo 35 del Reglamento (CE) n.º 1829/2003, celebrada el 14 de octubre de 2025, en la que no se emitió ningún dictamen,</w:t>
      </w:r>
      <w:r w:rsidR="00C32A55" w:rsidRPr="00A730F9">
        <w:t xml:space="preserve"> y la votación en el Comité de Apelación</w:t>
      </w:r>
      <w:r w:rsidR="002569BB" w:rsidRPr="00A730F9">
        <w:t>,</w:t>
      </w:r>
      <w:r w:rsidR="00C32A55" w:rsidRPr="00A730F9">
        <w:t xml:space="preserve"> de 28 de noviembre de 2025, en la que tampoco se emitió ningún dictamen,</w:t>
      </w:r>
    </w:p>
    <w:p w14:paraId="22652215" w14:textId="77777777" w:rsidR="004649D0" w:rsidRPr="00A730F9" w:rsidRDefault="004649D0" w:rsidP="004649D0">
      <w:pPr>
        <w:pStyle w:val="NormalHanging12a"/>
        <w:widowControl/>
        <w:rPr>
          <w:szCs w:val="24"/>
        </w:rPr>
      </w:pPr>
      <w:r w:rsidRPr="00A730F9">
        <w:t>–</w:t>
      </w:r>
      <w:r w:rsidRPr="00A730F9">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A730F9">
        <w:rPr>
          <w:rStyle w:val="FootnoteReference"/>
          <w:szCs w:val="24"/>
        </w:rPr>
        <w:footnoteReference w:id="2"/>
      </w:r>
      <w:r w:rsidRPr="00A730F9">
        <w:t>,</w:t>
      </w:r>
    </w:p>
    <w:p w14:paraId="1CD952F4" w14:textId="77777777" w:rsidR="004649D0" w:rsidRPr="00A730F9" w:rsidRDefault="004649D0" w:rsidP="004649D0">
      <w:pPr>
        <w:pStyle w:val="NormalHanging12a"/>
      </w:pPr>
      <w:r w:rsidRPr="00A730F9">
        <w:t>–</w:t>
      </w:r>
      <w:r w:rsidRPr="00A730F9">
        <w:tab/>
        <w:t xml:space="preserve">Visto el dictamen adoptado por la Autoridad Europea de Seguridad Alimentaria (en lo </w:t>
      </w:r>
      <w:r w:rsidRPr="00A730F9">
        <w:lastRenderedPageBreak/>
        <w:t>sucesivo, «EFSA») el 22 de mayo de 2025 y publicado el 20 de junio de 2025</w:t>
      </w:r>
      <w:r w:rsidRPr="00A730F9">
        <w:rPr>
          <w:rStyle w:val="FootnoteReference"/>
        </w:rPr>
        <w:footnoteReference w:id="3"/>
      </w:r>
      <w:r w:rsidRPr="00A730F9">
        <w:t>,</w:t>
      </w:r>
    </w:p>
    <w:p w14:paraId="58500D84" w14:textId="77777777" w:rsidR="004649D0" w:rsidRPr="00A730F9" w:rsidRDefault="004649D0" w:rsidP="004649D0">
      <w:pPr>
        <w:pStyle w:val="NormalHanging12a"/>
      </w:pPr>
      <w:r w:rsidRPr="00A730F9">
        <w:t>–</w:t>
      </w:r>
      <w:r w:rsidRPr="00A730F9">
        <w:tab/>
        <w:t>Vistas sus anteriores Resoluciones de oposición a la autorización de organismos modificados genéticamente (OMG)</w:t>
      </w:r>
      <w:r w:rsidRPr="00A730F9">
        <w:rPr>
          <w:rStyle w:val="FootnoteReference"/>
        </w:rPr>
        <w:footnoteReference w:id="4"/>
      </w:r>
      <w:r w:rsidRPr="00A730F9">
        <w:t>,</w:t>
      </w:r>
    </w:p>
    <w:p w14:paraId="1223679C" w14:textId="77777777" w:rsidR="004649D0" w:rsidRPr="00A730F9" w:rsidRDefault="004649D0" w:rsidP="004649D0">
      <w:pPr>
        <w:pStyle w:val="NormalHanging12a"/>
      </w:pPr>
      <w:r w:rsidRPr="00A730F9">
        <w:lastRenderedPageBreak/>
        <w:t>–</w:t>
      </w:r>
      <w:r w:rsidRPr="00A730F9">
        <w:tab/>
        <w:t>Visto el artículo 115, apartados 2 y 3, de su Reglamento interno,</w:t>
      </w:r>
    </w:p>
    <w:p w14:paraId="734A794D" w14:textId="77777777" w:rsidR="004649D0" w:rsidRPr="00A730F9" w:rsidRDefault="004649D0" w:rsidP="004649D0">
      <w:pPr>
        <w:pStyle w:val="NormalHanging12a"/>
      </w:pPr>
      <w:r w:rsidRPr="00A730F9">
        <w:t>–</w:t>
      </w:r>
      <w:r w:rsidRPr="00A730F9">
        <w:tab/>
        <w:t>Vista la propuesta de Resolución de la Comisión de Medio Ambiente, Clima y Seguridad Alimentaria,</w:t>
      </w:r>
    </w:p>
    <w:p w14:paraId="0B1C7091" w14:textId="77777777" w:rsidR="004649D0" w:rsidRPr="00A730F9" w:rsidRDefault="004649D0" w:rsidP="004649D0">
      <w:pPr>
        <w:pStyle w:val="NormalHanging12a"/>
      </w:pPr>
      <w:r w:rsidRPr="00A730F9">
        <w:t>A.</w:t>
      </w:r>
      <w:r w:rsidRPr="00A730F9">
        <w:tab/>
        <w:t>Considerando que la Decisión de Ejecución (UE) 2015/684</w:t>
      </w:r>
      <w:r w:rsidRPr="00A730F9">
        <w:rPr>
          <w:rStyle w:val="FootnoteReference"/>
        </w:rPr>
        <w:footnoteReference w:id="5"/>
      </w:r>
      <w:r w:rsidRPr="00A730F9">
        <w:t xml:space="preserve"> de la Comisión autorizó la comercialización de alimentos y piensos que contengan, se compongan o se hayan producido a partir del maíz modificado genéticamente NK603 (en lo sucesivo, «maíz modificado genéticamente»); que el ámbito de esta autorización incluye también la comercialización de productos, distintos de alimentos y piensos, que contengan o se compongan de maíz modificado genéticamente NK603, para el mismo uso que cualquier otro maíz, a excepción del cultivo;</w:t>
      </w:r>
    </w:p>
    <w:p w14:paraId="5D172C3D" w14:textId="77777777" w:rsidR="004649D0" w:rsidRPr="00A730F9" w:rsidRDefault="004649D0" w:rsidP="004649D0">
      <w:pPr>
        <w:pStyle w:val="NormalHanging12a"/>
      </w:pPr>
      <w:r w:rsidRPr="00A730F9">
        <w:t>B.</w:t>
      </w:r>
      <w:r w:rsidRPr="00A730F9">
        <w:tab/>
        <w:t xml:space="preserve">Considerando que, el 11 de marzo de 2024, Bayer </w:t>
      </w:r>
      <w:proofErr w:type="spellStart"/>
      <w:r w:rsidRPr="00A730F9">
        <w:t>Agriculture</w:t>
      </w:r>
      <w:proofErr w:type="spellEnd"/>
      <w:r w:rsidRPr="00A730F9">
        <w:t xml:space="preserve"> B.V., con sede en Bélgica, presentó a la Comisión, en nombre de Bayer </w:t>
      </w:r>
      <w:proofErr w:type="spellStart"/>
      <w:r w:rsidRPr="00A730F9">
        <w:t>CropScience</w:t>
      </w:r>
      <w:proofErr w:type="spellEnd"/>
      <w:r w:rsidRPr="00A730F9">
        <w:t> LP, con sede en los Estados Unidos, una solicitud de conformidad con los artículos 11 y 23 del Reglamento (CE) n.º 1829/2003, para renovar esa autorización;</w:t>
      </w:r>
    </w:p>
    <w:p w14:paraId="5D08F786" w14:textId="145D6EDB" w:rsidR="004649D0" w:rsidRPr="00A730F9" w:rsidRDefault="004649D0" w:rsidP="004649D0">
      <w:pPr>
        <w:pStyle w:val="NormalHanging12a"/>
      </w:pPr>
      <w:r w:rsidRPr="00A730F9">
        <w:rPr>
          <w:color w:val="000000"/>
        </w:rPr>
        <w:t>C.</w:t>
      </w:r>
      <w:r w:rsidRPr="00A730F9">
        <w:rPr>
          <w:color w:val="000000"/>
        </w:rPr>
        <w:tab/>
      </w:r>
      <w:r w:rsidRPr="00A730F9">
        <w:t xml:space="preserve">Considerando que, el 20 de junio de 2025, la EFSA emitió un dictamen científico favorable sobre el maíz modificado genéticamente, de conformidad con los artículos 6 y 18 del Reglamento (CE) n.º 1829/2003, en el que llegaba a la conclusión de que en la solicitud de renovación no había indicaciones de la existencia de nuevos peligros, </w:t>
      </w:r>
      <w:r w:rsidRPr="00A730F9">
        <w:lastRenderedPageBreak/>
        <w:t>exposiciones modificadas ni incertidumbres científicas que cambiasen las conclusiones de la evaluación original del riesgo del maíz modificado genéticamente aprobada por la EFSA en 2009</w:t>
      </w:r>
      <w:r w:rsidRPr="00A730F9">
        <w:rPr>
          <w:rStyle w:val="FootnoteReference"/>
          <w:szCs w:val="24"/>
        </w:rPr>
        <w:footnoteReference w:id="6"/>
      </w:r>
      <w:r w:rsidRPr="00A730F9">
        <w:t>; que dicho dictamen no abordó toda una serie de efectos medioambientales, socioeconómicos y acumulativos más amplios que la EFSA considera que quedan fuera de su ámbito de competencias;</w:t>
      </w:r>
    </w:p>
    <w:p w14:paraId="3C0CC7F1" w14:textId="77777777" w:rsidR="004649D0" w:rsidRPr="00A730F9" w:rsidRDefault="004649D0" w:rsidP="004649D0">
      <w:pPr>
        <w:pStyle w:val="NormalHanging12a"/>
      </w:pPr>
      <w:r w:rsidRPr="00A730F9">
        <w:t>D.</w:t>
      </w:r>
      <w:r w:rsidRPr="00A730F9">
        <w:tab/>
        <w:t xml:space="preserve">Considerando que el maíz modificado genéticamente se ha desarrollado para conferir tolerancia al glifosato; </w:t>
      </w:r>
    </w:p>
    <w:p w14:paraId="515F307B" w14:textId="77777777" w:rsidR="004649D0" w:rsidRPr="00A730F9" w:rsidRDefault="004649D0" w:rsidP="004649D0">
      <w:pPr>
        <w:pStyle w:val="NormalHanging12a"/>
      </w:pPr>
      <w:r w:rsidRPr="00A730F9">
        <w:t>E.</w:t>
      </w:r>
      <w:r w:rsidRPr="00A730F9">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del maíz;</w:t>
      </w:r>
    </w:p>
    <w:p w14:paraId="4BD3C6E9" w14:textId="77777777" w:rsidR="004649D0" w:rsidRPr="00A730F9" w:rsidRDefault="004649D0" w:rsidP="004649D0">
      <w:pPr>
        <w:pStyle w:val="NormalHanging12a"/>
        <w:rPr>
          <w:color w:val="000000" w:themeColor="text1"/>
          <w:szCs w:val="24"/>
        </w:rPr>
      </w:pPr>
      <w:r w:rsidRPr="00A730F9">
        <w:rPr>
          <w:color w:val="000000" w:themeColor="text1"/>
        </w:rPr>
        <w:t>F.</w:t>
      </w:r>
      <w:r w:rsidRPr="00A730F9">
        <w:rPr>
          <w:color w:val="000000" w:themeColor="text1"/>
        </w:rPr>
        <w:tab/>
      </w:r>
      <w:r w:rsidRPr="00A730F9">
        <w:t xml:space="preserve">Considerando que se ha modificado genéticamente la gran mayoría de estos cultivos, incluido el maíz modificado genéticamente, para que desarrollen tolerancia a uno o varios herbicidas «complementarios» y que, así, estos puedan utilizarse durante todo el cultivo de la planta modificada genéticamente sin que esta muera, como sucedería con una planta no tolerante a los herbicidas; </w:t>
      </w:r>
      <w:r w:rsidRPr="00A730F9">
        <w:rPr>
          <w:color w:val="000000" w:themeColor="text1"/>
        </w:rPr>
        <w:t>que diversos estudios demuestran que, en los cultivos modificados genéticamente que son tolerantes a los herbicidas, se hace un mayor uso de herbicidas complementarios, debido en gran parte a la aparición de malas hierbas tolerantes a los herbicidas</w:t>
      </w:r>
      <w:r w:rsidRPr="00A730F9">
        <w:rPr>
          <w:rStyle w:val="FootnoteReference"/>
          <w:color w:val="000000" w:themeColor="text1"/>
          <w:szCs w:val="24"/>
        </w:rPr>
        <w:footnoteReference w:id="7"/>
      </w:r>
      <w:r w:rsidRPr="00A730F9">
        <w:rPr>
          <w:color w:val="000000" w:themeColor="text1"/>
        </w:rPr>
        <w:t>;</w:t>
      </w:r>
    </w:p>
    <w:p w14:paraId="1682A586" w14:textId="77777777" w:rsidR="004649D0" w:rsidRPr="00A730F9" w:rsidRDefault="004649D0" w:rsidP="004649D0">
      <w:pPr>
        <w:spacing w:after="240"/>
        <w:ind w:left="567" w:hanging="567"/>
        <w:rPr>
          <w:szCs w:val="24"/>
        </w:rPr>
      </w:pPr>
      <w:r w:rsidRPr="00A730F9">
        <w:t>G.</w:t>
      </w:r>
      <w:r w:rsidRPr="00A730F9">
        <w:tab/>
        <w:t>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el herbicida complementario;</w:t>
      </w:r>
      <w:r w:rsidRPr="00A730F9">
        <w:rPr>
          <w:color w:val="000000" w:themeColor="text1"/>
        </w:rPr>
        <w:t xml:space="preserve"> que una mayor dependencia de los herbicidas complementarios en las explotaciones de maíz </w:t>
      </w:r>
      <w:r w:rsidRPr="00A730F9">
        <w:rPr>
          <w:color w:val="000000" w:themeColor="text1"/>
        </w:rPr>
        <w:lastRenderedPageBreak/>
        <w:t>modificado genéticamente acelerará la aparición y propagación de malas hierbas resistentes a esos herbicidas, lo que genera la necesidad de un uso aún mayor de herbicidas, en lo que se conoce como «círculo vicioso de los herbicidas»; que, como consecuencia, los efectos adversos derivados de una dependencia excesiva de los herbicidas empeorarán la salud del suelo, la calidad del agua y la biodiversidad sobre el suelo y debajo de este, y darán lugar a una mayor exposición humana y animal, posiblemente también a través del aumento de los residuos de herbicidas en los alimentos y los piensos</w:t>
      </w:r>
      <w:r w:rsidRPr="00A730F9">
        <w:rPr>
          <w:rStyle w:val="FootnoteReference"/>
          <w:color w:val="000000" w:themeColor="text1"/>
          <w:szCs w:val="24"/>
        </w:rPr>
        <w:footnoteReference w:id="8"/>
      </w:r>
      <w:r w:rsidRPr="00A730F9">
        <w:rPr>
          <w:color w:val="000000" w:themeColor="text1"/>
        </w:rPr>
        <w:t>;</w:t>
      </w:r>
    </w:p>
    <w:p w14:paraId="2D14C718" w14:textId="77777777" w:rsidR="004649D0" w:rsidRPr="00A730F9" w:rsidRDefault="004649D0" w:rsidP="004649D0">
      <w:pPr>
        <w:pStyle w:val="NormalHanging12a"/>
      </w:pPr>
      <w:r w:rsidRPr="00A730F9">
        <w:t>H.</w:t>
      </w:r>
      <w:r w:rsidRPr="00A730F9">
        <w:tab/>
        <w:t>Considerando que siguen existiendo graves interrogantes en lo que respecta a la carcinogenicidad del glifosato;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sidRPr="00A730F9">
        <w:rPr>
          <w:rStyle w:val="FootnoteReference"/>
        </w:rPr>
        <w:footnoteReference w:id="9"/>
      </w:r>
      <w:r w:rsidRPr="00A730F9">
        <w:t>;</w:t>
      </w:r>
    </w:p>
    <w:p w14:paraId="1126AD27" w14:textId="77777777" w:rsidR="004649D0" w:rsidRPr="00A730F9" w:rsidRDefault="004649D0" w:rsidP="004649D0">
      <w:pPr>
        <w:pStyle w:val="NormalHanging12a"/>
      </w:pPr>
      <w:r w:rsidRPr="00A730F9">
        <w:t>I.</w:t>
      </w:r>
      <w:r w:rsidRPr="00A730F9">
        <w:tab/>
        <w:t>Considerando que el riesgo de flujo génico del maíz a especies silvestres emparentadas como el teosinte, detectado en España y Francia, suscita preocupación por la persistencia de los transgénicos y las consecuencias para el medio ambiente;</w:t>
      </w:r>
    </w:p>
    <w:p w14:paraId="13CD64F2" w14:textId="77777777" w:rsidR="004649D0" w:rsidRPr="00A730F9" w:rsidRDefault="004649D0" w:rsidP="004649D0">
      <w:pPr>
        <w:pStyle w:val="NormalHanging12a"/>
      </w:pPr>
      <w:r w:rsidRPr="00A730F9">
        <w:t>J.</w:t>
      </w:r>
      <w:r w:rsidRPr="00A730F9">
        <w:tab/>
        <w:t>Considerando que el seguimiento y la supervisión independientes de los posibles efectos adversos sobre la biodiversidad, la salud del suelo, los polinizadores y los organismos no objetivo siguen sin estar suficientemente garantizados;</w:t>
      </w:r>
    </w:p>
    <w:p w14:paraId="49A65F18" w14:textId="77777777" w:rsidR="004649D0" w:rsidRPr="00A730F9" w:rsidRDefault="004649D0" w:rsidP="004649D0">
      <w:pPr>
        <w:spacing w:after="240"/>
        <w:ind w:left="567" w:hanging="567"/>
      </w:pPr>
      <w:r w:rsidRPr="00A730F9">
        <w:t>K.</w:t>
      </w:r>
      <w:r w:rsidRPr="00A730F9">
        <w:tab/>
        <w:t>Considerando que el principio de cautela, consagrado en el artículo 191 del Tratado de Funcionamiento de la Unión Europea, debe aplicarse en los casos en los que se carezca de certeza científica;</w:t>
      </w:r>
    </w:p>
    <w:p w14:paraId="0E9B0AFE" w14:textId="77777777" w:rsidR="004649D0" w:rsidRPr="00A730F9" w:rsidRDefault="004649D0" w:rsidP="004649D0">
      <w:pPr>
        <w:spacing w:after="240"/>
        <w:ind w:left="567" w:hanging="567"/>
      </w:pPr>
      <w:r w:rsidRPr="00A730F9">
        <w:t>L.</w:t>
      </w:r>
      <w:r w:rsidRPr="00A730F9">
        <w:tab/>
        <w:t>Considerando que el Reglamento (CE) n.º 1829/2003 exige que los alimentos y piensos modificados genéticamente no tengan efectos negativos sobre la salud humana, la salud animal o el medio ambiente;</w:t>
      </w:r>
    </w:p>
    <w:p w14:paraId="6D015BA2" w14:textId="77777777" w:rsidR="004649D0" w:rsidRPr="00A730F9" w:rsidRDefault="004649D0" w:rsidP="004649D0">
      <w:pPr>
        <w:pStyle w:val="NormalWeb"/>
        <w:widowControl w:val="0"/>
        <w:spacing w:before="0" w:beforeAutospacing="0" w:after="240" w:afterAutospacing="0"/>
        <w:ind w:left="567" w:hanging="567"/>
      </w:pPr>
      <w:r w:rsidRPr="00A730F9">
        <w:t>M.</w:t>
      </w:r>
      <w:r w:rsidRPr="00A730F9">
        <w:tab/>
        <w:t>Considerando que la renovación de la autorización de la Unión del maíz modificado genéticamente no sería coherente con los compromisos internacionales en materia de reducción de plaguicidas</w:t>
      </w:r>
      <w:r w:rsidRPr="00A730F9">
        <w:rPr>
          <w:vertAlign w:val="superscript"/>
        </w:rPr>
        <w:footnoteReference w:id="10"/>
      </w:r>
      <w:r w:rsidRPr="00A730F9">
        <w:t xml:space="preserve">, habida cuenta del aumento de la exposición humana, animal y medioambiental al glifosato, la </w:t>
      </w:r>
      <w:proofErr w:type="spellStart"/>
      <w:r w:rsidRPr="00A730F9">
        <w:t>dicamba</w:t>
      </w:r>
      <w:proofErr w:type="spellEnd"/>
      <w:r w:rsidRPr="00A730F9">
        <w:t xml:space="preserve"> y el </w:t>
      </w:r>
      <w:proofErr w:type="spellStart"/>
      <w:r w:rsidRPr="00A730F9">
        <w:t>glufosinato</w:t>
      </w:r>
      <w:proofErr w:type="spellEnd"/>
      <w:r w:rsidRPr="00A730F9">
        <w:t xml:space="preserve"> en los países que cultivan </w:t>
      </w:r>
      <w:r w:rsidRPr="00A730F9">
        <w:lastRenderedPageBreak/>
        <w:t>este cultivo modificado genéticamente tolerante a los herbicidas, junto con los resultados sanitarios potencialmente graves asociados;</w:t>
      </w:r>
    </w:p>
    <w:p w14:paraId="682539E1" w14:textId="77777777" w:rsidR="004649D0" w:rsidRPr="00A730F9" w:rsidRDefault="004649D0" w:rsidP="004649D0">
      <w:pPr>
        <w:widowControl/>
        <w:spacing w:after="240"/>
        <w:ind w:left="567" w:hanging="567"/>
      </w:pPr>
      <w:r w:rsidRPr="00A730F9">
        <w:t>N.</w:t>
      </w:r>
      <w:r w:rsidRPr="00A730F9">
        <w:tab/>
        <w:t>Considerando que la Decisión de Ejecución de la Comisión seguiría permitiendo importaciones a la Unión que no cumplen las normas observadas por los agricultores de la Unión, lo que los colocaría en una situación de desventaja competitiva;</w:t>
      </w:r>
    </w:p>
    <w:p w14:paraId="772A5975" w14:textId="77777777" w:rsidR="004649D0" w:rsidRPr="00A730F9" w:rsidRDefault="004649D0" w:rsidP="004649D0">
      <w:pPr>
        <w:spacing w:after="240"/>
        <w:ind w:left="567" w:hanging="567"/>
      </w:pPr>
      <w:r w:rsidRPr="00A730F9">
        <w:t>O.</w:t>
      </w:r>
      <w:r w:rsidRPr="00A730F9">
        <w:tab/>
        <w:t>Considerando que en las conclusiones del diálogo estratégico sobre el futuro de la agricultura en la UE</w:t>
      </w:r>
      <w:r w:rsidRPr="00A730F9">
        <w:rPr>
          <w:rStyle w:val="FootnoteReference"/>
        </w:rPr>
        <w:footnoteReference w:id="11"/>
      </w:r>
      <w:r w:rsidRPr="00A730F9">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y 2024;</w:t>
      </w:r>
    </w:p>
    <w:p w14:paraId="2EB6CCD9" w14:textId="77777777" w:rsidR="004649D0" w:rsidRPr="00A730F9" w:rsidRDefault="004649D0" w:rsidP="004649D0">
      <w:pPr>
        <w:spacing w:after="240"/>
        <w:ind w:left="567" w:hanging="567"/>
      </w:pPr>
      <w:r w:rsidRPr="00A730F9">
        <w:t>P.</w:t>
      </w:r>
      <w:r w:rsidRPr="00A730F9">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35DD77AD" w14:textId="77777777" w:rsidR="004649D0" w:rsidRPr="00A730F9" w:rsidRDefault="004649D0" w:rsidP="004649D0">
      <w:pPr>
        <w:pStyle w:val="NormalWeb"/>
        <w:widowControl w:val="0"/>
        <w:shd w:val="clear" w:color="auto" w:fill="FFFFFF"/>
        <w:spacing w:before="0" w:beforeAutospacing="0" w:after="240" w:afterAutospacing="0"/>
        <w:ind w:left="567" w:hanging="567"/>
        <w:rPr>
          <w:color w:val="000000" w:themeColor="text1"/>
        </w:rPr>
      </w:pPr>
      <w:r w:rsidRPr="00A730F9">
        <w:rPr>
          <w:color w:val="000000" w:themeColor="text1"/>
        </w:rPr>
        <w:t>Q.</w:t>
      </w:r>
      <w:r w:rsidRPr="00A730F9">
        <w:rPr>
          <w:color w:val="000000" w:themeColor="text1"/>
        </w:rPr>
        <w:tab/>
        <w:t>Considerando que, a pesar de reconocer las deficiencias democráticas, la falta de apoyo de los Estados miembros y la oposición del Parlamento, la Comisión sigue autorizando organismos modificados genéticamente;</w:t>
      </w:r>
    </w:p>
    <w:p w14:paraId="0C44EF55" w14:textId="77777777" w:rsidR="004649D0" w:rsidRPr="00A730F9" w:rsidRDefault="004649D0" w:rsidP="004649D0">
      <w:pPr>
        <w:spacing w:after="240"/>
        <w:ind w:left="567" w:hanging="567"/>
      </w:pPr>
      <w:r w:rsidRPr="00A730F9">
        <w:t>R.</w:t>
      </w:r>
      <w:r w:rsidRPr="00A730F9">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4B9E4E4B" w14:textId="77777777" w:rsidR="004649D0" w:rsidRPr="00A730F9" w:rsidRDefault="004649D0" w:rsidP="004649D0">
      <w:pPr>
        <w:spacing w:after="240"/>
        <w:ind w:left="567" w:hanging="567"/>
      </w:pPr>
      <w:r w:rsidRPr="00A730F9">
        <w:t>1.</w:t>
      </w:r>
      <w:r w:rsidRPr="00A730F9">
        <w:tab/>
        <w:t>Considera que el proyecto de Decisión de Ejecución de la Comisión excede de las competencias de ejecución previstas en el Reglamento (CE) n.º 1829/2003;</w:t>
      </w:r>
    </w:p>
    <w:p w14:paraId="132E78DA" w14:textId="77777777" w:rsidR="004649D0" w:rsidRPr="00A730F9" w:rsidRDefault="004649D0" w:rsidP="004649D0">
      <w:pPr>
        <w:spacing w:after="240"/>
        <w:ind w:left="567" w:hanging="567"/>
      </w:pPr>
      <w:r w:rsidRPr="00A730F9">
        <w:t>2.</w:t>
      </w:r>
      <w:r w:rsidRPr="00A730F9">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A730F9">
        <w:rPr>
          <w:vertAlign w:val="superscript"/>
        </w:rPr>
        <w:footnoteReference w:id="12"/>
      </w:r>
      <w:r w:rsidRPr="00A730F9">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w:t>
      </w:r>
    </w:p>
    <w:p w14:paraId="78DF025B" w14:textId="77777777" w:rsidR="004649D0" w:rsidRPr="00A730F9" w:rsidRDefault="004649D0" w:rsidP="004649D0">
      <w:pPr>
        <w:spacing w:after="240"/>
        <w:ind w:left="567" w:hanging="567"/>
      </w:pPr>
      <w:r w:rsidRPr="00A730F9">
        <w:lastRenderedPageBreak/>
        <w:t>3.</w:t>
      </w:r>
      <w:r w:rsidRPr="00A730F9">
        <w:tab/>
        <w:t>Pide a la Comisión que retire su Decisión de Ejecución;</w:t>
      </w:r>
    </w:p>
    <w:p w14:paraId="1E6A61FC" w14:textId="77777777" w:rsidR="004649D0" w:rsidRPr="00A730F9" w:rsidRDefault="004649D0" w:rsidP="004649D0">
      <w:pPr>
        <w:spacing w:after="240"/>
        <w:ind w:left="567" w:hanging="567"/>
      </w:pPr>
      <w:r w:rsidRPr="00A730F9">
        <w:t>4.</w:t>
      </w:r>
      <w:r w:rsidRPr="00A730F9">
        <w:tab/>
        <w:t>Pide a la Comisión que no renueve la autorización del maíz modificado genéticamente debido a la falta de pruebas suficientes sobre sus efectos a largo plazo en la biodiversidad, la seguridad alimentaria, los medios de subsistencia de los agricultores y la salud animal, en consonancia con el enfoque de «Una sola salud»;</w:t>
      </w:r>
    </w:p>
    <w:p w14:paraId="723DBD03" w14:textId="77777777" w:rsidR="004649D0" w:rsidRPr="00A730F9" w:rsidRDefault="004649D0" w:rsidP="004649D0">
      <w:pPr>
        <w:spacing w:after="240"/>
        <w:ind w:left="567" w:hanging="567"/>
      </w:pPr>
      <w:r w:rsidRPr="00A730F9">
        <w:t>5.</w:t>
      </w:r>
      <w:r w:rsidRPr="00A730F9">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p>
    <w:p w14:paraId="45890C55" w14:textId="77777777" w:rsidR="004649D0" w:rsidRPr="00A730F9" w:rsidRDefault="004649D0" w:rsidP="004649D0">
      <w:pPr>
        <w:spacing w:after="240"/>
        <w:ind w:left="567" w:hanging="567"/>
      </w:pPr>
      <w:r w:rsidRPr="00A730F9">
        <w:t>6.</w:t>
      </w:r>
      <w:r w:rsidRPr="00A730F9">
        <w:tab/>
        <w:t xml:space="preserve">Destaca, a este respecto, que autorizar la importación para su uso en alimentos o piensos de cualquier planta modificada genéticamente que se haya hecho tolerante a herbicidas prohibidos en la Unión, como el </w:t>
      </w:r>
      <w:proofErr w:type="spellStart"/>
      <w:r w:rsidRPr="00A730F9">
        <w:t>glufosinato</w:t>
      </w:r>
      <w:proofErr w:type="spellEnd"/>
      <w:r w:rsidRPr="00A730F9">
        <w:t>, resulta incompatible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p>
    <w:p w14:paraId="72ED287B" w14:textId="3159D417" w:rsidR="00E365E1" w:rsidRPr="00A730F9" w:rsidRDefault="004649D0" w:rsidP="006D5AFA">
      <w:pPr>
        <w:spacing w:after="240"/>
        <w:ind w:left="567" w:hanging="567"/>
      </w:pPr>
      <w:r w:rsidRPr="00A730F9">
        <w:t>7.</w:t>
      </w:r>
      <w:r w:rsidRPr="00A730F9">
        <w:tab/>
        <w:t>Encarga a su presidenta que transmita la presente Resolución al Consejo y a la Comisión, así como a los Gobiernos y Parlamentos de los Estados miembros.</w:t>
      </w:r>
    </w:p>
    <w:sectPr w:rsidR="00E365E1" w:rsidRPr="00A730F9" w:rsidSect="005C46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E1712" w14:textId="77777777" w:rsidR="00A87E1B" w:rsidRPr="005C465D" w:rsidRDefault="00A87E1B">
      <w:r w:rsidRPr="005C465D">
        <w:separator/>
      </w:r>
    </w:p>
  </w:endnote>
  <w:endnote w:type="continuationSeparator" w:id="0">
    <w:p w14:paraId="29F5538D" w14:textId="77777777" w:rsidR="00A87E1B" w:rsidRPr="005C465D" w:rsidRDefault="00A87E1B">
      <w:r w:rsidRPr="005C46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FF452" w14:textId="77777777" w:rsidR="00064002" w:rsidRPr="005C46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D289" w14:textId="77777777" w:rsidR="00064002" w:rsidRPr="005C46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581B9" w14:textId="77777777" w:rsidR="00064002" w:rsidRPr="005C46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52135" w14:textId="77777777" w:rsidR="00A87E1B" w:rsidRPr="005C465D" w:rsidRDefault="00A87E1B">
      <w:r w:rsidRPr="005C465D">
        <w:separator/>
      </w:r>
    </w:p>
  </w:footnote>
  <w:footnote w:type="continuationSeparator" w:id="0">
    <w:p w14:paraId="473904E2" w14:textId="77777777" w:rsidR="00A87E1B" w:rsidRPr="005C465D" w:rsidRDefault="00A87E1B">
      <w:r w:rsidRPr="005C465D">
        <w:continuationSeparator/>
      </w:r>
    </w:p>
  </w:footnote>
  <w:footnote w:id="1">
    <w:p w14:paraId="494C03D0" w14:textId="2AB2F4A6" w:rsidR="004649D0" w:rsidRPr="005A64AE" w:rsidRDefault="004649D0" w:rsidP="005C465D">
      <w:pPr>
        <w:pStyle w:val="FootnoteText"/>
        <w:suppressAutoHyphens/>
        <w:ind w:left="567" w:hanging="567"/>
        <w:rPr>
          <w:sz w:val="24"/>
          <w:lang w:val="pt-PT"/>
        </w:rPr>
      </w:pPr>
      <w:r w:rsidRPr="001F6338">
        <w:rPr>
          <w:rStyle w:val="FootnoteReference"/>
          <w:sz w:val="24"/>
          <w:lang w:val="es-ES_tradnl"/>
        </w:rPr>
        <w:footnoteRef/>
      </w:r>
      <w:r w:rsidR="005C465D" w:rsidRPr="005A64AE">
        <w:rPr>
          <w:sz w:val="24"/>
          <w:lang w:val="pt-PT"/>
        </w:rPr>
        <w:t xml:space="preserve"> </w:t>
      </w:r>
      <w:r w:rsidR="005C465D" w:rsidRPr="005A64AE">
        <w:rPr>
          <w:sz w:val="24"/>
          <w:lang w:val="pt-PT"/>
        </w:rPr>
        <w:tab/>
      </w:r>
      <w:r w:rsidRPr="005A64AE">
        <w:rPr>
          <w:sz w:val="24"/>
          <w:lang w:val="pt-PT"/>
        </w:rPr>
        <w:t>DO L 268 de 18.10.2003, p. 1, ELI: </w:t>
      </w:r>
      <w:hyperlink r:id="rId1" w:tooltip="Permite acceder a este documento mediante su URI ELI." w:history="1">
        <w:r w:rsidRPr="005A64AE">
          <w:rPr>
            <w:rStyle w:val="Hyperlink"/>
            <w:sz w:val="24"/>
            <w:lang w:val="pt-PT"/>
          </w:rPr>
          <w:t>http://data.europa.eu/eli/reg/2003/1829/oj</w:t>
        </w:r>
      </w:hyperlink>
      <w:r w:rsidRPr="005A64AE">
        <w:rPr>
          <w:sz w:val="24"/>
          <w:lang w:val="pt-PT"/>
        </w:rPr>
        <w:t>.</w:t>
      </w:r>
    </w:p>
  </w:footnote>
  <w:footnote w:id="2">
    <w:p w14:paraId="043B1DFB" w14:textId="67DDED0E" w:rsidR="004649D0" w:rsidRPr="005A64AE" w:rsidRDefault="004649D0" w:rsidP="005C465D">
      <w:pPr>
        <w:pStyle w:val="FootnoteText"/>
        <w:ind w:left="567" w:hanging="567"/>
        <w:rPr>
          <w:sz w:val="24"/>
          <w:lang w:val="pt-PT"/>
        </w:rPr>
      </w:pPr>
      <w:r w:rsidRPr="001F6338">
        <w:rPr>
          <w:rStyle w:val="FootnoteReference"/>
          <w:sz w:val="24"/>
          <w:lang w:val="es-ES_tradnl"/>
        </w:rPr>
        <w:footnoteRef/>
      </w:r>
      <w:r w:rsidR="005C465D" w:rsidRPr="005A64AE">
        <w:rPr>
          <w:sz w:val="24"/>
          <w:lang w:val="pt-PT"/>
        </w:rPr>
        <w:t xml:space="preserve"> </w:t>
      </w:r>
      <w:r w:rsidR="005C465D" w:rsidRPr="005A64AE">
        <w:rPr>
          <w:sz w:val="24"/>
          <w:lang w:val="pt-PT"/>
        </w:rPr>
        <w:tab/>
      </w:r>
      <w:r w:rsidRPr="005A64AE">
        <w:rPr>
          <w:sz w:val="24"/>
          <w:lang w:val="pt-PT"/>
        </w:rPr>
        <w:t xml:space="preserve">DO L 55 de 28.2.2011, p. 13, ELI: </w:t>
      </w:r>
      <w:hyperlink r:id="rId2" w:history="1">
        <w:r w:rsidRPr="005A64AE">
          <w:rPr>
            <w:rStyle w:val="Hyperlink"/>
            <w:sz w:val="24"/>
            <w:lang w:val="pt-PT"/>
          </w:rPr>
          <w:t>http://data.europa.eu/eli/reg/2011/182/oj</w:t>
        </w:r>
      </w:hyperlink>
      <w:r w:rsidRPr="005A64AE">
        <w:rPr>
          <w:sz w:val="24"/>
          <w:lang w:val="pt-PT"/>
        </w:rPr>
        <w:t>.</w:t>
      </w:r>
    </w:p>
  </w:footnote>
  <w:footnote w:id="3">
    <w:p w14:paraId="6AF9CA5F" w14:textId="5C63D29E" w:rsidR="004649D0" w:rsidRPr="001F6338" w:rsidRDefault="004649D0" w:rsidP="005C465D">
      <w:pPr>
        <w:pStyle w:val="FootnoteText"/>
        <w:suppressAutoHyphens/>
        <w:ind w:left="567" w:hanging="567"/>
        <w:rPr>
          <w:sz w:val="24"/>
          <w:lang w:val="es-ES_tradnl"/>
        </w:rPr>
      </w:pPr>
      <w:r w:rsidRPr="001F6338">
        <w:rPr>
          <w:rStyle w:val="FootnoteReference"/>
          <w:sz w:val="24"/>
          <w:lang w:val="es-ES_tradnl"/>
        </w:rPr>
        <w:footnoteRef/>
      </w:r>
      <w:r w:rsidR="005C465D" w:rsidRPr="001F6338">
        <w:rPr>
          <w:sz w:val="24"/>
          <w:lang w:val="es-ES_tradnl"/>
        </w:rPr>
        <w:t xml:space="preserve"> </w:t>
      </w:r>
      <w:r w:rsidR="005C465D" w:rsidRPr="001F6338">
        <w:rPr>
          <w:sz w:val="24"/>
          <w:lang w:val="es-ES_tradnl"/>
        </w:rPr>
        <w:tab/>
      </w:r>
      <w:r w:rsidRPr="001F6338">
        <w:rPr>
          <w:sz w:val="24"/>
          <w:lang w:val="es-ES_tradnl"/>
        </w:rPr>
        <w:t>Dictamen científico de la Comisión Técnica de Organismos Modificados Genéticamente de la EFSA titulado «</w:t>
      </w:r>
      <w:proofErr w:type="spellStart"/>
      <w:r w:rsidRPr="001F6338">
        <w:rPr>
          <w:sz w:val="24"/>
          <w:lang w:val="es-ES_tradnl"/>
        </w:rPr>
        <w:t>Assessment</w:t>
      </w:r>
      <w:proofErr w:type="spellEnd"/>
      <w:r w:rsidRPr="001F6338">
        <w:rPr>
          <w:sz w:val="24"/>
          <w:lang w:val="es-ES_tradnl"/>
        </w:rPr>
        <w:t xml:space="preserve"> </w:t>
      </w:r>
      <w:proofErr w:type="spellStart"/>
      <w:r w:rsidRPr="001F6338">
        <w:rPr>
          <w:sz w:val="24"/>
          <w:lang w:val="es-ES_tradnl"/>
        </w:rPr>
        <w:t>of</w:t>
      </w:r>
      <w:proofErr w:type="spellEnd"/>
      <w:r w:rsidRPr="001F6338">
        <w:rPr>
          <w:sz w:val="24"/>
          <w:lang w:val="es-ES_tradnl"/>
        </w:rPr>
        <w:t xml:space="preserve"> </w:t>
      </w:r>
      <w:proofErr w:type="spellStart"/>
      <w:r w:rsidRPr="001F6338">
        <w:rPr>
          <w:sz w:val="24"/>
          <w:lang w:val="es-ES_tradnl"/>
        </w:rPr>
        <w:t>genetically</w:t>
      </w:r>
      <w:proofErr w:type="spellEnd"/>
      <w:r w:rsidRPr="001F6338">
        <w:rPr>
          <w:sz w:val="24"/>
          <w:lang w:val="es-ES_tradnl"/>
        </w:rPr>
        <w:t xml:space="preserve"> </w:t>
      </w:r>
      <w:proofErr w:type="spellStart"/>
      <w:r w:rsidRPr="001F6338">
        <w:rPr>
          <w:sz w:val="24"/>
          <w:lang w:val="es-ES_tradnl"/>
        </w:rPr>
        <w:t>modified</w:t>
      </w:r>
      <w:proofErr w:type="spellEnd"/>
      <w:r w:rsidRPr="001F6338">
        <w:rPr>
          <w:sz w:val="24"/>
          <w:lang w:val="es-ES_tradnl"/>
        </w:rPr>
        <w:t xml:space="preserve"> </w:t>
      </w:r>
      <w:proofErr w:type="spellStart"/>
      <w:r w:rsidRPr="001F6338">
        <w:rPr>
          <w:sz w:val="24"/>
          <w:lang w:val="es-ES_tradnl"/>
        </w:rPr>
        <w:t>maize</w:t>
      </w:r>
      <w:proofErr w:type="spellEnd"/>
      <w:r w:rsidRPr="001F6338">
        <w:rPr>
          <w:sz w:val="24"/>
          <w:lang w:val="es-ES_tradnl"/>
        </w:rPr>
        <w:t xml:space="preserve"> NK603 </w:t>
      </w:r>
      <w:proofErr w:type="spellStart"/>
      <w:r w:rsidRPr="001F6338">
        <w:rPr>
          <w:sz w:val="24"/>
          <w:lang w:val="es-ES_tradnl"/>
        </w:rPr>
        <w:t>for</w:t>
      </w:r>
      <w:proofErr w:type="spellEnd"/>
      <w:r w:rsidRPr="001F6338">
        <w:rPr>
          <w:sz w:val="24"/>
          <w:lang w:val="es-ES_tradnl"/>
        </w:rPr>
        <w:t xml:space="preserve"> </w:t>
      </w:r>
      <w:proofErr w:type="spellStart"/>
      <w:r w:rsidRPr="001F6338">
        <w:rPr>
          <w:sz w:val="24"/>
          <w:lang w:val="es-ES_tradnl"/>
        </w:rPr>
        <w:t>renewal</w:t>
      </w:r>
      <w:proofErr w:type="spellEnd"/>
      <w:r w:rsidRPr="001F6338">
        <w:rPr>
          <w:sz w:val="24"/>
          <w:lang w:val="es-ES_tradnl"/>
        </w:rPr>
        <w:t xml:space="preserve"> </w:t>
      </w:r>
      <w:proofErr w:type="spellStart"/>
      <w:r w:rsidRPr="001F6338">
        <w:rPr>
          <w:sz w:val="24"/>
          <w:lang w:val="es-ES_tradnl"/>
        </w:rPr>
        <w:t>authorisation</w:t>
      </w:r>
      <w:proofErr w:type="spellEnd"/>
      <w:r w:rsidRPr="001F6338">
        <w:rPr>
          <w:sz w:val="24"/>
          <w:lang w:val="es-ES_tradnl"/>
        </w:rPr>
        <w:t xml:space="preserve"> </w:t>
      </w:r>
      <w:proofErr w:type="spellStart"/>
      <w:r w:rsidRPr="001F6338">
        <w:rPr>
          <w:sz w:val="24"/>
          <w:lang w:val="es-ES_tradnl"/>
        </w:rPr>
        <w:t>under</w:t>
      </w:r>
      <w:proofErr w:type="spellEnd"/>
      <w:r w:rsidRPr="001F6338">
        <w:rPr>
          <w:sz w:val="24"/>
          <w:lang w:val="es-ES_tradnl"/>
        </w:rPr>
        <w:t xml:space="preserve"> </w:t>
      </w:r>
      <w:proofErr w:type="spellStart"/>
      <w:r w:rsidRPr="001F6338">
        <w:rPr>
          <w:sz w:val="24"/>
          <w:lang w:val="es-ES_tradnl"/>
        </w:rPr>
        <w:t>Regulation</w:t>
      </w:r>
      <w:proofErr w:type="spellEnd"/>
      <w:r w:rsidRPr="001F6338">
        <w:rPr>
          <w:sz w:val="24"/>
          <w:lang w:val="es-ES_tradnl"/>
        </w:rPr>
        <w:t xml:space="preserve"> (EC) No 1829/2003 (dossier GMFF-2023-21250)» (Evaluación del maíz modificado genéticamente NK603 para la renovación de la autorización en virtud del Reglamento (CE) n.º 1829/2003 (solicitud GMFF-2023-21250)), EFSA </w:t>
      </w:r>
      <w:proofErr w:type="spellStart"/>
      <w:r w:rsidRPr="001F6338">
        <w:rPr>
          <w:sz w:val="24"/>
          <w:lang w:val="es-ES_tradnl"/>
        </w:rPr>
        <w:t>Journal</w:t>
      </w:r>
      <w:proofErr w:type="spellEnd"/>
      <w:r w:rsidRPr="001F6338">
        <w:rPr>
          <w:sz w:val="24"/>
          <w:lang w:val="es-ES_tradnl"/>
        </w:rPr>
        <w:t xml:space="preserve">, 2025, 23(6):9505, </w:t>
      </w:r>
      <w:hyperlink r:id="rId3" w:history="1">
        <w:r w:rsidRPr="001F6338">
          <w:rPr>
            <w:rStyle w:val="Hyperlink"/>
            <w:sz w:val="24"/>
            <w:lang w:val="es-ES_tradnl"/>
          </w:rPr>
          <w:t>https://doi.org/10.2903/j.efsa.2025.9505</w:t>
        </w:r>
      </w:hyperlink>
      <w:r w:rsidRPr="001F6338">
        <w:rPr>
          <w:sz w:val="24"/>
          <w:lang w:val="es-ES_tradnl"/>
        </w:rPr>
        <w:t>.</w:t>
      </w:r>
    </w:p>
  </w:footnote>
  <w:footnote w:id="4">
    <w:p w14:paraId="0BD59474" w14:textId="5F37A816" w:rsidR="004649D0" w:rsidRPr="001F6338" w:rsidRDefault="004649D0" w:rsidP="005C465D">
      <w:pPr>
        <w:pStyle w:val="FootnoteText"/>
        <w:suppressAutoHyphens/>
        <w:ind w:left="567" w:hanging="567"/>
        <w:rPr>
          <w:color w:val="000000" w:themeColor="text1"/>
          <w:sz w:val="24"/>
          <w:vertAlign w:val="superscript"/>
          <w:lang w:val="es-ES_tradnl"/>
        </w:rPr>
      </w:pPr>
      <w:r w:rsidRPr="001F6338">
        <w:rPr>
          <w:rStyle w:val="FootnoteReference"/>
          <w:sz w:val="24"/>
          <w:lang w:val="es-ES_tradnl"/>
        </w:rPr>
        <w:footnoteRef/>
      </w:r>
      <w:r w:rsidR="005C465D" w:rsidRPr="001F6338">
        <w:rPr>
          <w:sz w:val="24"/>
          <w:lang w:val="es-ES_tradnl"/>
        </w:rPr>
        <w:t xml:space="preserve"> </w:t>
      </w:r>
      <w:r w:rsidR="005C465D" w:rsidRPr="001F6338">
        <w:rPr>
          <w:sz w:val="24"/>
          <w:lang w:val="es-ES_tradnl"/>
        </w:rPr>
        <w:tab/>
      </w:r>
      <w:r w:rsidRPr="001F6338">
        <w:rPr>
          <w:sz w:val="24"/>
          <w:lang w:val="es-ES_tradnl"/>
        </w:rPr>
        <w:t>En su octava y novena legislaturas, el Parlamento aprobó respectivamente 36 y 38 Resoluciones de oposición a la autorización de organismos modificados genéticamente.</w:t>
      </w:r>
      <w:r w:rsidRPr="001F6338">
        <w:rPr>
          <w:color w:val="000000" w:themeColor="text1"/>
          <w:sz w:val="24"/>
          <w:lang w:val="es-ES_tradnl"/>
        </w:rPr>
        <w:t xml:space="preserve"> Además, en su décima legislatura, el Parlamento ha aprobado las siguientes Resoluciones:</w:t>
      </w:r>
    </w:p>
    <w:p w14:paraId="1BACD606" w14:textId="1559A21C" w:rsidR="004649D0" w:rsidRPr="001F6338" w:rsidRDefault="004649D0" w:rsidP="00B64706">
      <w:pPr>
        <w:pStyle w:val="FootnoteText"/>
        <w:suppressAutoHyphens/>
        <w:ind w:left="1134" w:hanging="567"/>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4" w:history="1">
        <w:r w:rsidRPr="001F6338">
          <w:rPr>
            <w:rStyle w:val="Hyperlink"/>
            <w:sz w:val="24"/>
            <w:lang w:val="es-ES_tradnl"/>
          </w:rPr>
          <w:t>http://data.europa.eu/eli/C/2025/1797/oj</w:t>
        </w:r>
      </w:hyperlink>
      <w:r w:rsidRPr="001F6338">
        <w:rPr>
          <w:color w:val="000000" w:themeColor="text1"/>
          <w:sz w:val="24"/>
          <w:lang w:val="es-ES_tradnl"/>
        </w:rPr>
        <w:t>).</w:t>
      </w:r>
    </w:p>
    <w:p w14:paraId="509B5A47" w14:textId="2AACD11C" w:rsidR="004649D0" w:rsidRPr="001F6338" w:rsidRDefault="004649D0" w:rsidP="00B64706">
      <w:pPr>
        <w:pStyle w:val="FootnoteText"/>
        <w:suppressAutoHyphens/>
        <w:ind w:left="1134" w:hanging="567"/>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5" w:history="1">
        <w:r w:rsidRPr="001F6338">
          <w:rPr>
            <w:rStyle w:val="Hyperlink"/>
            <w:sz w:val="24"/>
            <w:lang w:val="es-ES_tradnl"/>
          </w:rPr>
          <w:t>http://data.europa.eu/eli/C/2025/1798/oj</w:t>
        </w:r>
      </w:hyperlink>
      <w:r w:rsidRPr="001F6338">
        <w:rPr>
          <w:color w:val="000000" w:themeColor="text1"/>
          <w:sz w:val="24"/>
          <w:lang w:val="es-ES_tradnl"/>
        </w:rPr>
        <w:t>).</w:t>
      </w:r>
    </w:p>
    <w:p w14:paraId="72E3352D" w14:textId="42DED6D8" w:rsidR="004649D0" w:rsidRPr="001F6338" w:rsidRDefault="004649D0" w:rsidP="00B64706">
      <w:pPr>
        <w:pStyle w:val="FootnoteText"/>
        <w:suppressAutoHyphens/>
        <w:ind w:left="1134" w:hanging="567"/>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Pr="001F6338">
        <w:rPr>
          <w:color w:val="000000" w:themeColor="text1"/>
          <w:sz w:val="24"/>
          <w:lang w:val="es-ES_tradnl"/>
        </w:rPr>
        <w:t>subcombinaciones</w:t>
      </w:r>
      <w:proofErr w:type="spellEnd"/>
      <w:r w:rsidRPr="001F6338">
        <w:rPr>
          <w:color w:val="000000" w:themeColor="text1"/>
          <w:sz w:val="24"/>
          <w:lang w:val="es-ES_tradnl"/>
        </w:rPr>
        <w:t xml:space="preserve">, con arreglo al Reglamento (CE) n.º 1829/2003 del Parlamento Europeo y del Consejo (DO C, C/2025/1799, 4.4.2025, ELI: </w:t>
      </w:r>
      <w:hyperlink r:id="rId6" w:history="1">
        <w:r w:rsidRPr="001F6338">
          <w:rPr>
            <w:rStyle w:val="Hyperlink"/>
            <w:sz w:val="24"/>
            <w:lang w:val="es-ES_tradnl"/>
          </w:rPr>
          <w:t>http://data.europa.eu/eli/C/2025/1799/oj</w:t>
        </w:r>
      </w:hyperlink>
      <w:r w:rsidRPr="001F6338">
        <w:rPr>
          <w:color w:val="000000" w:themeColor="text1"/>
          <w:sz w:val="24"/>
          <w:lang w:val="es-ES_tradnl"/>
        </w:rPr>
        <w:t>).</w:t>
      </w:r>
    </w:p>
    <w:p w14:paraId="117BE1F5" w14:textId="79E4F4BB" w:rsidR="004649D0" w:rsidRPr="001F6338" w:rsidRDefault="004649D0" w:rsidP="006D5AFA">
      <w:pPr>
        <w:pStyle w:val="FootnoteText"/>
        <w:ind w:left="1134" w:hanging="567"/>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7" w:history="1">
        <w:r w:rsidRPr="001F6338">
          <w:rPr>
            <w:rStyle w:val="Hyperlink"/>
            <w:sz w:val="24"/>
            <w:lang w:val="es-ES_tradnl"/>
          </w:rPr>
          <w:t>http://data.europa.eu/eli/C/2025/1800/oj</w:t>
        </w:r>
      </w:hyperlink>
      <w:r w:rsidRPr="001F6338">
        <w:rPr>
          <w:color w:val="000000" w:themeColor="text1"/>
          <w:sz w:val="24"/>
          <w:lang w:val="es-ES_tradnl"/>
        </w:rPr>
        <w:t>).</w:t>
      </w:r>
    </w:p>
    <w:p w14:paraId="589828FA" w14:textId="5F8DA916" w:rsidR="004649D0" w:rsidRPr="001F6338" w:rsidRDefault="004649D0" w:rsidP="006D5AFA">
      <w:pPr>
        <w:pStyle w:val="FootnoteText"/>
        <w:ind w:left="1134" w:hanging="567"/>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8" w:history="1">
        <w:r w:rsidRPr="001F6338">
          <w:rPr>
            <w:rStyle w:val="Hyperlink"/>
            <w:sz w:val="24"/>
            <w:lang w:val="es-ES_tradnl"/>
          </w:rPr>
          <w:t>http://data.europa.eu/eli/C/2025/1801/oj</w:t>
        </w:r>
      </w:hyperlink>
      <w:r w:rsidRPr="001F6338">
        <w:rPr>
          <w:color w:val="000000" w:themeColor="text1"/>
          <w:sz w:val="24"/>
          <w:lang w:val="es-ES_tradnl"/>
        </w:rPr>
        <w:t>).</w:t>
      </w:r>
    </w:p>
    <w:p w14:paraId="6068E8C4" w14:textId="589C9445" w:rsidR="004649D0" w:rsidRPr="001F6338" w:rsidRDefault="004649D0" w:rsidP="006D5AFA">
      <w:pPr>
        <w:pStyle w:val="FootnoteText"/>
        <w:ind w:left="1134"/>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9" w:history="1">
        <w:r w:rsidRPr="001F6338">
          <w:rPr>
            <w:rStyle w:val="Hyperlink"/>
            <w:sz w:val="24"/>
            <w:lang w:val="es-ES_tradnl"/>
          </w:rPr>
          <w:t>http://data.europa.eu/eli/C/2025/1802/oj</w:t>
        </w:r>
      </w:hyperlink>
      <w:r w:rsidRPr="001F6338">
        <w:rPr>
          <w:color w:val="000000" w:themeColor="text1"/>
          <w:sz w:val="24"/>
          <w:lang w:val="es-ES_tradnl"/>
        </w:rPr>
        <w:t>).</w:t>
      </w:r>
    </w:p>
    <w:p w14:paraId="33B6A143" w14:textId="09F10EC2" w:rsidR="004649D0" w:rsidRPr="001F6338" w:rsidRDefault="004649D0" w:rsidP="006D5AFA">
      <w:pPr>
        <w:pStyle w:val="FootnoteText"/>
        <w:ind w:left="1134"/>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0" w:history="1">
        <w:r w:rsidRPr="001F6338">
          <w:rPr>
            <w:rStyle w:val="Hyperlink"/>
            <w:sz w:val="24"/>
            <w:lang w:val="es-ES_tradnl"/>
          </w:rPr>
          <w:t>http://data.europa.eu/eli/C/2025/1803/oj</w:t>
        </w:r>
      </w:hyperlink>
      <w:r w:rsidRPr="001F6338">
        <w:rPr>
          <w:color w:val="000000" w:themeColor="text1"/>
          <w:sz w:val="24"/>
          <w:lang w:val="es-ES_tradnl"/>
        </w:rPr>
        <w:t>).</w:t>
      </w:r>
    </w:p>
    <w:p w14:paraId="00555D10" w14:textId="7FCFED55" w:rsidR="004649D0" w:rsidRPr="001F6338" w:rsidRDefault="004649D0" w:rsidP="006D5AFA">
      <w:pPr>
        <w:pStyle w:val="FootnoteText"/>
        <w:ind w:left="1134"/>
        <w:rPr>
          <w:color w:val="000000" w:themeColor="text1"/>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1" w:history="1">
        <w:r w:rsidRPr="001F6338">
          <w:rPr>
            <w:rStyle w:val="Hyperlink"/>
            <w:sz w:val="24"/>
            <w:lang w:val="es-ES_tradnl"/>
          </w:rPr>
          <w:t>http://data.europa.eu/eli/C/2025/1804/oj</w:t>
        </w:r>
      </w:hyperlink>
      <w:r w:rsidRPr="001F6338">
        <w:rPr>
          <w:color w:val="000000" w:themeColor="text1"/>
          <w:sz w:val="24"/>
          <w:lang w:val="es-ES_tradnl"/>
        </w:rPr>
        <w:t>).</w:t>
      </w:r>
    </w:p>
    <w:p w14:paraId="65DFDA7E" w14:textId="66D0D34F" w:rsidR="004649D0" w:rsidRPr="001F6338" w:rsidRDefault="004649D0" w:rsidP="006D5AFA">
      <w:pPr>
        <w:pStyle w:val="FootnoteText"/>
        <w:ind w:left="1134"/>
        <w:rPr>
          <w:sz w:val="24"/>
          <w:vertAlign w:val="superscript"/>
          <w:lang w:val="es-ES_tradnl"/>
        </w:rPr>
      </w:pPr>
      <w:r w:rsidRPr="001F6338">
        <w:rPr>
          <w:color w:val="000000" w:themeColor="text1"/>
          <w:sz w:val="24"/>
          <w:lang w:val="es-ES_tradnl"/>
        </w:rPr>
        <w:t>–</w:t>
      </w:r>
      <w:r w:rsidRPr="001F6338">
        <w:rPr>
          <w:color w:val="000000" w:themeColor="text1"/>
          <w:sz w:val="24"/>
          <w:lang w:val="es-ES_tradnl"/>
        </w:rPr>
        <w:tab/>
      </w:r>
      <w:r w:rsidRPr="001F6338">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2" w:tooltip="Permite acceder a este documento mediante su URI ELI." w:history="1">
        <w:r w:rsidRPr="001F6338">
          <w:rPr>
            <w:rStyle w:val="Hyperlink"/>
            <w:sz w:val="24"/>
            <w:lang w:val="es-ES_tradnl"/>
          </w:rPr>
          <w:t>http://data.europa.eu/eli/C/2025/2246/oj</w:t>
        </w:r>
      </w:hyperlink>
      <w:r w:rsidRPr="001F6338">
        <w:rPr>
          <w:sz w:val="24"/>
          <w:lang w:val="es-ES_tradnl"/>
        </w:rPr>
        <w:t>).</w:t>
      </w:r>
    </w:p>
    <w:p w14:paraId="57CE1001" w14:textId="74475A3C" w:rsidR="004649D0" w:rsidRPr="001F6338" w:rsidRDefault="004649D0" w:rsidP="006D5AFA">
      <w:pPr>
        <w:pStyle w:val="FootnoteText"/>
        <w:ind w:left="1134"/>
        <w:rPr>
          <w:sz w:val="24"/>
          <w:vertAlign w:val="superscript"/>
          <w:lang w:val="es-ES_tradnl"/>
        </w:rPr>
      </w:pPr>
      <w:r w:rsidRPr="001F6338">
        <w:rPr>
          <w:sz w:val="24"/>
          <w:lang w:val="es-ES_tradnl"/>
        </w:rPr>
        <w:t>–</w:t>
      </w:r>
      <w:r w:rsidRPr="001F6338">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3" w:tooltip="Permite acceder a este documento mediante su URI ELI." w:history="1">
        <w:r w:rsidRPr="001F6338">
          <w:rPr>
            <w:rStyle w:val="Hyperlink"/>
            <w:sz w:val="24"/>
            <w:lang w:val="es-ES_tradnl"/>
          </w:rPr>
          <w:t>http://data.europa.eu/eli/C/2025/2247/oj</w:t>
        </w:r>
      </w:hyperlink>
      <w:r w:rsidRPr="001F6338">
        <w:rPr>
          <w:sz w:val="24"/>
          <w:lang w:val="es-ES_tradnl"/>
        </w:rPr>
        <w:t>).</w:t>
      </w:r>
    </w:p>
    <w:p w14:paraId="1748E4BC" w14:textId="705D9625" w:rsidR="004649D0" w:rsidRPr="001F6338" w:rsidRDefault="004649D0" w:rsidP="006D5AFA">
      <w:pPr>
        <w:pStyle w:val="FootnoteText"/>
        <w:ind w:left="1134"/>
        <w:rPr>
          <w:sz w:val="24"/>
          <w:vertAlign w:val="superscript"/>
          <w:lang w:val="es-ES_tradnl"/>
        </w:rPr>
      </w:pPr>
      <w:r w:rsidRPr="001F6338">
        <w:rPr>
          <w:sz w:val="24"/>
          <w:lang w:val="es-ES_tradnl"/>
        </w:rPr>
        <w:t>–</w:t>
      </w:r>
      <w:r w:rsidRPr="001F6338">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(P10_TA(2025)0106).</w:t>
      </w:r>
    </w:p>
    <w:p w14:paraId="627BC920" w14:textId="51560E70" w:rsidR="004649D0" w:rsidRPr="001F6338" w:rsidRDefault="004649D0" w:rsidP="006D5AFA">
      <w:pPr>
        <w:pStyle w:val="FootnoteText"/>
        <w:ind w:left="1134"/>
        <w:rPr>
          <w:sz w:val="24"/>
          <w:vertAlign w:val="superscript"/>
          <w:lang w:val="es-ES_tradnl"/>
        </w:rPr>
      </w:pPr>
      <w:r w:rsidRPr="001F6338">
        <w:rPr>
          <w:sz w:val="24"/>
          <w:lang w:val="es-ES_tradnl"/>
        </w:rPr>
        <w:t>–</w:t>
      </w:r>
      <w:r w:rsidRPr="001F6338">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(P10_TA(2025)0222).</w:t>
      </w:r>
    </w:p>
    <w:p w14:paraId="41DFBFBE" w14:textId="6D74C869" w:rsidR="004649D0" w:rsidRPr="001F6338" w:rsidRDefault="004649D0" w:rsidP="006D5AFA">
      <w:pPr>
        <w:pStyle w:val="FootnoteText"/>
        <w:ind w:left="1134"/>
        <w:rPr>
          <w:sz w:val="24"/>
          <w:vertAlign w:val="superscript"/>
          <w:lang w:val="es-ES_tradnl"/>
        </w:rPr>
      </w:pPr>
      <w:bookmarkStart w:id="7" w:name="_Hlk215330280"/>
      <w:r w:rsidRPr="001F6338">
        <w:rPr>
          <w:sz w:val="24"/>
          <w:lang w:val="es-ES_tradnl"/>
        </w:rPr>
        <w:t>–</w:t>
      </w:r>
      <w:r w:rsidRPr="001F6338">
        <w:rPr>
          <w:sz w:val="24"/>
          <w:lang w:val="es-ES_tradnl"/>
        </w:rPr>
        <w:tab/>
        <w:t>Resolución del Parlamento Europeo, de 25 de noviembre de 2025, sobre el proyecto de Decisión de Ejecución de la Comisión por la que se autoriza la comercialización de productos que contengan, se compongan o se hayan producido a partir de maíz modificado genéticamente DAS1131, con arreglo al Reglamento (CE) n.º 1829/2003 del Parlamento Europeo y del Consejo (P10_TA(2025)0288).</w:t>
      </w:r>
    </w:p>
    <w:p w14:paraId="3FCBC42D" w14:textId="14BDCAD8" w:rsidR="004649D0" w:rsidRPr="001F6338" w:rsidRDefault="004649D0" w:rsidP="006D5AFA">
      <w:pPr>
        <w:pStyle w:val="FootnoteText"/>
        <w:ind w:left="1134" w:hanging="567"/>
        <w:rPr>
          <w:sz w:val="24"/>
          <w:vertAlign w:val="superscript"/>
          <w:lang w:val="es-ES_tradnl"/>
        </w:rPr>
      </w:pPr>
      <w:r w:rsidRPr="001F6338">
        <w:rPr>
          <w:sz w:val="24"/>
          <w:lang w:val="es-ES_tradnl"/>
        </w:rPr>
        <w:t>–</w:t>
      </w:r>
      <w:r w:rsidRPr="001F6338">
        <w:rPr>
          <w:sz w:val="24"/>
          <w:lang w:val="es-ES_tradnl"/>
        </w:rPr>
        <w:tab/>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(P10_TA(2025)0289).</w:t>
      </w:r>
    </w:p>
    <w:p w14:paraId="0731B842" w14:textId="48FC73EC" w:rsidR="004649D0" w:rsidRPr="001F6338" w:rsidRDefault="004649D0" w:rsidP="006D5AFA">
      <w:pPr>
        <w:pStyle w:val="FootnoteText"/>
        <w:ind w:left="1134" w:hanging="567"/>
        <w:rPr>
          <w:sz w:val="24"/>
          <w:vertAlign w:val="superscript"/>
          <w:lang w:val="es-ES_tradnl"/>
        </w:rPr>
      </w:pPr>
      <w:r w:rsidRPr="001F6338">
        <w:rPr>
          <w:sz w:val="24"/>
          <w:lang w:val="es-ES_tradnl"/>
        </w:rPr>
        <w:t>–</w:t>
      </w:r>
      <w:r w:rsidRPr="001F6338">
        <w:rPr>
          <w:sz w:val="24"/>
          <w:lang w:val="es-ES_tradnl"/>
        </w:rPr>
        <w:tab/>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(P10_TA(2025)0290).</w:t>
      </w:r>
    </w:p>
    <w:p w14:paraId="19768183" w14:textId="17F7F68F" w:rsidR="004649D0" w:rsidRPr="001F6338" w:rsidRDefault="004649D0" w:rsidP="006D5AFA">
      <w:pPr>
        <w:pStyle w:val="FootnoteText"/>
        <w:ind w:left="1134" w:hanging="567"/>
        <w:rPr>
          <w:sz w:val="24"/>
          <w:vertAlign w:val="superscript"/>
          <w:lang w:val="es-ES_tradnl"/>
        </w:rPr>
      </w:pPr>
      <w:r w:rsidRPr="001F6338">
        <w:rPr>
          <w:sz w:val="24"/>
          <w:lang w:val="es-ES_tradnl"/>
        </w:rPr>
        <w:t>–</w:t>
      </w:r>
      <w:r w:rsidRPr="001F6338">
        <w:rPr>
          <w:sz w:val="24"/>
          <w:lang w:val="es-ES_tradnl"/>
        </w:rPr>
        <w:tab/>
        <w:t>Resolución del Parlamento Europeo, de 25 de noviembre de 2025, sobre el proyecto de Decisión de Ejecución de la Comisión por la que se renueva la autorización de comercialización de los productos que contengan soja modificada genéticamente MON 87708, se compongan de dicha soja o se hayan producido a partir de ella, con arreglo al Reglamento (CE) n.º 1829/2003 del Parlamento Europeo y del Consejo (P10_TA(2025)0291).</w:t>
      </w:r>
    </w:p>
    <w:p w14:paraId="725347A4" w14:textId="1EBA8CEA" w:rsidR="004649D0" w:rsidRPr="001F6338" w:rsidRDefault="004649D0" w:rsidP="006D5AFA">
      <w:pPr>
        <w:pStyle w:val="FootnoteText"/>
        <w:ind w:left="1134" w:hanging="567"/>
        <w:rPr>
          <w:sz w:val="24"/>
          <w:lang w:val="es-ES_tradnl"/>
        </w:rPr>
      </w:pPr>
      <w:r w:rsidRPr="001F6338">
        <w:rPr>
          <w:sz w:val="24"/>
          <w:lang w:val="es-ES_tradnl"/>
        </w:rPr>
        <w:t>–</w:t>
      </w:r>
      <w:r w:rsidRPr="001F6338">
        <w:rPr>
          <w:sz w:val="24"/>
          <w:lang w:val="es-ES_tradnl"/>
        </w:rPr>
        <w:tab/>
        <w:t>Resolución del Parlamento Europeo, de 25 de noviembre de 2025, sobre el proyecto de Decisión de Ejecución de la Comisión por la que se renueva la autorización de comercialización de productos que contengan maíz modificado genéticamente MON 87427, que se compongan de dicho maíz o hayan sido producidos a partir de él, con arreglo al Reglamento (CE) n.º 1829/2003 del Parlamento Europeo y del Consejo (P10_TA(2025)0292).</w:t>
      </w:r>
      <w:bookmarkEnd w:id="7"/>
    </w:p>
  </w:footnote>
  <w:footnote w:id="5">
    <w:p w14:paraId="7FF06299" w14:textId="45157FFA" w:rsidR="004649D0" w:rsidRPr="001F6338" w:rsidRDefault="004649D0" w:rsidP="006D5AFA">
      <w:pPr>
        <w:pStyle w:val="FootnoteText"/>
        <w:ind w:left="1134" w:hanging="709"/>
        <w:rPr>
          <w:sz w:val="24"/>
          <w:lang w:val="es-ES_tradnl"/>
        </w:rPr>
      </w:pPr>
      <w:r w:rsidRPr="001F6338">
        <w:rPr>
          <w:rStyle w:val="FootnoteReference"/>
          <w:sz w:val="24"/>
          <w:lang w:val="es-ES_tradnl"/>
        </w:rPr>
        <w:footnoteRef/>
      </w:r>
      <w:r w:rsidR="005C465D" w:rsidRPr="001F6338">
        <w:rPr>
          <w:sz w:val="24"/>
          <w:lang w:val="es-ES_tradnl"/>
        </w:rPr>
        <w:tab/>
      </w:r>
      <w:r w:rsidRPr="001F6338">
        <w:rPr>
          <w:sz w:val="24"/>
          <w:lang w:val="es-ES_tradnl"/>
        </w:rPr>
        <w:t>Decisión de Ejecución (UE) 2015/684 de la Comisión, de 24 de abril de 2015, por la que se autoriza la comercialización del maíz modificado genéticamente NK603 (MON-ØØ6Ø3-6) y se renueva la autorización para los productos existentes del maíz NK603 (MON-ØØ6Ø3-6), con arreglo al Reglamento (CE) n.º 1829/2003 del Parlamento Europeo y del Consejo (DO L 112 de 30.4.2015, p. 6, ELI: </w:t>
      </w:r>
      <w:hyperlink r:id="rId14" w:tooltip="Permite acceder a este documento mediante su URI ELI." w:history="1">
        <w:r w:rsidRPr="001F6338">
          <w:rPr>
            <w:rStyle w:val="Hyperlink"/>
            <w:sz w:val="24"/>
            <w:lang w:val="es-ES_tradnl"/>
          </w:rPr>
          <w:t>http://data.europa.eu/eli/dec_impl/2015/684/oj</w:t>
        </w:r>
      </w:hyperlink>
      <w:r w:rsidRPr="001F6338">
        <w:rPr>
          <w:sz w:val="24"/>
          <w:lang w:val="es-ES_tradnl"/>
        </w:rPr>
        <w:t>).</w:t>
      </w:r>
    </w:p>
  </w:footnote>
  <w:footnote w:id="6">
    <w:p w14:paraId="440389E2" w14:textId="64DB6DF6" w:rsidR="004649D0" w:rsidRPr="001F6338" w:rsidRDefault="004649D0" w:rsidP="005C465D">
      <w:pPr>
        <w:pStyle w:val="FootnoteText"/>
        <w:ind w:left="567" w:hanging="567"/>
        <w:rPr>
          <w:sz w:val="24"/>
          <w:lang w:val="es-ES_tradnl"/>
        </w:rPr>
      </w:pPr>
      <w:r w:rsidRPr="001F6338">
        <w:rPr>
          <w:rStyle w:val="FootnoteReference"/>
          <w:sz w:val="24"/>
          <w:lang w:val="es-ES_tradnl"/>
        </w:rPr>
        <w:footnoteRef/>
      </w:r>
      <w:r w:rsidR="005C465D" w:rsidRPr="001F6338">
        <w:rPr>
          <w:rStyle w:val="Hyperlink"/>
          <w:sz w:val="24"/>
          <w:lang w:val="es-ES_tradnl"/>
        </w:rPr>
        <w:t xml:space="preserve"> </w:t>
      </w:r>
      <w:r w:rsidR="005C465D" w:rsidRPr="001F6338">
        <w:rPr>
          <w:rStyle w:val="Hyperlink"/>
          <w:sz w:val="24"/>
          <w:lang w:val="es-ES_tradnl"/>
        </w:rPr>
        <w:tab/>
      </w:r>
      <w:r w:rsidRPr="001F6338">
        <w:rPr>
          <w:rStyle w:val="Hyperlink"/>
          <w:color w:val="auto"/>
          <w:sz w:val="24"/>
          <w:lang w:val="es-ES_tradnl"/>
        </w:rPr>
        <w:t>Comisión Técnica de Organismos Modificados Genéticamente de la EFSA, 2009. Dictamen científico de la Comisión Técnica de Organismos Modificados Genéticamente titulado «Applications (</w:t>
      </w:r>
      <w:proofErr w:type="spellStart"/>
      <w:r w:rsidRPr="001F6338">
        <w:rPr>
          <w:rStyle w:val="Hyperlink"/>
          <w:color w:val="auto"/>
          <w:sz w:val="24"/>
          <w:lang w:val="es-ES_tradnl"/>
        </w:rPr>
        <w:t>references</w:t>
      </w:r>
      <w:proofErr w:type="spellEnd"/>
      <w:r w:rsidRPr="001F6338">
        <w:rPr>
          <w:rStyle w:val="Hyperlink"/>
          <w:color w:val="auto"/>
          <w:sz w:val="24"/>
          <w:lang w:val="es-ES_tradnl"/>
        </w:rPr>
        <w:t xml:space="preserve"> EFSA-GMO-NL-2005-22, EFSA-GMO-RX-NK603) </w:t>
      </w:r>
      <w:proofErr w:type="spellStart"/>
      <w:r w:rsidRPr="001F6338">
        <w:rPr>
          <w:rStyle w:val="Hyperlink"/>
          <w:color w:val="auto"/>
          <w:sz w:val="24"/>
          <w:lang w:val="es-ES_tradnl"/>
        </w:rPr>
        <w:t>for</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the</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placing</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on</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the</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market</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of</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the</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genetically</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modified</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glyphosate</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tolerant</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maize</w:t>
      </w:r>
      <w:proofErr w:type="spellEnd"/>
      <w:r w:rsidRPr="001F6338">
        <w:rPr>
          <w:rStyle w:val="Hyperlink"/>
          <w:color w:val="auto"/>
          <w:sz w:val="24"/>
          <w:lang w:val="es-ES_tradnl"/>
        </w:rPr>
        <w:t xml:space="preserve"> NK603 </w:t>
      </w:r>
      <w:proofErr w:type="spellStart"/>
      <w:r w:rsidRPr="001F6338">
        <w:rPr>
          <w:rStyle w:val="Hyperlink"/>
          <w:color w:val="auto"/>
          <w:sz w:val="24"/>
          <w:lang w:val="es-ES_tradnl"/>
        </w:rPr>
        <w:t>for</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cultivation</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food</w:t>
      </w:r>
      <w:proofErr w:type="spellEnd"/>
      <w:r w:rsidRPr="001F6338">
        <w:rPr>
          <w:rStyle w:val="Hyperlink"/>
          <w:color w:val="auto"/>
          <w:sz w:val="24"/>
          <w:lang w:val="es-ES_tradnl"/>
        </w:rPr>
        <w:t xml:space="preserve"> and </w:t>
      </w:r>
      <w:proofErr w:type="spellStart"/>
      <w:r w:rsidRPr="001F6338">
        <w:rPr>
          <w:rStyle w:val="Hyperlink"/>
          <w:color w:val="auto"/>
          <w:sz w:val="24"/>
          <w:lang w:val="es-ES_tradnl"/>
        </w:rPr>
        <w:t>feed</w:t>
      </w:r>
      <w:proofErr w:type="spellEnd"/>
      <w:r w:rsidRPr="001F6338">
        <w:rPr>
          <w:rStyle w:val="Hyperlink"/>
          <w:color w:val="auto"/>
          <w:sz w:val="24"/>
          <w:lang w:val="es-ES_tradnl"/>
        </w:rPr>
        <w:t xml:space="preserve"> uses, </w:t>
      </w:r>
      <w:proofErr w:type="spellStart"/>
      <w:r w:rsidRPr="001F6338">
        <w:rPr>
          <w:rStyle w:val="Hyperlink"/>
          <w:color w:val="auto"/>
          <w:sz w:val="24"/>
          <w:lang w:val="es-ES_tradnl"/>
        </w:rPr>
        <w:t>import</w:t>
      </w:r>
      <w:proofErr w:type="spellEnd"/>
      <w:r w:rsidRPr="001F6338">
        <w:rPr>
          <w:rStyle w:val="Hyperlink"/>
          <w:color w:val="auto"/>
          <w:sz w:val="24"/>
          <w:lang w:val="es-ES_tradnl"/>
        </w:rPr>
        <w:t xml:space="preserve"> and </w:t>
      </w:r>
      <w:proofErr w:type="spellStart"/>
      <w:r w:rsidRPr="001F6338">
        <w:rPr>
          <w:rStyle w:val="Hyperlink"/>
          <w:color w:val="auto"/>
          <w:sz w:val="24"/>
          <w:lang w:val="es-ES_tradnl"/>
        </w:rPr>
        <w:t>processing</w:t>
      </w:r>
      <w:proofErr w:type="spellEnd"/>
      <w:r w:rsidRPr="001F6338">
        <w:rPr>
          <w:rStyle w:val="Hyperlink"/>
          <w:color w:val="auto"/>
          <w:sz w:val="24"/>
          <w:lang w:val="es-ES_tradnl"/>
        </w:rPr>
        <w:t xml:space="preserve"> and </w:t>
      </w:r>
      <w:proofErr w:type="spellStart"/>
      <w:r w:rsidRPr="001F6338">
        <w:rPr>
          <w:rStyle w:val="Hyperlink"/>
          <w:color w:val="auto"/>
          <w:sz w:val="24"/>
          <w:lang w:val="es-ES_tradnl"/>
        </w:rPr>
        <w:t>for</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renewal</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of</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the</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authorisation</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of</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maize</w:t>
      </w:r>
      <w:proofErr w:type="spellEnd"/>
      <w:r w:rsidRPr="001F6338">
        <w:rPr>
          <w:rStyle w:val="Hyperlink"/>
          <w:color w:val="auto"/>
          <w:sz w:val="24"/>
          <w:lang w:val="es-ES_tradnl"/>
        </w:rPr>
        <w:t xml:space="preserve"> NK603 as </w:t>
      </w:r>
      <w:proofErr w:type="spellStart"/>
      <w:r w:rsidRPr="001F6338">
        <w:rPr>
          <w:rStyle w:val="Hyperlink"/>
          <w:color w:val="auto"/>
          <w:sz w:val="24"/>
          <w:lang w:val="es-ES_tradnl"/>
        </w:rPr>
        <w:t>existing</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products</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both</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under</w:t>
      </w:r>
      <w:proofErr w:type="spellEnd"/>
      <w:r w:rsidRPr="001F6338">
        <w:rPr>
          <w:rStyle w:val="Hyperlink"/>
          <w:color w:val="auto"/>
          <w:sz w:val="24"/>
          <w:lang w:val="es-ES_tradnl"/>
        </w:rPr>
        <w:t xml:space="preserve"> </w:t>
      </w:r>
      <w:proofErr w:type="spellStart"/>
      <w:r w:rsidRPr="001F6338">
        <w:rPr>
          <w:rStyle w:val="Hyperlink"/>
          <w:color w:val="auto"/>
          <w:sz w:val="24"/>
          <w:lang w:val="es-ES_tradnl"/>
        </w:rPr>
        <w:t>Regulation</w:t>
      </w:r>
      <w:proofErr w:type="spellEnd"/>
      <w:r w:rsidRPr="001F6338">
        <w:rPr>
          <w:rStyle w:val="Hyperlink"/>
          <w:color w:val="auto"/>
          <w:sz w:val="24"/>
          <w:lang w:val="es-ES_tradnl"/>
        </w:rPr>
        <w:t xml:space="preserve"> (EC) No 1829/2003 </w:t>
      </w:r>
      <w:proofErr w:type="spellStart"/>
      <w:r w:rsidRPr="001F6338">
        <w:rPr>
          <w:rStyle w:val="Hyperlink"/>
          <w:color w:val="auto"/>
          <w:sz w:val="24"/>
          <w:lang w:val="es-ES_tradnl"/>
        </w:rPr>
        <w:t>from</w:t>
      </w:r>
      <w:proofErr w:type="spellEnd"/>
      <w:r w:rsidRPr="001F6338">
        <w:rPr>
          <w:rStyle w:val="Hyperlink"/>
          <w:color w:val="auto"/>
          <w:sz w:val="24"/>
          <w:lang w:val="es-ES_tradnl"/>
        </w:rPr>
        <w:t xml:space="preserve"> Monsanto» (Solicitudes de Monsanto (referencias EFSA-GMO-NL-2005-22 y EFSA-GMO-RX-NK603) para la comercialización del maíz modificado genéticamente NK603 tolerante al glifosato —para su cultivo, uso en alimentos y piensos, importación y transformación— y para la renovación de la autorización del maíz NK603 como producto existente, ambas con arreglo al Reglamento (CE) n.º 1829/2003). EFSA </w:t>
      </w:r>
      <w:proofErr w:type="spellStart"/>
      <w:r w:rsidRPr="001F6338">
        <w:rPr>
          <w:rStyle w:val="Hyperlink"/>
          <w:color w:val="auto"/>
          <w:sz w:val="24"/>
          <w:lang w:val="es-ES_tradnl"/>
        </w:rPr>
        <w:t>Journal</w:t>
      </w:r>
      <w:proofErr w:type="spellEnd"/>
      <w:r w:rsidRPr="001F6338">
        <w:rPr>
          <w:rStyle w:val="Hyperlink"/>
          <w:color w:val="auto"/>
          <w:sz w:val="24"/>
          <w:lang w:val="es-ES_tradnl"/>
        </w:rPr>
        <w:t xml:space="preserve">, 7(6), 1137, </w:t>
      </w:r>
      <w:r w:rsidR="005A64AE">
        <w:fldChar w:fldCharType="begin"/>
      </w:r>
      <w:r w:rsidR="005A64AE" w:rsidRPr="005A64AE">
        <w:rPr>
          <w:lang w:val="es-ES_tradnl"/>
        </w:rPr>
        <w:instrText>HYPERLINK "https://doi.org/10.2903/j.efsa.2009.1137"</w:instrText>
      </w:r>
      <w:r w:rsidR="005A64AE">
        <w:fldChar w:fldCharType="separate"/>
      </w:r>
      <w:r w:rsidRPr="001F6338">
        <w:rPr>
          <w:rStyle w:val="Hyperlink"/>
          <w:sz w:val="24"/>
          <w:lang w:val="es-ES_tradnl"/>
        </w:rPr>
        <w:t>https://doi.org/10.2903/j.efsa.2023.8111</w:t>
      </w:r>
      <w:r w:rsidR="005A64AE">
        <w:rPr>
          <w:rStyle w:val="Hyperlink"/>
          <w:sz w:val="24"/>
          <w:lang w:val="es-ES_tradnl"/>
        </w:rPr>
        <w:fldChar w:fldCharType="end"/>
      </w:r>
      <w:r w:rsidRPr="001F6338">
        <w:rPr>
          <w:rStyle w:val="Hyperlink"/>
          <w:sz w:val="24"/>
          <w:lang w:val="es-ES_tradnl"/>
        </w:rPr>
        <w:t>.</w:t>
      </w:r>
    </w:p>
  </w:footnote>
  <w:footnote w:id="7">
    <w:p w14:paraId="56CD7825" w14:textId="73A5585A" w:rsidR="004649D0" w:rsidRPr="001F6338" w:rsidRDefault="004649D0" w:rsidP="005C465D">
      <w:pPr>
        <w:pStyle w:val="FootnoteText"/>
        <w:ind w:left="567" w:hanging="567"/>
        <w:rPr>
          <w:sz w:val="24"/>
          <w:lang w:val="es-ES_tradnl"/>
        </w:rPr>
      </w:pPr>
      <w:r w:rsidRPr="001F6338">
        <w:rPr>
          <w:rStyle w:val="FootnoteReference"/>
          <w:sz w:val="24"/>
          <w:lang w:val="es-ES_tradnl"/>
        </w:rPr>
        <w:footnoteRef/>
      </w:r>
      <w:r w:rsidR="005C465D" w:rsidRPr="001F6338">
        <w:rPr>
          <w:sz w:val="24"/>
          <w:shd w:val="clear" w:color="auto" w:fill="FFFFFF"/>
          <w:lang w:val="es-ES_tradnl"/>
        </w:rPr>
        <w:t xml:space="preserve"> </w:t>
      </w:r>
      <w:r w:rsidR="005C465D" w:rsidRPr="001F6338">
        <w:rPr>
          <w:sz w:val="24"/>
          <w:shd w:val="clear" w:color="auto" w:fill="FFFFFF"/>
          <w:lang w:val="es-ES_tradnl"/>
        </w:rPr>
        <w:tab/>
      </w:r>
      <w:r w:rsidRPr="001F6338">
        <w:rPr>
          <w:sz w:val="24"/>
          <w:shd w:val="clear" w:color="auto" w:fill="FFFFFF"/>
          <w:lang w:val="es-ES_tradnl"/>
        </w:rPr>
        <w:t xml:space="preserve">Véanse, por ejemplo, </w:t>
      </w:r>
      <w:proofErr w:type="spellStart"/>
      <w:r w:rsidRPr="001F6338">
        <w:rPr>
          <w:sz w:val="24"/>
          <w:shd w:val="clear" w:color="auto" w:fill="FFFFFF"/>
          <w:lang w:val="es-ES_tradnl"/>
        </w:rPr>
        <w:t>Bonny</w:t>
      </w:r>
      <w:proofErr w:type="spellEnd"/>
      <w:r w:rsidRPr="001F6338">
        <w:rPr>
          <w:sz w:val="24"/>
          <w:shd w:val="clear" w:color="auto" w:fill="FFFFFF"/>
          <w:lang w:val="es-ES_tradnl"/>
        </w:rPr>
        <w:t>, S., «</w:t>
      </w:r>
      <w:proofErr w:type="spellStart"/>
      <w:r w:rsidRPr="001F6338">
        <w:rPr>
          <w:sz w:val="24"/>
          <w:shd w:val="clear" w:color="auto" w:fill="FFFFFF"/>
          <w:lang w:val="es-ES_tradnl"/>
        </w:rPr>
        <w:t>Genetically</w:t>
      </w:r>
      <w:proofErr w:type="spellEnd"/>
      <w:r w:rsidRPr="001F6338">
        <w:rPr>
          <w:sz w:val="24"/>
          <w:shd w:val="clear" w:color="auto" w:fill="FFFFFF"/>
          <w:lang w:val="es-ES_tradnl"/>
        </w:rPr>
        <w:t xml:space="preserve"> </w:t>
      </w:r>
      <w:proofErr w:type="spellStart"/>
      <w:r w:rsidRPr="001F6338">
        <w:rPr>
          <w:sz w:val="24"/>
          <w:shd w:val="clear" w:color="auto" w:fill="FFFFFF"/>
          <w:lang w:val="es-ES_tradnl"/>
        </w:rPr>
        <w:t>Modified</w:t>
      </w:r>
      <w:proofErr w:type="spellEnd"/>
      <w:r w:rsidRPr="001F6338">
        <w:rPr>
          <w:sz w:val="24"/>
          <w:shd w:val="clear" w:color="auto" w:fill="FFFFFF"/>
          <w:lang w:val="es-ES_tradnl"/>
        </w:rPr>
        <w:t xml:space="preserve"> </w:t>
      </w:r>
      <w:proofErr w:type="spellStart"/>
      <w:r w:rsidRPr="001F6338">
        <w:rPr>
          <w:sz w:val="24"/>
          <w:shd w:val="clear" w:color="auto" w:fill="FFFFFF"/>
          <w:lang w:val="es-ES_tradnl"/>
        </w:rPr>
        <w:t>Herbicide-Tolerant</w:t>
      </w:r>
      <w:proofErr w:type="spellEnd"/>
      <w:r w:rsidRPr="001F6338">
        <w:rPr>
          <w:sz w:val="24"/>
          <w:shd w:val="clear" w:color="auto" w:fill="FFFFFF"/>
          <w:lang w:val="es-ES_tradnl"/>
        </w:rPr>
        <w:t xml:space="preserve"> </w:t>
      </w:r>
      <w:proofErr w:type="spellStart"/>
      <w:r w:rsidRPr="001F6338">
        <w:rPr>
          <w:sz w:val="24"/>
          <w:shd w:val="clear" w:color="auto" w:fill="FFFFFF"/>
          <w:lang w:val="es-ES_tradnl"/>
        </w:rPr>
        <w:t>Crops</w:t>
      </w:r>
      <w:proofErr w:type="spellEnd"/>
      <w:r w:rsidRPr="001F6338">
        <w:rPr>
          <w:sz w:val="24"/>
          <w:shd w:val="clear" w:color="auto" w:fill="FFFFFF"/>
          <w:lang w:val="es-ES_tradnl"/>
        </w:rPr>
        <w:t xml:space="preserve">, </w:t>
      </w:r>
      <w:proofErr w:type="spellStart"/>
      <w:r w:rsidRPr="001F6338">
        <w:rPr>
          <w:sz w:val="24"/>
          <w:shd w:val="clear" w:color="auto" w:fill="FFFFFF"/>
          <w:lang w:val="es-ES_tradnl"/>
        </w:rPr>
        <w:t>Weeds</w:t>
      </w:r>
      <w:proofErr w:type="spellEnd"/>
      <w:r w:rsidRPr="001F6338">
        <w:rPr>
          <w:sz w:val="24"/>
          <w:shd w:val="clear" w:color="auto" w:fill="FFFFFF"/>
          <w:lang w:val="es-ES_tradnl"/>
        </w:rPr>
        <w:t xml:space="preserve">, and </w:t>
      </w:r>
      <w:proofErr w:type="spellStart"/>
      <w:r w:rsidRPr="001F6338">
        <w:rPr>
          <w:sz w:val="24"/>
          <w:shd w:val="clear" w:color="auto" w:fill="FFFFFF"/>
          <w:lang w:val="es-ES_tradnl"/>
        </w:rPr>
        <w:t>Herbicides</w:t>
      </w:r>
      <w:proofErr w:type="spellEnd"/>
      <w:r w:rsidRPr="001F6338">
        <w:rPr>
          <w:sz w:val="24"/>
          <w:shd w:val="clear" w:color="auto" w:fill="FFFFFF"/>
          <w:lang w:val="es-ES_tradnl"/>
        </w:rPr>
        <w:t xml:space="preserve">: </w:t>
      </w:r>
      <w:proofErr w:type="spellStart"/>
      <w:r w:rsidRPr="001F6338">
        <w:rPr>
          <w:sz w:val="24"/>
          <w:lang w:val="es-ES_tradnl"/>
        </w:rPr>
        <w:t>Overview</w:t>
      </w:r>
      <w:proofErr w:type="spellEnd"/>
      <w:r w:rsidRPr="001F6338">
        <w:rPr>
          <w:sz w:val="24"/>
          <w:lang w:val="es-ES_tradnl"/>
        </w:rPr>
        <w:t xml:space="preserve"> and </w:t>
      </w:r>
      <w:proofErr w:type="spellStart"/>
      <w:r w:rsidRPr="001F6338">
        <w:rPr>
          <w:sz w:val="24"/>
          <w:lang w:val="es-ES_tradnl"/>
        </w:rPr>
        <w:t>Impact</w:t>
      </w:r>
      <w:proofErr w:type="spellEnd"/>
      <w:r w:rsidRPr="001F6338">
        <w:rPr>
          <w:sz w:val="24"/>
          <w:lang w:val="es-ES_tradnl"/>
        </w:rPr>
        <w:t xml:space="preserve">» (Cultivos modificados genéticamente tolerantes a los herbicidas, malas hierbas y herbicidas: visión de conjunto e impacto), </w:t>
      </w:r>
      <w:proofErr w:type="spellStart"/>
      <w:r w:rsidRPr="001F6338">
        <w:rPr>
          <w:i/>
          <w:iCs/>
          <w:sz w:val="24"/>
          <w:lang w:val="es-ES_tradnl"/>
        </w:rPr>
        <w:t>Environmental</w:t>
      </w:r>
      <w:proofErr w:type="spellEnd"/>
      <w:r w:rsidRPr="001F6338">
        <w:rPr>
          <w:i/>
          <w:iCs/>
          <w:sz w:val="24"/>
          <w:lang w:val="es-ES_tradnl"/>
        </w:rPr>
        <w:t xml:space="preserve"> Management</w:t>
      </w:r>
      <w:r w:rsidRPr="001F6338">
        <w:rPr>
          <w:sz w:val="24"/>
          <w:lang w:val="es-ES_tradnl"/>
        </w:rPr>
        <w:t xml:space="preserve">, enero de 2016, 57(1), pp. 31-48, </w:t>
      </w:r>
      <w:hyperlink r:id="rId15" w:history="1">
        <w:r w:rsidRPr="001F6338">
          <w:rPr>
            <w:rStyle w:val="Hyperlink"/>
            <w:sz w:val="24"/>
            <w:shd w:val="clear" w:color="auto" w:fill="FFFFFF"/>
            <w:lang w:val="es-ES_tradnl"/>
          </w:rPr>
          <w:t>https://doi.org/10.1007/s00267-015-0589-7</w:t>
        </w:r>
      </w:hyperlink>
      <w:r w:rsidRPr="001F6338">
        <w:rPr>
          <w:sz w:val="24"/>
          <w:lang w:val="es-ES_tradnl"/>
        </w:rPr>
        <w:t xml:space="preserve">, y </w:t>
      </w:r>
      <w:proofErr w:type="spellStart"/>
      <w:r w:rsidRPr="001F6338">
        <w:rPr>
          <w:sz w:val="24"/>
          <w:lang w:val="es-ES_tradnl"/>
        </w:rPr>
        <w:t>Benbrook</w:t>
      </w:r>
      <w:proofErr w:type="spellEnd"/>
      <w:r w:rsidRPr="001F6338">
        <w:rPr>
          <w:sz w:val="24"/>
          <w:lang w:val="es-ES_tradnl"/>
        </w:rPr>
        <w:t>, C. M., «</w:t>
      </w:r>
      <w:proofErr w:type="spellStart"/>
      <w:r w:rsidRPr="001F6338">
        <w:rPr>
          <w:sz w:val="24"/>
          <w:lang w:val="es-ES_tradnl"/>
        </w:rPr>
        <w:t>Impacts</w:t>
      </w:r>
      <w:proofErr w:type="spellEnd"/>
      <w:r w:rsidRPr="001F6338">
        <w:rPr>
          <w:sz w:val="24"/>
          <w:lang w:val="es-ES_tradnl"/>
        </w:rPr>
        <w:t xml:space="preserve"> </w:t>
      </w:r>
      <w:proofErr w:type="spellStart"/>
      <w:r w:rsidRPr="001F6338">
        <w:rPr>
          <w:sz w:val="24"/>
          <w:lang w:val="es-ES_tradnl"/>
        </w:rPr>
        <w:t>of</w:t>
      </w:r>
      <w:proofErr w:type="spellEnd"/>
      <w:r w:rsidRPr="001F6338">
        <w:rPr>
          <w:sz w:val="24"/>
          <w:lang w:val="es-ES_tradnl"/>
        </w:rPr>
        <w:t xml:space="preserve"> </w:t>
      </w:r>
      <w:proofErr w:type="spellStart"/>
      <w:r w:rsidRPr="001F6338">
        <w:rPr>
          <w:sz w:val="24"/>
          <w:lang w:val="es-ES_tradnl"/>
        </w:rPr>
        <w:t>genetically</w:t>
      </w:r>
      <w:proofErr w:type="spellEnd"/>
      <w:r w:rsidRPr="001F6338">
        <w:rPr>
          <w:sz w:val="24"/>
          <w:lang w:val="es-ES_tradnl"/>
        </w:rPr>
        <w:t xml:space="preserve"> </w:t>
      </w:r>
      <w:proofErr w:type="spellStart"/>
      <w:r w:rsidRPr="001F6338">
        <w:rPr>
          <w:sz w:val="24"/>
          <w:lang w:val="es-ES_tradnl"/>
        </w:rPr>
        <w:t>engineered</w:t>
      </w:r>
      <w:proofErr w:type="spellEnd"/>
      <w:r w:rsidRPr="001F6338">
        <w:rPr>
          <w:sz w:val="24"/>
          <w:lang w:val="es-ES_tradnl"/>
        </w:rPr>
        <w:t xml:space="preserve"> </w:t>
      </w:r>
      <w:proofErr w:type="spellStart"/>
      <w:r w:rsidRPr="001F6338">
        <w:rPr>
          <w:sz w:val="24"/>
          <w:lang w:val="es-ES_tradnl"/>
        </w:rPr>
        <w:t>crops</w:t>
      </w:r>
      <w:proofErr w:type="spellEnd"/>
      <w:r w:rsidRPr="001F6338">
        <w:rPr>
          <w:sz w:val="24"/>
          <w:lang w:val="es-ES_tradnl"/>
        </w:rPr>
        <w:t xml:space="preserve"> </w:t>
      </w:r>
      <w:proofErr w:type="spellStart"/>
      <w:r w:rsidRPr="001F6338">
        <w:rPr>
          <w:sz w:val="24"/>
          <w:lang w:val="es-ES_tradnl"/>
        </w:rPr>
        <w:t>on</w:t>
      </w:r>
      <w:proofErr w:type="spellEnd"/>
      <w:r w:rsidRPr="001F6338">
        <w:rPr>
          <w:sz w:val="24"/>
          <w:lang w:val="es-ES_tradnl"/>
        </w:rPr>
        <w:t xml:space="preserve"> </w:t>
      </w:r>
      <w:proofErr w:type="spellStart"/>
      <w:r w:rsidRPr="001F6338">
        <w:rPr>
          <w:sz w:val="24"/>
          <w:lang w:val="es-ES_tradnl"/>
        </w:rPr>
        <w:t>pesticide</w:t>
      </w:r>
      <w:proofErr w:type="spellEnd"/>
      <w:r w:rsidRPr="001F6338">
        <w:rPr>
          <w:sz w:val="24"/>
          <w:lang w:val="es-ES_tradnl"/>
        </w:rPr>
        <w:t xml:space="preserve"> use in </w:t>
      </w:r>
      <w:proofErr w:type="spellStart"/>
      <w:r w:rsidRPr="001F6338">
        <w:rPr>
          <w:sz w:val="24"/>
          <w:lang w:val="es-ES_tradnl"/>
        </w:rPr>
        <w:t>the</w:t>
      </w:r>
      <w:proofErr w:type="spellEnd"/>
      <w:r w:rsidRPr="001F6338">
        <w:rPr>
          <w:sz w:val="24"/>
          <w:lang w:val="es-ES_tradnl"/>
        </w:rPr>
        <w:t xml:space="preserve"> U.S. - </w:t>
      </w:r>
      <w:proofErr w:type="spellStart"/>
      <w:r w:rsidRPr="001F6338">
        <w:rPr>
          <w:sz w:val="24"/>
          <w:lang w:val="es-ES_tradnl"/>
        </w:rPr>
        <w:t>the</w:t>
      </w:r>
      <w:proofErr w:type="spellEnd"/>
      <w:r w:rsidRPr="001F6338">
        <w:rPr>
          <w:sz w:val="24"/>
          <w:lang w:val="es-ES_tradnl"/>
        </w:rPr>
        <w:t xml:space="preserve"> </w:t>
      </w:r>
      <w:proofErr w:type="spellStart"/>
      <w:r w:rsidRPr="001F6338">
        <w:rPr>
          <w:sz w:val="24"/>
          <w:lang w:val="es-ES_tradnl"/>
        </w:rPr>
        <w:t>first</w:t>
      </w:r>
      <w:proofErr w:type="spellEnd"/>
      <w:r w:rsidRPr="001F6338">
        <w:rPr>
          <w:sz w:val="24"/>
          <w:lang w:val="es-ES_tradnl"/>
        </w:rPr>
        <w:t xml:space="preserve"> </w:t>
      </w:r>
      <w:proofErr w:type="spellStart"/>
      <w:r w:rsidRPr="001F6338">
        <w:rPr>
          <w:sz w:val="24"/>
          <w:lang w:val="es-ES_tradnl"/>
        </w:rPr>
        <w:t>sixteen</w:t>
      </w:r>
      <w:proofErr w:type="spellEnd"/>
      <w:r w:rsidRPr="001F6338">
        <w:rPr>
          <w:sz w:val="24"/>
          <w:lang w:val="es-ES_tradnl"/>
        </w:rPr>
        <w:t xml:space="preserve"> </w:t>
      </w:r>
      <w:proofErr w:type="spellStart"/>
      <w:r w:rsidRPr="001F6338">
        <w:rPr>
          <w:sz w:val="24"/>
          <w:lang w:val="es-ES_tradnl"/>
        </w:rPr>
        <w:t>years</w:t>
      </w:r>
      <w:proofErr w:type="spellEnd"/>
      <w:r w:rsidRPr="001F6338">
        <w:rPr>
          <w:sz w:val="24"/>
          <w:lang w:val="es-ES_tradnl"/>
        </w:rPr>
        <w:t xml:space="preserve">» (El impacto de los cultivos modificados genéticamente en el uso de plaguicidas en los EE. UU.: los dieciséis primeros años), </w:t>
      </w:r>
      <w:proofErr w:type="spellStart"/>
      <w:r w:rsidRPr="001F6338">
        <w:rPr>
          <w:i/>
          <w:iCs/>
          <w:sz w:val="24"/>
          <w:lang w:val="es-ES_tradnl"/>
        </w:rPr>
        <w:t>Environmental</w:t>
      </w:r>
      <w:proofErr w:type="spellEnd"/>
      <w:r w:rsidRPr="001F6338">
        <w:rPr>
          <w:i/>
          <w:iCs/>
          <w:sz w:val="24"/>
          <w:lang w:val="es-ES_tradnl"/>
        </w:rPr>
        <w:t xml:space="preserve"> </w:t>
      </w:r>
      <w:proofErr w:type="spellStart"/>
      <w:r w:rsidRPr="001F6338">
        <w:rPr>
          <w:i/>
          <w:iCs/>
          <w:sz w:val="24"/>
          <w:lang w:val="es-ES_tradnl"/>
        </w:rPr>
        <w:t>Sciences</w:t>
      </w:r>
      <w:proofErr w:type="spellEnd"/>
      <w:r w:rsidRPr="001F6338">
        <w:rPr>
          <w:i/>
          <w:iCs/>
          <w:sz w:val="24"/>
          <w:lang w:val="es-ES_tradnl"/>
        </w:rPr>
        <w:t xml:space="preserve"> </w:t>
      </w:r>
      <w:proofErr w:type="spellStart"/>
      <w:r w:rsidRPr="001F6338">
        <w:rPr>
          <w:i/>
          <w:iCs/>
          <w:sz w:val="24"/>
          <w:lang w:val="es-ES_tradnl"/>
        </w:rPr>
        <w:t>Europe</w:t>
      </w:r>
      <w:proofErr w:type="spellEnd"/>
      <w:r w:rsidRPr="001F6338">
        <w:rPr>
          <w:sz w:val="24"/>
          <w:lang w:val="es-ES_tradnl"/>
        </w:rPr>
        <w:t>,</w:t>
      </w:r>
      <w:r w:rsidRPr="001F6338">
        <w:rPr>
          <w:sz w:val="24"/>
          <w:shd w:val="clear" w:color="auto" w:fill="FFFFFF"/>
          <w:lang w:val="es-ES_tradnl"/>
        </w:rPr>
        <w:t xml:space="preserve"> </w:t>
      </w:r>
      <w:r w:rsidRPr="001F6338">
        <w:rPr>
          <w:sz w:val="24"/>
          <w:lang w:val="es-ES_tradnl"/>
        </w:rPr>
        <w:t xml:space="preserve">28 de septiembre de 2012, volumen 24(1), </w:t>
      </w:r>
      <w:hyperlink r:id="rId16" w:history="1">
        <w:r w:rsidRPr="001F6338">
          <w:rPr>
            <w:rStyle w:val="Hyperlink"/>
            <w:sz w:val="24"/>
            <w:shd w:val="clear" w:color="auto" w:fill="FFFFFF"/>
            <w:lang w:val="es-ES_tradnl"/>
          </w:rPr>
          <w:t>https://doi.org/10.1186/2190-4715-24-24</w:t>
        </w:r>
      </w:hyperlink>
      <w:r w:rsidRPr="001F6338">
        <w:rPr>
          <w:sz w:val="24"/>
          <w:lang w:val="es-ES_tradnl"/>
        </w:rPr>
        <w:t>.</w:t>
      </w:r>
    </w:p>
  </w:footnote>
  <w:footnote w:id="8">
    <w:p w14:paraId="23870380" w14:textId="34B2A49B" w:rsidR="004649D0" w:rsidRPr="001F6338" w:rsidRDefault="004649D0" w:rsidP="005C465D">
      <w:pPr>
        <w:pStyle w:val="FootnoteText"/>
        <w:ind w:left="567" w:hanging="567"/>
        <w:rPr>
          <w:sz w:val="24"/>
          <w:vertAlign w:val="superscript"/>
          <w:lang w:val="es-ES_tradnl"/>
        </w:rPr>
      </w:pPr>
      <w:r w:rsidRPr="001F6338">
        <w:rPr>
          <w:rStyle w:val="FootnoteReference"/>
          <w:sz w:val="24"/>
          <w:lang w:val="es-ES_tradnl"/>
        </w:rPr>
        <w:footnoteRef/>
      </w:r>
      <w:r w:rsidR="005C465D" w:rsidRPr="001F6338">
        <w:rPr>
          <w:sz w:val="24"/>
          <w:lang w:val="es-ES_tradnl"/>
        </w:rPr>
        <w:t xml:space="preserve"> </w:t>
      </w:r>
      <w:r w:rsidR="005C465D" w:rsidRPr="001F6338">
        <w:rPr>
          <w:sz w:val="24"/>
          <w:lang w:val="es-ES_tradnl"/>
        </w:rPr>
        <w:tab/>
      </w:r>
      <w:r w:rsidRPr="001F6338">
        <w:rPr>
          <w:sz w:val="24"/>
          <w:lang w:val="es-ES_tradnl"/>
        </w:rPr>
        <w:t xml:space="preserve">Véanse, por ejemplo: </w:t>
      </w:r>
    </w:p>
    <w:p w14:paraId="055BE756" w14:textId="75803AED" w:rsidR="004649D0" w:rsidRPr="001F6338" w:rsidRDefault="005A64AE" w:rsidP="006D5AFA">
      <w:pPr>
        <w:pStyle w:val="FootnoteText"/>
        <w:ind w:left="567" w:firstLine="0"/>
        <w:rPr>
          <w:sz w:val="24"/>
          <w:lang w:val="es-ES_tradnl"/>
        </w:rPr>
      </w:pPr>
      <w:hyperlink r:id="rId17" w:history="1">
        <w:r w:rsidR="004649D0" w:rsidRPr="001F6338">
          <w:rPr>
            <w:rStyle w:val="Hyperlink"/>
            <w:sz w:val="24"/>
            <w:lang w:val="es-ES_tradnl"/>
          </w:rPr>
          <w:t>https://doi.org/10.1002/ps.8105</w:t>
        </w:r>
      </w:hyperlink>
      <w:r w:rsidR="00B96809" w:rsidRPr="001F6338">
        <w:rPr>
          <w:rStyle w:val="Hyperlink"/>
          <w:sz w:val="24"/>
          <w:lang w:val="es-ES_tradnl"/>
        </w:rPr>
        <w:t xml:space="preserve">, </w:t>
      </w:r>
      <w:r w:rsidR="00B96809" w:rsidRPr="001F6338">
        <w:rPr>
          <w:rStyle w:val="Hyperlink"/>
          <w:sz w:val="24"/>
          <w:lang w:val="es-ES_tradnl"/>
        </w:rPr>
        <w:br/>
      </w:r>
      <w:hyperlink r:id="rId18" w:tgtFrame="_blank" w:tooltip="Enlace permanente que utiliza un identificador digital de objetos" w:history="1">
        <w:r w:rsidR="004649D0" w:rsidRPr="001F6338">
          <w:rPr>
            <w:rStyle w:val="Hyperlink"/>
            <w:sz w:val="24"/>
            <w:lang w:val="es-ES_tradnl"/>
          </w:rPr>
          <w:t>https://doi.org/10.1016/j.geoforum.2009.03.009</w:t>
        </w:r>
      </w:hyperlink>
      <w:r w:rsidR="004649D0" w:rsidRPr="001F6338">
        <w:rPr>
          <w:sz w:val="24"/>
          <w:lang w:val="es-ES_tradnl"/>
        </w:rPr>
        <w:t>.</w:t>
      </w:r>
    </w:p>
  </w:footnote>
  <w:footnote w:id="9">
    <w:p w14:paraId="31C66ED6" w14:textId="1DDC54FE" w:rsidR="004649D0" w:rsidRPr="001F6338" w:rsidRDefault="004649D0" w:rsidP="005C465D">
      <w:pPr>
        <w:pStyle w:val="FootnoteText"/>
        <w:ind w:left="567" w:hanging="567"/>
        <w:rPr>
          <w:sz w:val="24"/>
          <w:lang w:val="es-ES_tradnl"/>
        </w:rPr>
      </w:pPr>
      <w:r w:rsidRPr="001F6338">
        <w:rPr>
          <w:rStyle w:val="FootnoteReference"/>
          <w:sz w:val="24"/>
          <w:lang w:val="es-ES_tradnl"/>
        </w:rPr>
        <w:footnoteRef/>
      </w:r>
      <w:r w:rsidR="005C465D" w:rsidRPr="001F6338">
        <w:rPr>
          <w:sz w:val="24"/>
          <w:lang w:val="es-ES_tradnl"/>
        </w:rPr>
        <w:t xml:space="preserve"> </w:t>
      </w:r>
      <w:r w:rsidR="005C465D" w:rsidRPr="001F6338">
        <w:rPr>
          <w:sz w:val="24"/>
          <w:lang w:val="es-ES_tradnl"/>
        </w:rPr>
        <w:tab/>
      </w:r>
      <w:r w:rsidRPr="001F6338">
        <w:rPr>
          <w:sz w:val="24"/>
          <w:lang w:val="es-ES_tradnl"/>
        </w:rPr>
        <w:t>Véanse, por ejemplo:</w:t>
      </w:r>
      <w:r w:rsidRPr="001F6338">
        <w:rPr>
          <w:sz w:val="24"/>
          <w:lang w:val="es-ES_tradnl"/>
        </w:rPr>
        <w:br/>
      </w:r>
      <w:hyperlink r:id="rId19" w:tgtFrame="_blank" w:tooltip="Enlace permanente que utiliza un identificador digital de objetos" w:history="1">
        <w:r w:rsidRPr="001F6338">
          <w:rPr>
            <w:rStyle w:val="Hyperlink"/>
            <w:sz w:val="24"/>
            <w:lang w:val="es-ES_tradnl"/>
          </w:rPr>
          <w:t>https://doi.org/10.1016/j.mrrev.2019.02.001</w:t>
        </w:r>
      </w:hyperlink>
      <w:r w:rsidRPr="001F6338">
        <w:rPr>
          <w:sz w:val="24"/>
          <w:lang w:val="es-ES_tradnl"/>
        </w:rPr>
        <w:t>,</w:t>
      </w:r>
      <w:r w:rsidRPr="001F6338">
        <w:rPr>
          <w:sz w:val="24"/>
          <w:lang w:val="es-ES_tradnl"/>
        </w:rPr>
        <w:br/>
      </w:r>
      <w:hyperlink r:id="rId20" w:history="1">
        <w:r w:rsidRPr="001F6338">
          <w:rPr>
            <w:rStyle w:val="Hyperlink"/>
            <w:sz w:val="24"/>
            <w:lang w:val="es-ES_tradnl"/>
          </w:rPr>
          <w:t>https://doi.org/10.1093/ije/dyz017</w:t>
        </w:r>
      </w:hyperlink>
      <w:r w:rsidRPr="001F6338">
        <w:rPr>
          <w:sz w:val="24"/>
          <w:lang w:val="es-ES_tradnl"/>
        </w:rPr>
        <w:t>,</w:t>
      </w:r>
      <w:r w:rsidRPr="001F6338">
        <w:rPr>
          <w:sz w:val="24"/>
          <w:lang w:val="es-ES_tradnl"/>
        </w:rPr>
        <w:br/>
      </w:r>
      <w:hyperlink r:id="rId21" w:history="1">
        <w:r w:rsidRPr="001F6338">
          <w:rPr>
            <w:rStyle w:val="Hyperlink"/>
            <w:sz w:val="24"/>
            <w:lang w:val="es-ES_tradnl"/>
          </w:rPr>
          <w:t>https://doi.org/10.1371/journal.pone.0219610</w:t>
        </w:r>
      </w:hyperlink>
      <w:r w:rsidRPr="001F6338">
        <w:rPr>
          <w:sz w:val="24"/>
          <w:lang w:val="es-ES_tradnl"/>
        </w:rPr>
        <w:t xml:space="preserve"> y</w:t>
      </w:r>
      <w:r w:rsidRPr="001F6338">
        <w:rPr>
          <w:sz w:val="24"/>
          <w:lang w:val="es-ES_tradnl"/>
        </w:rPr>
        <w:br/>
      </w:r>
      <w:hyperlink r:id="rId22" w:history="1">
        <w:r w:rsidRPr="001F6338">
          <w:rPr>
            <w:rStyle w:val="Hyperlink"/>
            <w:sz w:val="24"/>
            <w:lang w:val="es-ES_tradnl"/>
          </w:rPr>
          <w:t>https://doi.org/10.1186/s13045-019-0767-9</w:t>
        </w:r>
      </w:hyperlink>
      <w:r w:rsidRPr="001F6338">
        <w:rPr>
          <w:sz w:val="24"/>
          <w:lang w:val="es-ES_tradnl"/>
        </w:rPr>
        <w:t>.</w:t>
      </w:r>
    </w:p>
  </w:footnote>
  <w:footnote w:id="10">
    <w:p w14:paraId="2496E21C" w14:textId="67FF4A21" w:rsidR="004649D0" w:rsidRPr="001F6338" w:rsidRDefault="004649D0" w:rsidP="005C465D">
      <w:pPr>
        <w:pStyle w:val="FootnoteText"/>
        <w:ind w:left="567" w:hanging="567"/>
        <w:rPr>
          <w:sz w:val="24"/>
          <w:lang w:val="es-ES_tradnl"/>
        </w:rPr>
      </w:pPr>
      <w:r w:rsidRPr="001F6338">
        <w:rPr>
          <w:rStyle w:val="FootnoteReference"/>
          <w:sz w:val="24"/>
          <w:lang w:val="es-ES_tradnl"/>
        </w:rPr>
        <w:footnoteRef/>
      </w:r>
      <w:r w:rsidR="005C465D" w:rsidRPr="001F6338">
        <w:rPr>
          <w:sz w:val="24"/>
          <w:lang w:val="es-ES_tradnl"/>
        </w:rPr>
        <w:t xml:space="preserve"> </w:t>
      </w:r>
      <w:r w:rsidR="005C465D" w:rsidRPr="001F6338">
        <w:rPr>
          <w:sz w:val="24"/>
          <w:lang w:val="es-ES_tradnl"/>
        </w:rPr>
        <w:tab/>
      </w:r>
      <w:r w:rsidRPr="001F6338">
        <w:rPr>
          <w:sz w:val="24"/>
          <w:lang w:val="es-ES_tradnl"/>
        </w:rPr>
        <w:t>En diciembre de 2022 se acordó el Marco Mundial de Biodiversidad en la CP 15 del Convenio de las Naciones Unidas sobre la Diversidad Biológica, que incluye un objetivo mundial de reducción del riesgo de plaguicidas en al menos un 50 % de aquí a 2030 (véase:</w:t>
      </w:r>
      <w:r w:rsidRPr="001F6338">
        <w:rPr>
          <w:color w:val="000000" w:themeColor="text1"/>
          <w:sz w:val="24"/>
          <w:lang w:val="es-ES_tradnl"/>
        </w:rPr>
        <w:t xml:space="preserve"> </w:t>
      </w:r>
      <w:hyperlink r:id="rId23" w:history="1">
        <w:r w:rsidRPr="001F6338">
          <w:rPr>
            <w:rStyle w:val="Hyperlink"/>
            <w:sz w:val="24"/>
            <w:lang w:val="es-ES_tradnl"/>
          </w:rPr>
          <w:t>https://ec.europa.eu/commission/presscorner/detail/es/ip_22_7834)</w:t>
        </w:r>
      </w:hyperlink>
      <w:r w:rsidRPr="001F6338">
        <w:rPr>
          <w:sz w:val="24"/>
          <w:lang w:val="es-ES_tradnl"/>
        </w:rPr>
        <w:t>.</w:t>
      </w:r>
    </w:p>
  </w:footnote>
  <w:footnote w:id="11">
    <w:p w14:paraId="4B6D01E5" w14:textId="0BDAECCD" w:rsidR="004649D0" w:rsidRPr="001F6338" w:rsidRDefault="004649D0" w:rsidP="005C465D">
      <w:pPr>
        <w:pStyle w:val="FootnoteText"/>
        <w:ind w:left="567" w:hanging="567"/>
        <w:rPr>
          <w:sz w:val="24"/>
          <w:lang w:val="es-ES_tradnl"/>
        </w:rPr>
      </w:pPr>
      <w:r w:rsidRPr="001F6338">
        <w:rPr>
          <w:rStyle w:val="FootnoteReference"/>
          <w:sz w:val="24"/>
          <w:lang w:val="es-ES_tradnl"/>
        </w:rPr>
        <w:footnoteRef/>
      </w:r>
      <w:r w:rsidR="005C465D" w:rsidRPr="001F6338">
        <w:rPr>
          <w:sz w:val="24"/>
          <w:lang w:val="es-ES_tradnl"/>
        </w:rPr>
        <w:t xml:space="preserve"> </w:t>
      </w:r>
      <w:r w:rsidR="005C465D" w:rsidRPr="001F6338">
        <w:rPr>
          <w:sz w:val="24"/>
          <w:lang w:val="es-ES_tradnl"/>
        </w:rPr>
        <w:tab/>
      </w:r>
      <w:hyperlink r:id="rId24" w:history="1">
        <w:r w:rsidRPr="001F6338">
          <w:rPr>
            <w:rStyle w:val="Hyperlink"/>
            <w:sz w:val="24"/>
            <w:lang w:val="es-ES_tradnl"/>
          </w:rPr>
          <w:t>https://commission.europa.eu/strategy-and-policy/priorities-2019-2024/european-green-deal/agriculture-and-green-deal/strategic-dialogue-future-eu-agriculture_es</w:t>
        </w:r>
      </w:hyperlink>
      <w:r w:rsidRPr="001F6338">
        <w:rPr>
          <w:sz w:val="24"/>
          <w:lang w:val="es-ES_tradnl"/>
        </w:rPr>
        <w:t xml:space="preserve">. </w:t>
      </w:r>
    </w:p>
  </w:footnote>
  <w:footnote w:id="12">
    <w:p w14:paraId="2FEE9119" w14:textId="5C2CCAAB" w:rsidR="004649D0" w:rsidRPr="005C465D" w:rsidRDefault="004649D0" w:rsidP="005C465D">
      <w:pPr>
        <w:pStyle w:val="FootnoteText"/>
        <w:ind w:left="567" w:hanging="567"/>
        <w:rPr>
          <w:sz w:val="24"/>
          <w:lang w:val="es-ES_tradnl"/>
        </w:rPr>
      </w:pPr>
      <w:r w:rsidRPr="001F6338">
        <w:rPr>
          <w:rStyle w:val="FootnoteReference"/>
          <w:sz w:val="24"/>
          <w:lang w:val="es-ES_tradnl"/>
        </w:rPr>
        <w:footnoteRef/>
      </w:r>
      <w:r w:rsidR="005C465D" w:rsidRPr="001F6338">
        <w:rPr>
          <w:sz w:val="24"/>
          <w:lang w:val="es-ES_tradnl"/>
        </w:rPr>
        <w:t xml:space="preserve"> </w:t>
      </w:r>
      <w:r w:rsidR="005C465D" w:rsidRPr="001F6338">
        <w:rPr>
          <w:sz w:val="24"/>
          <w:lang w:val="es-ES_tradnl"/>
        </w:rPr>
        <w:tab/>
      </w:r>
      <w:r w:rsidRPr="001F6338">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25" w:tgtFrame="Gives%20access%20to%20this%20document%20through%20its%20ELI%20URI." w:history="1">
        <w:r w:rsidRPr="001F6338">
          <w:rPr>
            <w:rStyle w:val="Hyperlink"/>
            <w:sz w:val="24"/>
            <w:lang w:val="es-ES_tradnl"/>
          </w:rPr>
          <w:t>http://data.europa.eu/eli/reg/2002/178/oj</w:t>
        </w:r>
      </w:hyperlink>
      <w:r w:rsidRPr="001F6338">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0155" w14:textId="77777777" w:rsidR="00064002" w:rsidRPr="005C46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7AF7" w14:textId="77777777" w:rsidR="00064002" w:rsidRPr="005C46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AEE4" w14:textId="77777777" w:rsidR="00064002" w:rsidRPr="005C46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7455114">
    <w:abstractNumId w:val="9"/>
  </w:num>
  <w:num w:numId="2" w16cid:durableId="1996103189">
    <w:abstractNumId w:val="9"/>
  </w:num>
  <w:num w:numId="3" w16cid:durableId="374815485">
    <w:abstractNumId w:val="7"/>
  </w:num>
  <w:num w:numId="4" w16cid:durableId="968634059">
    <w:abstractNumId w:val="7"/>
  </w:num>
  <w:num w:numId="5" w16cid:durableId="130829305">
    <w:abstractNumId w:val="6"/>
  </w:num>
  <w:num w:numId="6" w16cid:durableId="1768573797">
    <w:abstractNumId w:val="6"/>
  </w:num>
  <w:num w:numId="7" w16cid:durableId="1673295443">
    <w:abstractNumId w:val="5"/>
  </w:num>
  <w:num w:numId="8" w16cid:durableId="2047869176">
    <w:abstractNumId w:val="5"/>
  </w:num>
  <w:num w:numId="9" w16cid:durableId="1270967430">
    <w:abstractNumId w:val="4"/>
  </w:num>
  <w:num w:numId="10" w16cid:durableId="1845851047">
    <w:abstractNumId w:val="4"/>
  </w:num>
  <w:num w:numId="11" w16cid:durableId="1412000195">
    <w:abstractNumId w:val="8"/>
  </w:num>
  <w:num w:numId="12" w16cid:durableId="1205287213">
    <w:abstractNumId w:val="8"/>
  </w:num>
  <w:num w:numId="13" w16cid:durableId="1109855374">
    <w:abstractNumId w:val="3"/>
  </w:num>
  <w:num w:numId="14" w16cid:durableId="1759521223">
    <w:abstractNumId w:val="3"/>
  </w:num>
  <w:num w:numId="15" w16cid:durableId="784421530">
    <w:abstractNumId w:val="2"/>
  </w:num>
  <w:num w:numId="16" w16cid:durableId="961880617">
    <w:abstractNumId w:val="2"/>
  </w:num>
  <w:num w:numId="17" w16cid:durableId="1096946595">
    <w:abstractNumId w:val="1"/>
  </w:num>
  <w:num w:numId="18" w16cid:durableId="312567135">
    <w:abstractNumId w:val="1"/>
  </w:num>
  <w:num w:numId="19" w16cid:durableId="616449886">
    <w:abstractNumId w:val="0"/>
  </w:num>
  <w:num w:numId="20" w16cid:durableId="340470899">
    <w:abstractNumId w:val="0"/>
  </w:num>
  <w:num w:numId="21" w16cid:durableId="113863406">
    <w:abstractNumId w:val="9"/>
  </w:num>
  <w:num w:numId="22" w16cid:durableId="1944534994">
    <w:abstractNumId w:val="7"/>
  </w:num>
  <w:num w:numId="23" w16cid:durableId="423067160">
    <w:abstractNumId w:val="6"/>
  </w:num>
  <w:num w:numId="24" w16cid:durableId="1812674885">
    <w:abstractNumId w:val="5"/>
  </w:num>
  <w:num w:numId="25" w16cid:durableId="2004162988">
    <w:abstractNumId w:val="4"/>
  </w:num>
  <w:num w:numId="26" w16cid:durableId="153646812">
    <w:abstractNumId w:val="8"/>
  </w:num>
  <w:num w:numId="27" w16cid:durableId="570045783">
    <w:abstractNumId w:val="3"/>
  </w:num>
  <w:num w:numId="28" w16cid:durableId="2061322426">
    <w:abstractNumId w:val="2"/>
  </w:num>
  <w:num w:numId="29" w16cid:durableId="1397632557">
    <w:abstractNumId w:val="1"/>
  </w:num>
  <w:num w:numId="30" w16cid:durableId="596140531">
    <w:abstractNumId w:val="0"/>
  </w:num>
  <w:num w:numId="31" w16cid:durableId="581373902">
    <w:abstractNumId w:val="9"/>
  </w:num>
  <w:num w:numId="32" w16cid:durableId="767624614">
    <w:abstractNumId w:val="7"/>
  </w:num>
  <w:num w:numId="33" w16cid:durableId="1901206905">
    <w:abstractNumId w:val="6"/>
  </w:num>
  <w:num w:numId="34" w16cid:durableId="1528330652">
    <w:abstractNumId w:val="5"/>
  </w:num>
  <w:num w:numId="35" w16cid:durableId="1495223210">
    <w:abstractNumId w:val="4"/>
  </w:num>
  <w:num w:numId="36" w16cid:durableId="1725569022">
    <w:abstractNumId w:val="8"/>
  </w:num>
  <w:num w:numId="37" w16cid:durableId="1076710121">
    <w:abstractNumId w:val="3"/>
  </w:num>
  <w:num w:numId="38" w16cid:durableId="1753090287">
    <w:abstractNumId w:val="2"/>
  </w:num>
  <w:num w:numId="39" w16cid:durableId="1339119646">
    <w:abstractNumId w:val="1"/>
  </w:num>
  <w:num w:numId="40" w16cid:durableId="456529462">
    <w:abstractNumId w:val="0"/>
  </w:num>
  <w:num w:numId="41" w16cid:durableId="683485190">
    <w:abstractNumId w:val="10"/>
  </w:num>
  <w:num w:numId="42" w16cid:durableId="26223170">
    <w:abstractNumId w:val="10"/>
  </w:num>
  <w:num w:numId="43" w16cid:durableId="573391146">
    <w:abstractNumId w:val="10"/>
  </w:num>
  <w:num w:numId="44" w16cid:durableId="11849002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ES"/>
    <w:docVar w:name="dvnumam" w:val="0"/>
    <w:docVar w:name="dvpe" w:val="779.397"/>
    <w:docVar w:name="dvtitre" w:val="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D110123/02 – 2025/2958(RSP))"/>
  </w:docVars>
  <w:rsids>
    <w:rsidRoot w:val="00A87E1B"/>
    <w:rsid w:val="00002272"/>
    <w:rsid w:val="00064002"/>
    <w:rsid w:val="000677B9"/>
    <w:rsid w:val="000831BA"/>
    <w:rsid w:val="000A42CC"/>
    <w:rsid w:val="000E7DD9"/>
    <w:rsid w:val="0010095E"/>
    <w:rsid w:val="00105DB1"/>
    <w:rsid w:val="00125B37"/>
    <w:rsid w:val="00187494"/>
    <w:rsid w:val="001F32AE"/>
    <w:rsid w:val="001F6338"/>
    <w:rsid w:val="002569BB"/>
    <w:rsid w:val="002767FF"/>
    <w:rsid w:val="002B18FE"/>
    <w:rsid w:val="002B5493"/>
    <w:rsid w:val="00343214"/>
    <w:rsid w:val="003561DE"/>
    <w:rsid w:val="00361C00"/>
    <w:rsid w:val="00395FA1"/>
    <w:rsid w:val="003E15D4"/>
    <w:rsid w:val="0040319A"/>
    <w:rsid w:val="00411CCE"/>
    <w:rsid w:val="0041666E"/>
    <w:rsid w:val="00421060"/>
    <w:rsid w:val="004649D0"/>
    <w:rsid w:val="00471C19"/>
    <w:rsid w:val="004867E3"/>
    <w:rsid w:val="00494A28"/>
    <w:rsid w:val="004C0004"/>
    <w:rsid w:val="004C5D52"/>
    <w:rsid w:val="0050519A"/>
    <w:rsid w:val="005072A1"/>
    <w:rsid w:val="00514517"/>
    <w:rsid w:val="00545827"/>
    <w:rsid w:val="00560270"/>
    <w:rsid w:val="005A64AE"/>
    <w:rsid w:val="005C2568"/>
    <w:rsid w:val="005C465D"/>
    <w:rsid w:val="005F1B17"/>
    <w:rsid w:val="006037C0"/>
    <w:rsid w:val="006631B6"/>
    <w:rsid w:val="00680577"/>
    <w:rsid w:val="006D5AF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C74"/>
    <w:rsid w:val="00A1687D"/>
    <w:rsid w:val="00A43E52"/>
    <w:rsid w:val="00A4678D"/>
    <w:rsid w:val="00A730F9"/>
    <w:rsid w:val="00A778C7"/>
    <w:rsid w:val="00A87E1B"/>
    <w:rsid w:val="00AB441E"/>
    <w:rsid w:val="00AB6293"/>
    <w:rsid w:val="00AE0928"/>
    <w:rsid w:val="00AF3B82"/>
    <w:rsid w:val="00B12E95"/>
    <w:rsid w:val="00B22876"/>
    <w:rsid w:val="00B558F0"/>
    <w:rsid w:val="00B64706"/>
    <w:rsid w:val="00B96809"/>
    <w:rsid w:val="00BD48FE"/>
    <w:rsid w:val="00BD7BD8"/>
    <w:rsid w:val="00BE6ADC"/>
    <w:rsid w:val="00C05BFE"/>
    <w:rsid w:val="00C23CD4"/>
    <w:rsid w:val="00C32A5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6B56B"/>
  <w15:chartTrackingRefBased/>
  <w15:docId w15:val="{E73F6E8D-108E-456C-BB37-F147A6A6A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649D0"/>
    <w:pPr>
      <w:spacing w:before="480" w:after="240"/>
    </w:pPr>
  </w:style>
  <w:style w:type="paragraph" w:customStyle="1" w:styleId="NormalHanging12a">
    <w:name w:val="NormalHanging12a"/>
    <w:basedOn w:val="Normal"/>
    <w:uiPriority w:val="99"/>
    <w:qFormat/>
    <w:rsid w:val="004649D0"/>
    <w:pPr>
      <w:spacing w:after="240"/>
      <w:ind w:left="567" w:hanging="567"/>
    </w:pPr>
  </w:style>
  <w:style w:type="character" w:styleId="Hyperlink">
    <w:name w:val="Hyperlink"/>
    <w:basedOn w:val="DefaultParagraphFont"/>
    <w:uiPriority w:val="99"/>
    <w:rsid w:val="004649D0"/>
    <w:rPr>
      <w:color w:val="0563C1" w:themeColor="hyperlink"/>
      <w:u w:val="single"/>
    </w:rPr>
  </w:style>
  <w:style w:type="paragraph" w:styleId="NormalWeb">
    <w:name w:val="Normal (Web)"/>
    <w:basedOn w:val="Normal"/>
    <w:uiPriority w:val="99"/>
    <w:unhideWhenUsed/>
    <w:rsid w:val="004649D0"/>
    <w:pPr>
      <w:widowControl/>
      <w:spacing w:before="100" w:beforeAutospacing="1" w:after="100" w:afterAutospacing="1"/>
    </w:pPr>
    <w:rPr>
      <w:szCs w:val="24"/>
    </w:rPr>
  </w:style>
  <w:style w:type="paragraph" w:styleId="Revision">
    <w:name w:val="Revision"/>
    <w:hidden/>
    <w:uiPriority w:val="99"/>
    <w:semiHidden/>
    <w:rsid w:val="00B64706"/>
    <w:rPr>
      <w:sz w:val="24"/>
      <w:lang w:val="es-ES_tradnl"/>
    </w:rPr>
  </w:style>
  <w:style w:type="character" w:styleId="FollowedHyperlink">
    <w:name w:val="FollowedHyperlink"/>
    <w:basedOn w:val="DefaultParagraphFont"/>
    <w:rsid w:val="00B647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geoforum.2009.03.009"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02/ps.8105"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186/2190-4715-24-24"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es"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007/s00267-015-0589-7" TargetMode="External"/><Relationship Id="rId23" Type="http://schemas.openxmlformats.org/officeDocument/2006/relationships/hyperlink" Target="https://ec.europa.eu/commission/presscorner/detail/en/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1863</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ÁLVAREZ PENA Ana</cp:lastModifiedBy>
  <cp:revision>2</cp:revision>
  <cp:lastPrinted>2004-11-19T15:42:00Z</cp:lastPrinted>
  <dcterms:created xsi:type="dcterms:W3CDTF">2026-02-03T09:48:00Z</dcterms:created>
  <dcterms:modified xsi:type="dcterms:W3CDTF">2026-02-03T09:48:00Z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B10-0562/2025</vt:lpwstr>
  </property>
  <property fmtid="{D5CDD505-2E9C-101B-9397-08002B2CF9AE}" pid="4" name="&lt;Type&gt;">
    <vt:lpwstr>RR</vt:lpwstr>
  </property>
</Properties>
</file>