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08F3" w14:paraId="35108526" w14:textId="77777777" w:rsidTr="0010095E">
        <w:trPr>
          <w:trHeight w:hRule="exact" w:val="1418"/>
        </w:trPr>
        <w:tc>
          <w:tcPr>
            <w:tcW w:w="6804" w:type="dxa"/>
            <w:shd w:val="clear" w:color="auto" w:fill="auto"/>
            <w:vAlign w:val="center"/>
          </w:tcPr>
          <w:p w14:paraId="233488CD" w14:textId="77777777" w:rsidR="00751A4A" w:rsidRPr="006908F3" w:rsidRDefault="004A5B33" w:rsidP="0010095E">
            <w:pPr>
              <w:pStyle w:val="EPName"/>
            </w:pPr>
            <w:r w:rsidRPr="006908F3">
              <w:t>Euroopa Parlament</w:t>
            </w:r>
          </w:p>
          <w:p w14:paraId="3170ECFA" w14:textId="77777777" w:rsidR="00751A4A" w:rsidRPr="006908F3" w:rsidRDefault="005F1B17" w:rsidP="005F1B17">
            <w:pPr>
              <w:pStyle w:val="EPTerm"/>
              <w:rPr>
                <w:rStyle w:val="HideTWBExt"/>
                <w:noProof w:val="0"/>
                <w:vanish w:val="0"/>
                <w:color w:val="auto"/>
              </w:rPr>
            </w:pPr>
            <w:r w:rsidRPr="006908F3">
              <w:t>2024</w:t>
            </w:r>
            <w:r w:rsidR="00817416" w:rsidRPr="006908F3">
              <w:t>-202</w:t>
            </w:r>
            <w:r w:rsidRPr="006908F3">
              <w:t>9</w:t>
            </w:r>
          </w:p>
        </w:tc>
        <w:tc>
          <w:tcPr>
            <w:tcW w:w="2268" w:type="dxa"/>
            <w:shd w:val="clear" w:color="auto" w:fill="auto"/>
          </w:tcPr>
          <w:p w14:paraId="543FF7C1" w14:textId="77777777" w:rsidR="00751A4A" w:rsidRPr="006908F3" w:rsidRDefault="00187494" w:rsidP="0010095E">
            <w:pPr>
              <w:pStyle w:val="EPLogo"/>
            </w:pPr>
            <w:r w:rsidRPr="006908F3">
              <w:rPr>
                <w:noProof/>
                <w:lang w:eastAsia="ja-JP"/>
              </w:rPr>
              <w:drawing>
                <wp:inline distT="0" distB="0" distL="0" distR="0" wp14:anchorId="60C8FF36" wp14:editId="19F3A3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D0DB12" w14:textId="77777777" w:rsidR="00D058B8" w:rsidRPr="006908F3" w:rsidRDefault="00D058B8" w:rsidP="004C5D52">
      <w:pPr>
        <w:pStyle w:val="LineTop"/>
      </w:pPr>
    </w:p>
    <w:p w14:paraId="48711A54" w14:textId="77777777" w:rsidR="00680577" w:rsidRPr="006908F3" w:rsidRDefault="004A5B33" w:rsidP="00680577">
      <w:pPr>
        <w:pStyle w:val="EPBodyTA1"/>
      </w:pPr>
      <w:r w:rsidRPr="006908F3">
        <w:t>VASTUVÕETUD TEKSTID</w:t>
      </w:r>
    </w:p>
    <w:p w14:paraId="360BEBB9" w14:textId="77777777" w:rsidR="00D058B8" w:rsidRPr="006908F3" w:rsidRDefault="00D058B8" w:rsidP="00D058B8">
      <w:pPr>
        <w:pStyle w:val="LineBottom"/>
      </w:pPr>
    </w:p>
    <w:p w14:paraId="025EDE92" w14:textId="2D53982D" w:rsidR="004A5B33" w:rsidRPr="006908F3" w:rsidRDefault="004A5B33" w:rsidP="004A5B33">
      <w:pPr>
        <w:pStyle w:val="ATHeading1"/>
      </w:pPr>
      <w:bookmarkStart w:id="0" w:name="TANumber"/>
      <w:r w:rsidRPr="006908F3">
        <w:t>P10_TA(2025)0</w:t>
      </w:r>
      <w:r w:rsidR="00162EF0" w:rsidRPr="006908F3">
        <w:t>327</w:t>
      </w:r>
      <w:bookmarkEnd w:id="0"/>
    </w:p>
    <w:p w14:paraId="0C8D29A9" w14:textId="6FBF6BD5" w:rsidR="004A5B33" w:rsidRPr="006908F3" w:rsidRDefault="00FF00B2" w:rsidP="004A5B33">
      <w:pPr>
        <w:pStyle w:val="ATHeading2"/>
      </w:pPr>
      <w:bookmarkStart w:id="1" w:name="title"/>
      <w:r w:rsidRPr="006908F3">
        <w:t>G</w:t>
      </w:r>
      <w:r w:rsidR="004A5B33" w:rsidRPr="006908F3">
        <w:t>eneetiliselt muundatud mais NK603</w:t>
      </w:r>
    </w:p>
    <w:p w14:paraId="1E83E8BA" w14:textId="77777777" w:rsidR="004A5B33" w:rsidRPr="006908F3" w:rsidRDefault="004A5B33" w:rsidP="004A5B33">
      <w:pPr>
        <w:rPr>
          <w:i/>
          <w:vanish/>
        </w:rPr>
      </w:pPr>
      <w:r w:rsidRPr="006908F3">
        <w:rPr>
          <w:i/>
        </w:rPr>
        <w:fldChar w:fldCharType="begin"/>
      </w:r>
      <w:r w:rsidRPr="006908F3">
        <w:rPr>
          <w:i/>
        </w:rPr>
        <w:instrText xml:space="preserve"> TC"(</w:instrText>
      </w:r>
      <w:bookmarkStart w:id="2" w:name="DocNumber"/>
      <w:r w:rsidRPr="006908F3">
        <w:rPr>
          <w:i/>
        </w:rPr>
        <w:instrText>B10-0562/2025</w:instrText>
      </w:r>
      <w:bookmarkEnd w:id="2"/>
      <w:r w:rsidRPr="006908F3">
        <w:rPr>
          <w:i/>
        </w:rPr>
        <w:instrText xml:space="preserve">)"\l3 \n&gt; \* MERGEFORMAT </w:instrText>
      </w:r>
      <w:r w:rsidRPr="006908F3">
        <w:rPr>
          <w:i/>
        </w:rPr>
        <w:fldChar w:fldCharType="end"/>
      </w:r>
    </w:p>
    <w:p w14:paraId="4583F81C" w14:textId="77777777" w:rsidR="004A5B33" w:rsidRPr="006908F3" w:rsidRDefault="004A5B33" w:rsidP="004A5B33">
      <w:pPr>
        <w:rPr>
          <w:vanish/>
        </w:rPr>
      </w:pPr>
      <w:bookmarkStart w:id="3" w:name="PE"/>
      <w:r w:rsidRPr="006908F3">
        <w:rPr>
          <w:vanish/>
        </w:rPr>
        <w:t>PE779.397</w:t>
      </w:r>
      <w:bookmarkEnd w:id="3"/>
    </w:p>
    <w:p w14:paraId="01F771A9" w14:textId="1D98CEA1" w:rsidR="004A5B33" w:rsidRPr="006908F3" w:rsidRDefault="004A5B33" w:rsidP="0015729A">
      <w:pPr>
        <w:pStyle w:val="ATHeading3"/>
      </w:pPr>
      <w:bookmarkStart w:id="4" w:name="Sujet"/>
      <w:r w:rsidRPr="006908F3">
        <w:t xml:space="preserve">Euroopa Parlamendi </w:t>
      </w:r>
      <w:r w:rsidR="0015729A" w:rsidRPr="006908F3">
        <w:t xml:space="preserve">16. detsembri </w:t>
      </w:r>
      <w:r w:rsidRPr="006908F3">
        <w:t>2025. aasta resolutsioon komisjoni rakendusotsuse eelnõu kohta, millega pikendatakse geneetiliselt muundatud maisi NK603 sisaldavate, sellest koosnevate või sellest valmistatud toodete turule laskmise loa kehtivust vastavalt Euroopa Parlamendi ja nõukogu määrusele (EÜ) nr 1829/2003</w:t>
      </w:r>
      <w:bookmarkEnd w:id="4"/>
      <w:r w:rsidRPr="006908F3">
        <w:t xml:space="preserve"> </w:t>
      </w:r>
      <w:bookmarkStart w:id="5" w:name="References"/>
      <w:r w:rsidRPr="006908F3">
        <w:t>(D110123/02 – 2025/2958(RSP))</w:t>
      </w:r>
      <w:bookmarkEnd w:id="5"/>
    </w:p>
    <w:p w14:paraId="261F949F" w14:textId="77777777" w:rsidR="00BC1DEC" w:rsidRPr="006908F3" w:rsidRDefault="00BC1DEC" w:rsidP="00BC1DEC">
      <w:pPr>
        <w:pStyle w:val="EPComma"/>
      </w:pPr>
      <w:bookmarkStart w:id="6" w:name="TextBodyBegin"/>
      <w:bookmarkEnd w:id="1"/>
      <w:bookmarkEnd w:id="6"/>
      <w:r w:rsidRPr="006908F3">
        <w:rPr>
          <w:i/>
        </w:rPr>
        <w:t>Euroopa Parlament,</w:t>
      </w:r>
    </w:p>
    <w:p w14:paraId="24954C97" w14:textId="77777777" w:rsidR="00BC1DEC" w:rsidRPr="006908F3" w:rsidRDefault="00BC1DEC" w:rsidP="00BC1DEC">
      <w:pPr>
        <w:pStyle w:val="NormalHanging12a"/>
      </w:pPr>
      <w:r w:rsidRPr="006908F3">
        <w:t>–</w:t>
      </w:r>
      <w:r w:rsidRPr="006908F3">
        <w:tab/>
        <w:t>võttes arvesse komisjoni rakendusotsuse eelnõu, millega pikendatakse geneetiliselt muundatud maisi NK603 sisaldavate, sellest koosnevate või sellest valmistatud toodete turule laskmise loa kehtivust vastavalt Euroopa Parlamendi ja nõukogu määrusele (EÜ) nr 1829/2003 (D110123/02),</w:t>
      </w:r>
    </w:p>
    <w:p w14:paraId="0EA7F282" w14:textId="77777777" w:rsidR="00BC1DEC" w:rsidRPr="006908F3" w:rsidRDefault="00BC1DEC" w:rsidP="00BC1DEC">
      <w:pPr>
        <w:pStyle w:val="NormalHanging12a"/>
      </w:pPr>
      <w:r w:rsidRPr="006908F3">
        <w:t>–</w:t>
      </w:r>
      <w:r w:rsidRPr="006908F3">
        <w:tab/>
        <w:t>võttes arvesse Euroopa Parlamendi ja nõukogu 22. septembri 2003. aasta määrust (EÜ) nr 1829/2003 geneetiliselt muundatud toidu ja sööda kohta</w:t>
      </w:r>
      <w:r w:rsidRPr="006908F3">
        <w:rPr>
          <w:vertAlign w:val="superscript"/>
        </w:rPr>
        <w:footnoteReference w:id="1"/>
      </w:r>
      <w:r w:rsidRPr="006908F3">
        <w:t>, eriti selle artikli 11 lõiget 3 ja artikli 22 lõiget 3,</w:t>
      </w:r>
    </w:p>
    <w:p w14:paraId="5C0F1ACD" w14:textId="2F2AD12A" w:rsidR="00BC1DEC" w:rsidRPr="006908F3" w:rsidRDefault="00BC1DEC" w:rsidP="00BC1DEC">
      <w:pPr>
        <w:pStyle w:val="NormalHanging12a"/>
      </w:pPr>
      <w:r w:rsidRPr="006908F3">
        <w:t>–</w:t>
      </w:r>
      <w:r w:rsidRPr="006908F3">
        <w:tab/>
        <w:t>võttes arvesse määruse (EÜ) nr 1829/2003 artiklis 35 osutatud alalises taime-, looma-, toidu- ja söödakomitees 14. oktoobril 2025 toimunud hääletust, mille tulemusel arvamust ei esitatud,</w:t>
      </w:r>
      <w:r w:rsidR="00617C5A" w:rsidRPr="006908F3">
        <w:t xml:space="preserve"> ning 28. novembril 2025 apellatsioonikomitees toimunud hääletust, mille tulemusel samuti arvamust ei esitatud.</w:t>
      </w:r>
    </w:p>
    <w:p w14:paraId="4A83FF71" w14:textId="77777777" w:rsidR="00BC1DEC" w:rsidRPr="006908F3" w:rsidRDefault="00BC1DEC" w:rsidP="00BC1DEC">
      <w:pPr>
        <w:pStyle w:val="NormalHanging12a"/>
        <w:widowControl/>
        <w:rPr>
          <w:szCs w:val="24"/>
        </w:rPr>
      </w:pPr>
      <w:r w:rsidRPr="006908F3">
        <w:t>–</w:t>
      </w:r>
      <w:r w:rsidRPr="006908F3">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 artiklit 11</w:t>
      </w:r>
      <w:r w:rsidRPr="006908F3">
        <w:rPr>
          <w:rStyle w:val="FootnoteReference"/>
          <w:szCs w:val="24"/>
        </w:rPr>
        <w:footnoteReference w:id="2"/>
      </w:r>
      <w:r w:rsidRPr="006908F3">
        <w:t>,</w:t>
      </w:r>
    </w:p>
    <w:p w14:paraId="44EB6B24" w14:textId="6C24BF36" w:rsidR="00BC1DEC" w:rsidRPr="006908F3" w:rsidRDefault="00BC1DEC" w:rsidP="00BC1DEC">
      <w:pPr>
        <w:pStyle w:val="NormalHanging12a"/>
      </w:pPr>
      <w:r w:rsidRPr="006908F3">
        <w:t>–</w:t>
      </w:r>
      <w:r w:rsidRPr="006908F3">
        <w:tab/>
        <w:t xml:space="preserve">võttes arvesse Euroopa Toiduohutusameti (EFSA) 22. mail 2025 vastu võetud ja 20. </w:t>
      </w:r>
      <w:r w:rsidRPr="006908F3">
        <w:lastRenderedPageBreak/>
        <w:t>juunil 2025 avaldatud arvamust</w:t>
      </w:r>
      <w:r w:rsidRPr="006908F3">
        <w:rPr>
          <w:rStyle w:val="FootnoteReference"/>
        </w:rPr>
        <w:footnoteReference w:id="3"/>
      </w:r>
      <w:r w:rsidRPr="006908F3">
        <w:t>,</w:t>
      </w:r>
    </w:p>
    <w:p w14:paraId="167A1CCC" w14:textId="77777777" w:rsidR="00BC1DEC" w:rsidRPr="006908F3" w:rsidRDefault="00BC1DEC" w:rsidP="00BC1DEC">
      <w:pPr>
        <w:pStyle w:val="NormalHanging12a"/>
      </w:pPr>
      <w:r w:rsidRPr="006908F3">
        <w:t>–</w:t>
      </w:r>
      <w:r w:rsidRPr="006908F3">
        <w:tab/>
        <w:t>võttes arvesse oma varasemaid resolutsioone, milles on esitatud vastuväited geneetiliselt muundatud organismide lubamise kohta</w:t>
      </w:r>
      <w:r w:rsidRPr="006908F3">
        <w:rPr>
          <w:rStyle w:val="FootnoteReference"/>
        </w:rPr>
        <w:footnoteReference w:id="4"/>
      </w:r>
      <w:r w:rsidRPr="006908F3">
        <w:t>,</w:t>
      </w:r>
    </w:p>
    <w:p w14:paraId="65AF73FB" w14:textId="77777777" w:rsidR="00BC1DEC" w:rsidRPr="006908F3" w:rsidRDefault="00BC1DEC" w:rsidP="00BC1DEC">
      <w:pPr>
        <w:pStyle w:val="NormalHanging12a"/>
      </w:pPr>
      <w:r w:rsidRPr="006908F3">
        <w:lastRenderedPageBreak/>
        <w:t>–</w:t>
      </w:r>
      <w:r w:rsidRPr="006908F3">
        <w:tab/>
        <w:t>võttes arvesse kodukorra artikli 115 lõikeid 2 ja 3,</w:t>
      </w:r>
    </w:p>
    <w:p w14:paraId="17015507" w14:textId="77777777" w:rsidR="00BC1DEC" w:rsidRPr="006908F3" w:rsidRDefault="00BC1DEC" w:rsidP="00BC1DEC">
      <w:pPr>
        <w:pStyle w:val="NormalHanging12a"/>
      </w:pPr>
      <w:r w:rsidRPr="006908F3">
        <w:t>–</w:t>
      </w:r>
      <w:r w:rsidRPr="006908F3">
        <w:tab/>
        <w:t>võttes arvesse keskkonna-, kliima- ja toiduohutuse komisjoni resolutsiooni ettepanekut,</w:t>
      </w:r>
    </w:p>
    <w:p w14:paraId="2927B626" w14:textId="37FC6AC2" w:rsidR="00BC1DEC" w:rsidRPr="006908F3" w:rsidRDefault="00BC1DEC" w:rsidP="00BC1DEC">
      <w:pPr>
        <w:pStyle w:val="NormalHanging12a"/>
      </w:pPr>
      <w:r w:rsidRPr="006908F3">
        <w:t>A.</w:t>
      </w:r>
      <w:r w:rsidRPr="006908F3">
        <w:tab/>
        <w:t>arvestades, et komisjoni rakendusotsusega (EL) 2015/684</w:t>
      </w:r>
      <w:r w:rsidRPr="006908F3">
        <w:rPr>
          <w:rStyle w:val="FootnoteReference"/>
        </w:rPr>
        <w:footnoteReference w:id="5"/>
      </w:r>
      <w:r w:rsidRPr="006908F3">
        <w:rPr>
          <w:rFonts w:ascii="EUAlbertina" w:hAnsi="EUAlbertina"/>
        </w:rPr>
        <w:t xml:space="preserve"> </w:t>
      </w:r>
      <w:r w:rsidRPr="006908F3">
        <w:t>anti luba lasta turule geneetiliselt muundatud maisi NK603 (edaspidi „geneetiliselt muundatud mais“) sisaldavat, sellest koosnevat või sellest toodetud toitu ja sööta</w:t>
      </w:r>
      <w:r w:rsidR="00B54330" w:rsidRPr="006908F3">
        <w:t>.</w:t>
      </w:r>
      <w:r w:rsidRPr="006908F3">
        <w:t xml:space="preserve"> Kõnealune luba hõlmab ka geneetiliselt muundatud maisi NK603 sisaldavate või sellest koosnevate muude toodete kui toidu ja sööda turule</w:t>
      </w:r>
      <w:r w:rsidR="00FF1B8B" w:rsidRPr="006908F3">
        <w:t xml:space="preserve"> laskmist </w:t>
      </w:r>
      <w:r w:rsidRPr="006908F3">
        <w:t>muu maisiga samal otstarbel, välja arvatud viljelemiseks;</w:t>
      </w:r>
    </w:p>
    <w:p w14:paraId="7383AA04" w14:textId="77777777" w:rsidR="00BC1DEC" w:rsidRPr="006908F3" w:rsidRDefault="00BC1DEC" w:rsidP="00BC1DEC">
      <w:pPr>
        <w:pStyle w:val="NormalHanging12a"/>
      </w:pPr>
      <w:r w:rsidRPr="006908F3">
        <w:t>B.</w:t>
      </w:r>
      <w:r w:rsidRPr="006908F3">
        <w:tab/>
        <w:t xml:space="preserve">arvestades, et Belgias asuv äriühing Bayer </w:t>
      </w:r>
      <w:proofErr w:type="spellStart"/>
      <w:r w:rsidRPr="006908F3">
        <w:t>Agriculture</w:t>
      </w:r>
      <w:proofErr w:type="spellEnd"/>
      <w:r w:rsidRPr="006908F3">
        <w:t xml:space="preserve"> B. V. esitas 11. märtsil 2024 Ameerika Ühendriikides asuva äriühingu Bayer </w:t>
      </w:r>
      <w:proofErr w:type="spellStart"/>
      <w:r w:rsidRPr="006908F3">
        <w:t>CropScience</w:t>
      </w:r>
      <w:proofErr w:type="spellEnd"/>
      <w:r w:rsidRPr="006908F3">
        <w:t xml:space="preserve"> LP nimel komisjonile määruse (EÜ) nr 1829/2003 artiklite 11 ja 23 kohase taotluse kõnealuse loa kehtivuse pikendamiseks;</w:t>
      </w:r>
    </w:p>
    <w:p w14:paraId="1D1E4FF8" w14:textId="45548C8E" w:rsidR="00BC1DEC" w:rsidRPr="006908F3" w:rsidRDefault="00BC1DEC" w:rsidP="00BC1DEC">
      <w:pPr>
        <w:pStyle w:val="NormalHanging12a"/>
      </w:pPr>
      <w:r w:rsidRPr="006908F3">
        <w:rPr>
          <w:color w:val="000000"/>
        </w:rPr>
        <w:t>C.</w:t>
      </w:r>
      <w:r w:rsidRPr="006908F3">
        <w:rPr>
          <w:color w:val="000000"/>
        </w:rPr>
        <w:tab/>
        <w:t xml:space="preserve">arvestades, et 20. juunil </w:t>
      </w:r>
      <w:r w:rsidRPr="006908F3">
        <w:t>2025</w:t>
      </w:r>
      <w:r w:rsidRPr="006908F3">
        <w:rPr>
          <w:color w:val="000000"/>
        </w:rPr>
        <w:t xml:space="preserve"> </w:t>
      </w:r>
      <w:r w:rsidRPr="006908F3">
        <w:t>esitas EFSA kooskõlas määruse (EÜ) nr 1829/2003 artiklitega 6 ja 18 geneetiliselt muundatud maisi kohta heakskiitva teadusliku arvamuse, milles jõuti järeldusele, et pikendamistaotluses puuduvad tõendid uute ohtude, kokkupuuteviisi muutumise või teadusliku ebakindluse kohta, millest lähtuvalt võiks olla vaja muuta geneetiliselt muundatud maisi kohta tehtud algset riskihindamist käsitlevaid järeldusi, mille EFSA võttis vastu 2009. aastal</w:t>
      </w:r>
      <w:r w:rsidRPr="006908F3">
        <w:rPr>
          <w:rStyle w:val="FootnoteReference"/>
          <w:szCs w:val="24"/>
        </w:rPr>
        <w:footnoteReference w:id="6"/>
      </w:r>
      <w:r w:rsidRPr="006908F3">
        <w:t xml:space="preserve">; arvestades, et nendes arvamustes ei käsitletud mitut laiemat keskkonna-, </w:t>
      </w:r>
      <w:proofErr w:type="spellStart"/>
      <w:r w:rsidRPr="006908F3">
        <w:t>sotsiaal-majanduslikku</w:t>
      </w:r>
      <w:proofErr w:type="spellEnd"/>
      <w:r w:rsidRPr="006908F3">
        <w:t xml:space="preserve"> ja kumulatiivset mõju, mis EFSA arvates ei kuulu tema pädevusse;</w:t>
      </w:r>
    </w:p>
    <w:p w14:paraId="2EEEA1F4" w14:textId="77777777" w:rsidR="00BC1DEC" w:rsidRPr="006908F3" w:rsidRDefault="00BC1DEC" w:rsidP="00BC1DEC">
      <w:pPr>
        <w:pStyle w:val="NormalHanging12a"/>
      </w:pPr>
      <w:r w:rsidRPr="006908F3">
        <w:t>D.</w:t>
      </w:r>
      <w:r w:rsidRPr="006908F3">
        <w:tab/>
        <w:t xml:space="preserve">arvestades, et geneetiliselt muundatud mais on välja töötatud </w:t>
      </w:r>
      <w:proofErr w:type="spellStart"/>
      <w:r w:rsidRPr="006908F3">
        <w:t>glüfosaadi</w:t>
      </w:r>
      <w:proofErr w:type="spellEnd"/>
      <w:r w:rsidRPr="006908F3">
        <w:t xml:space="preserve"> suhtes tolerantsuse saavutamiseks; </w:t>
      </w:r>
    </w:p>
    <w:p w14:paraId="13C7E4B6" w14:textId="316331AB" w:rsidR="00BC1DEC" w:rsidRPr="006908F3" w:rsidRDefault="00BC1DEC" w:rsidP="00BC1DEC">
      <w:pPr>
        <w:pStyle w:val="NormalHanging12a"/>
      </w:pPr>
      <w:r w:rsidRPr="006908F3">
        <w:t>E.</w:t>
      </w:r>
      <w:r w:rsidRPr="006908F3">
        <w:tab/>
        <w:t xml:space="preserve">arvestades, et EFSA tehtud riskihindamised ei hõlmanud pikaajalisi toksikoloogilisi uuringuid ega kumulatiivse ja kombineeritud mõju üksikasjalikku analüüsi, sealhulgas </w:t>
      </w:r>
      <w:r w:rsidRPr="006908F3">
        <w:lastRenderedPageBreak/>
        <w:t>võimalikku koostoimet maisi kasvatamisel tavaliselt kasutatavate pestitsiidijääkidega;</w:t>
      </w:r>
    </w:p>
    <w:p w14:paraId="769DD023" w14:textId="77777777" w:rsidR="00BC1DEC" w:rsidRPr="006908F3" w:rsidRDefault="00BC1DEC" w:rsidP="00BC1DEC">
      <w:pPr>
        <w:pStyle w:val="NormalHanging12a"/>
        <w:rPr>
          <w:color w:val="000000" w:themeColor="text1"/>
          <w:szCs w:val="24"/>
        </w:rPr>
      </w:pPr>
      <w:r w:rsidRPr="006908F3">
        <w:rPr>
          <w:color w:val="000000" w:themeColor="text1"/>
        </w:rPr>
        <w:t>F.</w:t>
      </w:r>
      <w:r w:rsidRPr="006908F3">
        <w:rPr>
          <w:color w:val="000000" w:themeColor="text1"/>
        </w:rPr>
        <w:tab/>
      </w:r>
      <w:r w:rsidRPr="006908F3">
        <w:t xml:space="preserve">arvestades, et valdavat osa geneetiliselt muundatud põllukultuuridest, sealhulgas geneetiliselt muundatud maisi, on geneetiliselt muundatud nii, et need on tolerantsed vähemalt veel ühe herbitsiidi suhtes, mida saab kasutada kogu geneetiliselt muundatud kultuuri kasvatamise ajal, ilma et taimed sureks, nagu juhtuks herbitsiidide suhtes mittetolerantsete kultuuride puhul; </w:t>
      </w:r>
      <w:r w:rsidRPr="006908F3">
        <w:rPr>
          <w:color w:val="000000" w:themeColor="text1"/>
        </w:rPr>
        <w:t>arvestades, et mitu uuringut näitab, et herbitsiiditolerantsete geneetiliselt muundatud kultuuride kasvatamise tõttu hakatakse rohkem kasutama lisaherbitsiide, seda peamiselt herbitsiiditolerantse umbrohu tekke tõttu</w:t>
      </w:r>
      <w:r w:rsidRPr="006908F3">
        <w:rPr>
          <w:rStyle w:val="FootnoteReference"/>
          <w:color w:val="000000" w:themeColor="text1"/>
          <w:szCs w:val="24"/>
        </w:rPr>
        <w:footnoteReference w:id="7"/>
      </w:r>
      <w:r w:rsidRPr="006908F3">
        <w:rPr>
          <w:color w:val="000000" w:themeColor="text1"/>
        </w:rPr>
        <w:t>;</w:t>
      </w:r>
    </w:p>
    <w:p w14:paraId="1F46CD7F" w14:textId="77777777" w:rsidR="00BC1DEC" w:rsidRPr="006908F3" w:rsidRDefault="00BC1DEC" w:rsidP="00BC1DEC">
      <w:pPr>
        <w:spacing w:after="240"/>
        <w:ind w:left="567" w:hanging="567"/>
        <w:rPr>
          <w:szCs w:val="24"/>
        </w:rPr>
      </w:pPr>
      <w:r w:rsidRPr="006908F3">
        <w:t>G.</w:t>
      </w:r>
      <w:r w:rsidRPr="006908F3">
        <w:tab/>
        <w:t xml:space="preserve">arvestades, et </w:t>
      </w:r>
      <w:r w:rsidRPr="006908F3">
        <w:rPr>
          <w:color w:val="000000" w:themeColor="text1"/>
        </w:rPr>
        <w:t>herbitsiiditolerantsete geneetiliselt muundatud kultuuride puhul sõltuvad põllumajandustootjad umbrohutõrjesüsteemist, mis põhineb suures osas või täielikult herbitsiididel, nõudes neilt geneetiliselt muundatud seemnete eest lisatasu, mis on õigustatud ainult siis, kui selliseid seemneid ostvad põllumajandustootjad kasutavad ka lisaherbitsiide; arvestades, et geneetiliselt muundatud maisi kasvatavate põllumajandusettevõtete suurem sõltuvus lisaherbitsiididest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r w:rsidRPr="006908F3">
        <w:rPr>
          <w:rStyle w:val="FootnoteReference"/>
          <w:color w:val="000000" w:themeColor="text1"/>
          <w:szCs w:val="24"/>
        </w:rPr>
        <w:footnoteReference w:id="8"/>
      </w:r>
      <w:r w:rsidRPr="006908F3">
        <w:rPr>
          <w:color w:val="000000" w:themeColor="text1"/>
        </w:rPr>
        <w:t>;</w:t>
      </w:r>
    </w:p>
    <w:p w14:paraId="7A46417F" w14:textId="3DA629B1" w:rsidR="00BC1DEC" w:rsidRPr="006908F3" w:rsidRDefault="00BC1DEC" w:rsidP="00BC1DEC">
      <w:pPr>
        <w:pStyle w:val="NormalHanging12a"/>
      </w:pPr>
      <w:r w:rsidRPr="006908F3">
        <w:t>H.</w:t>
      </w:r>
      <w:r w:rsidRPr="006908F3">
        <w:tab/>
        <w:t xml:space="preserve">arvestades, et </w:t>
      </w:r>
      <w:proofErr w:type="spellStart"/>
      <w:r w:rsidRPr="006908F3">
        <w:t>glüfosaadi</w:t>
      </w:r>
      <w:proofErr w:type="spellEnd"/>
      <w:r w:rsidRPr="006908F3">
        <w:t xml:space="preserve"> kantserogeensuse suhtes on endiselt tõsiseid küsimusi; arvestades, et EFSA jõudis 2015. aasta novembris järeldusele, et </w:t>
      </w:r>
      <w:proofErr w:type="spellStart"/>
      <w:r w:rsidRPr="006908F3">
        <w:t>glüfosaat</w:t>
      </w:r>
      <w:proofErr w:type="spellEnd"/>
      <w:r w:rsidRPr="006908F3">
        <w:t xml:space="preserve"> ei ole tõenäoliselt kantserogeenne, ja Euroopa Kemikaaliamet jõudis 2017. aasta märtsis järeldusele, et selle klassifitseerimata jätmine oli õigustatud; arvestades, et Maailma Terviseorganisatsiooni vähile spetsialiseerunud amet Rahvusvaheline </w:t>
      </w:r>
      <w:proofErr w:type="spellStart"/>
      <w:r w:rsidRPr="006908F3">
        <w:t>Vähiuurimiskeskus</w:t>
      </w:r>
      <w:proofErr w:type="spellEnd"/>
      <w:r w:rsidRPr="006908F3">
        <w:t xml:space="preserve"> seevastu klassifitseeris 2015. aastal </w:t>
      </w:r>
      <w:proofErr w:type="spellStart"/>
      <w:r w:rsidRPr="006908F3">
        <w:t>glüfosaadi</w:t>
      </w:r>
      <w:proofErr w:type="spellEnd"/>
      <w:r w:rsidRPr="006908F3">
        <w:t xml:space="preserve"> inimeste jaoks tõenäoliselt kantserogeenseks aineks; arvestades, et mitu hiljutist eelretsenseeritud teadusuuringut kinnitavad </w:t>
      </w:r>
      <w:proofErr w:type="spellStart"/>
      <w:r w:rsidRPr="006908F3">
        <w:t>glüfosaadi</w:t>
      </w:r>
      <w:proofErr w:type="spellEnd"/>
      <w:r w:rsidRPr="006908F3">
        <w:t xml:space="preserve"> võimalikku kantserogeenset toimet</w:t>
      </w:r>
      <w:r w:rsidRPr="006908F3">
        <w:rPr>
          <w:rStyle w:val="FootnoteReference"/>
        </w:rPr>
        <w:footnoteReference w:id="9"/>
      </w:r>
      <w:r w:rsidRPr="006908F3">
        <w:t>;</w:t>
      </w:r>
    </w:p>
    <w:p w14:paraId="744BA676" w14:textId="77777777" w:rsidR="00BC1DEC" w:rsidRPr="006908F3" w:rsidRDefault="00BC1DEC" w:rsidP="00BC1DEC">
      <w:pPr>
        <w:pStyle w:val="NormalHanging12a"/>
      </w:pPr>
      <w:r w:rsidRPr="006908F3">
        <w:t>I.</w:t>
      </w:r>
      <w:r w:rsidRPr="006908F3">
        <w:tab/>
        <w:t xml:space="preserve">arvestades, et Hispaanias ja Prantsusmaal teatatud geenivoolu oht looduslikele sugulastele, nagu </w:t>
      </w:r>
      <w:proofErr w:type="spellStart"/>
      <w:r w:rsidRPr="006908F3">
        <w:t>teosinte</w:t>
      </w:r>
      <w:proofErr w:type="spellEnd"/>
      <w:r w:rsidRPr="006908F3">
        <w:t xml:space="preserve">, tekitab muret </w:t>
      </w:r>
      <w:proofErr w:type="spellStart"/>
      <w:r w:rsidRPr="006908F3">
        <w:t>transgeeni</w:t>
      </w:r>
      <w:proofErr w:type="spellEnd"/>
      <w:r w:rsidRPr="006908F3">
        <w:t xml:space="preserve"> püsivuse ja keskkonnamõju pärast;</w:t>
      </w:r>
    </w:p>
    <w:p w14:paraId="153DEA7D" w14:textId="77777777" w:rsidR="00BC1DEC" w:rsidRPr="006908F3" w:rsidRDefault="00BC1DEC" w:rsidP="00BC1DEC">
      <w:pPr>
        <w:pStyle w:val="NormalHanging12a"/>
      </w:pPr>
      <w:r w:rsidRPr="006908F3">
        <w:lastRenderedPageBreak/>
        <w:t>J.</w:t>
      </w:r>
      <w:r w:rsidRPr="006908F3">
        <w:tab/>
        <w:t>arvestades, et elurikkusele, mulla seisundile, tolmeldajatele ja mittesihtorganismidele avalduva võimaliku kahjuliku mõju sõltumatu kontrollseire ei ole endiselt piisavalt tagatud;</w:t>
      </w:r>
    </w:p>
    <w:p w14:paraId="03598D5D" w14:textId="77777777" w:rsidR="00BC1DEC" w:rsidRPr="006908F3" w:rsidRDefault="00BC1DEC" w:rsidP="00BC1DEC">
      <w:pPr>
        <w:spacing w:after="240"/>
        <w:ind w:left="567" w:hanging="567"/>
      </w:pPr>
      <w:r w:rsidRPr="006908F3">
        <w:t>K.</w:t>
      </w:r>
      <w:r w:rsidRPr="006908F3">
        <w:tab/>
        <w:t>arvestades, et teadusliku ebakindluse korral tuleks kohaldada Euroopa Liidu toimimise lepingu artiklis 191 sätestatud ettevaatuspõhimõtet;</w:t>
      </w:r>
    </w:p>
    <w:p w14:paraId="1D90D4FF" w14:textId="77777777" w:rsidR="00BC1DEC" w:rsidRPr="006908F3" w:rsidRDefault="00BC1DEC" w:rsidP="00BC1DEC">
      <w:pPr>
        <w:spacing w:after="240"/>
        <w:ind w:left="567" w:hanging="567"/>
      </w:pPr>
      <w:r w:rsidRPr="006908F3">
        <w:t>L.</w:t>
      </w:r>
      <w:r w:rsidRPr="006908F3">
        <w:tab/>
        <w:t>arvestades, et määruses (EÜ) nr 1829/2003 nõutakse, et geneetiliselt muundatud toit ja sööt ei tohi avaldada kahjulikku mõju inimeste ja loomade tervisele ega keskkonnale;</w:t>
      </w:r>
    </w:p>
    <w:p w14:paraId="5847F48E" w14:textId="77777777" w:rsidR="00BC1DEC" w:rsidRPr="006908F3" w:rsidRDefault="00BC1DEC" w:rsidP="00BC1DEC">
      <w:pPr>
        <w:pStyle w:val="NormalWeb"/>
        <w:widowControl w:val="0"/>
        <w:spacing w:before="0" w:beforeAutospacing="0" w:after="240" w:afterAutospacing="0"/>
        <w:ind w:left="567" w:hanging="567"/>
      </w:pPr>
      <w:r w:rsidRPr="006908F3">
        <w:t>M.</w:t>
      </w:r>
      <w:r w:rsidRPr="006908F3">
        <w:tab/>
        <w:t>arvestades, et geneetiliselt muundatud maisi loa pikendamine liidu poolt ei oleks kooskõlas pestitsiidide vähendamist käsitlevate rahvusvaheliste kohustustega</w:t>
      </w:r>
      <w:r w:rsidRPr="006908F3">
        <w:rPr>
          <w:vertAlign w:val="superscript"/>
        </w:rPr>
        <w:footnoteReference w:id="10"/>
      </w:r>
      <w:r w:rsidRPr="006908F3">
        <w:t xml:space="preserve">, võttes arvesse inimeste, loomade ja keskkonna suuremat kokkupuudet </w:t>
      </w:r>
      <w:proofErr w:type="spellStart"/>
      <w:r w:rsidRPr="006908F3">
        <w:t>glüfosaadi</w:t>
      </w:r>
      <w:proofErr w:type="spellEnd"/>
      <w:r w:rsidRPr="006908F3">
        <w:t xml:space="preserve">, </w:t>
      </w:r>
      <w:proofErr w:type="spellStart"/>
      <w:r w:rsidRPr="006908F3">
        <w:t>dikamba</w:t>
      </w:r>
      <w:proofErr w:type="spellEnd"/>
      <w:r w:rsidRPr="006908F3">
        <w:t xml:space="preserve"> ja </w:t>
      </w:r>
      <w:proofErr w:type="spellStart"/>
      <w:r w:rsidRPr="006908F3">
        <w:t>glufosinaadiga</w:t>
      </w:r>
      <w:proofErr w:type="spellEnd"/>
      <w:r w:rsidRPr="006908F3">
        <w:t xml:space="preserve"> riikides, kus seda herbitsiiditolerantset geneetiliselt muundatud põllukultuuri kasvatatakse, ning sellega seotud võimalikke tõsiseid tervisemõjusid;</w:t>
      </w:r>
    </w:p>
    <w:p w14:paraId="5B7DD515" w14:textId="77777777" w:rsidR="00BC1DEC" w:rsidRPr="006908F3" w:rsidRDefault="00BC1DEC" w:rsidP="00BC1DEC">
      <w:pPr>
        <w:spacing w:after="240"/>
        <w:ind w:left="567" w:hanging="567"/>
      </w:pPr>
      <w:r w:rsidRPr="006908F3">
        <w:t>N.</w:t>
      </w:r>
      <w:r w:rsidRPr="006908F3">
        <w:tab/>
        <w:t>arvestades, et komisjoni rakendusotsusega lubataks jätkuvalt liitu importida tooteid, mis ei vasta liidu põllumajandustootjate järgitavatele standarditele, seades nad seeläbi ebasoodsasse konkurentsiolukorda;</w:t>
      </w:r>
    </w:p>
    <w:p w14:paraId="05647D3F" w14:textId="77777777" w:rsidR="00BC1DEC" w:rsidRPr="006908F3" w:rsidRDefault="00BC1DEC" w:rsidP="00BC1DEC">
      <w:pPr>
        <w:spacing w:after="240"/>
        <w:ind w:left="567" w:hanging="567"/>
      </w:pPr>
      <w:r w:rsidRPr="006908F3">
        <w:t>O.</w:t>
      </w:r>
      <w:r w:rsidRPr="006908F3">
        <w:tab/>
        <w:t>arvestades, et ELi põllumajanduse tulevikku käsitleva strateegilise dialoogi järeldustes</w:t>
      </w:r>
      <w:r w:rsidRPr="006908F3">
        <w:rPr>
          <w:rStyle w:val="FootnoteReference"/>
        </w:rPr>
        <w:footnoteReference w:id="11"/>
      </w:r>
      <w:r w:rsidRPr="006908F3">
        <w:t xml:space="preserve"> kutsutakse komisjoni üles uuesti hindama oma lähenemisviisi põllumajanduslike toiduainete impordi ja ekspordi </w:t>
      </w:r>
      <w:proofErr w:type="spellStart"/>
      <w:r w:rsidRPr="006908F3">
        <w:t>turulepääsule</w:t>
      </w:r>
      <w:proofErr w:type="spellEnd"/>
      <w:r w:rsidRPr="006908F3">
        <w:t>, võttes arvesse liidu ja selle kaubanduspartnerite lahknevate standardite probleemi; arvestades, et õiglasemad kaubandussuhted ülemaailmsel tasandil, mis on kooskõlas tervisliku keskkonna eesmärkidega, olid 2023. ja 2024. aasta meeleavaldustel põllumajandustootjate üks peamisi nõudmisi;</w:t>
      </w:r>
    </w:p>
    <w:p w14:paraId="7B257B9A" w14:textId="77777777" w:rsidR="00BC1DEC" w:rsidRPr="006908F3" w:rsidRDefault="00BC1DEC" w:rsidP="00BC1DEC">
      <w:pPr>
        <w:spacing w:after="240"/>
        <w:ind w:left="567" w:hanging="567"/>
      </w:pPr>
      <w:r w:rsidRPr="006908F3">
        <w:t>P.</w:t>
      </w:r>
      <w:r w:rsidRPr="006908F3">
        <w:tab/>
        <w:t xml:space="preserve">arvestades, et Euroopa Parlament on korduvalt rõhutanud, et komisjon ei tohiks anda luba </w:t>
      </w:r>
      <w:proofErr w:type="spellStart"/>
      <w:r w:rsidRPr="006908F3">
        <w:t>GMOdele</w:t>
      </w:r>
      <w:proofErr w:type="spellEnd"/>
      <w:r w:rsidRPr="006908F3">
        <w:t xml:space="preserve"> juhtudel, kui liikmesriigid ei saavuta alalises taime-, looma-, toidu- ja söödakomitees või apellatsioonikomitees kvalifitseeritud häälteenamust, et tegeleda demokraatia püsiva puudujäägiga;</w:t>
      </w:r>
    </w:p>
    <w:p w14:paraId="6803B91B" w14:textId="77777777" w:rsidR="00BC1DEC" w:rsidRPr="006908F3" w:rsidRDefault="00BC1DEC" w:rsidP="00BC1DEC">
      <w:pPr>
        <w:pStyle w:val="NormalWeb"/>
        <w:widowControl w:val="0"/>
        <w:shd w:val="clear" w:color="auto" w:fill="FFFFFF"/>
        <w:spacing w:before="0" w:beforeAutospacing="0" w:after="240" w:afterAutospacing="0"/>
        <w:ind w:left="567" w:hanging="567"/>
        <w:rPr>
          <w:color w:val="000000" w:themeColor="text1"/>
        </w:rPr>
      </w:pPr>
      <w:r w:rsidRPr="006908F3">
        <w:rPr>
          <w:color w:val="000000" w:themeColor="text1"/>
        </w:rPr>
        <w:t>Q.</w:t>
      </w:r>
      <w:r w:rsidRPr="006908F3">
        <w:rPr>
          <w:color w:val="000000" w:themeColor="text1"/>
        </w:rPr>
        <w:tab/>
        <w:t xml:space="preserve">arvestades, et kuigi komisjon tunnistab puudujääke demokraatlikus protsessis, liikmesriikide toetuse puudumist ja Euroopa Parlamendi vastuväiteid, jätkab ta siiski </w:t>
      </w:r>
      <w:proofErr w:type="spellStart"/>
      <w:r w:rsidRPr="006908F3">
        <w:rPr>
          <w:color w:val="000000" w:themeColor="text1"/>
        </w:rPr>
        <w:t>GMOdele</w:t>
      </w:r>
      <w:proofErr w:type="spellEnd"/>
      <w:r w:rsidRPr="006908F3">
        <w:rPr>
          <w:color w:val="000000" w:themeColor="text1"/>
        </w:rPr>
        <w:t xml:space="preserve"> lubade andmist;</w:t>
      </w:r>
    </w:p>
    <w:p w14:paraId="71E12BE1" w14:textId="77777777" w:rsidR="00BC1DEC" w:rsidRPr="006908F3" w:rsidRDefault="00BC1DEC" w:rsidP="00BC1DEC">
      <w:pPr>
        <w:spacing w:after="240"/>
        <w:ind w:left="567" w:hanging="567"/>
      </w:pPr>
      <w:r w:rsidRPr="006908F3">
        <w:t>R.</w:t>
      </w:r>
      <w:r w:rsidRPr="006908F3">
        <w:tab/>
        <w:t xml:space="preserve">arvestades, et terviseühtsuse põhimõtte kohaselt tuleb </w:t>
      </w:r>
      <w:proofErr w:type="spellStart"/>
      <w:r w:rsidRPr="006908F3">
        <w:t>GMOde</w:t>
      </w:r>
      <w:proofErr w:type="spellEnd"/>
      <w:r w:rsidRPr="006908F3">
        <w:t xml:space="preserve"> pikaajalise kestlikkuse ja ohutuse hindamisel arvesse võtta inimeste, loomade, taimede ja keskkonna tervise vastastikust sõltuvust;</w:t>
      </w:r>
    </w:p>
    <w:p w14:paraId="665D463B" w14:textId="77777777" w:rsidR="00BC1DEC" w:rsidRPr="006908F3" w:rsidRDefault="00BC1DEC" w:rsidP="00BC1DEC">
      <w:pPr>
        <w:spacing w:after="240"/>
        <w:ind w:left="567" w:hanging="567"/>
      </w:pPr>
      <w:r w:rsidRPr="006908F3">
        <w:t>1.</w:t>
      </w:r>
      <w:r w:rsidRPr="006908F3">
        <w:tab/>
        <w:t>on seisukohal, et komisjoni rakendusotsuse eelnõu ületab määruses (EÜ) nr 1829/2003 sätestatud rakendamisvolitusi;</w:t>
      </w:r>
    </w:p>
    <w:p w14:paraId="235C2A10" w14:textId="699856A3" w:rsidR="00BC1DEC" w:rsidRPr="006908F3" w:rsidRDefault="00BC1DEC" w:rsidP="00BC1DEC">
      <w:pPr>
        <w:spacing w:after="240"/>
        <w:ind w:left="567" w:hanging="567"/>
      </w:pPr>
      <w:r w:rsidRPr="006908F3">
        <w:t>2.</w:t>
      </w:r>
      <w:r w:rsidRPr="006908F3">
        <w:tab/>
        <w:t xml:space="preserve">on seisukohal, et komisjoni rakendusotsuse eelnõu on vastuolus liidu õigusega, sest see </w:t>
      </w:r>
      <w:r w:rsidRPr="006908F3">
        <w:lastRenderedPageBreak/>
        <w:t>ei ole kooskõlas määruse (EÜ) nr 1829/2003 eesmärgiga, milleks Euroopa Parlamendi ja nõukogu määruses (EÜ) nr 178/2002</w:t>
      </w:r>
      <w:r w:rsidRPr="006908F3">
        <w:rPr>
          <w:vertAlign w:val="superscript"/>
        </w:rPr>
        <w:footnoteReference w:id="12"/>
      </w:r>
      <w:r w:rsidR="00FF1B8B" w:rsidRPr="006908F3">
        <w:t xml:space="preserve"> sätestatud üldpõhimõtete kohaselt on</w:t>
      </w:r>
      <w:r w:rsidRPr="006908F3">
        <w:t xml:space="preserve"> luua alus inimeste elu ja tervise, loomade tervise ja heaolu ning keskkonna ja tarbijate huvide kaitse kõrge taseme tagamiseks seoses geneetiliselt muundatud toidu ja sööda kasutamisega ning tagada samal ajal ka siseturu tõhus toimimine;</w:t>
      </w:r>
    </w:p>
    <w:p w14:paraId="21C67F7B" w14:textId="77777777" w:rsidR="00BC1DEC" w:rsidRPr="006908F3" w:rsidRDefault="00BC1DEC" w:rsidP="00BC1DEC">
      <w:pPr>
        <w:spacing w:after="240"/>
        <w:ind w:left="567" w:hanging="567"/>
      </w:pPr>
      <w:r w:rsidRPr="006908F3">
        <w:t>3.</w:t>
      </w:r>
      <w:r w:rsidRPr="006908F3">
        <w:tab/>
        <w:t>palub komisjonil oma rakendusotsus tagasi võtta;</w:t>
      </w:r>
    </w:p>
    <w:p w14:paraId="57155917" w14:textId="77777777" w:rsidR="00BC1DEC" w:rsidRPr="006908F3" w:rsidRDefault="00BC1DEC" w:rsidP="00BC1DEC">
      <w:pPr>
        <w:spacing w:after="240"/>
        <w:ind w:left="567" w:hanging="567"/>
      </w:pPr>
      <w:r w:rsidRPr="006908F3">
        <w:t>4.</w:t>
      </w:r>
      <w:r w:rsidRPr="006908F3">
        <w:tab/>
        <w:t>kutsub komisjoni üles mitte pikendama geneetiliselt muundatud maisile antud luba, kuna puuduvad piisavad tõendid pikaajalise mõju kohta bioloogilisele mitmekesisusele, toiduohutusele, põllumajandustootjate elatusvahenditele ja loomatervisele kooskõlas terviseühtsuse põhimõttega;</w:t>
      </w:r>
    </w:p>
    <w:p w14:paraId="6907A52A" w14:textId="77777777" w:rsidR="00BC1DEC" w:rsidRPr="006908F3" w:rsidRDefault="00BC1DEC" w:rsidP="00BC1DEC">
      <w:pPr>
        <w:spacing w:after="240"/>
        <w:ind w:left="567" w:hanging="567"/>
      </w:pPr>
      <w:r w:rsidRPr="006908F3">
        <w:t>5.</w:t>
      </w:r>
      <w:r w:rsidRPr="006908F3">
        <w:tab/>
        <w:t xml:space="preserve">kutsub komisjoni üles esitama viivitamata seadusandliku ettepaneku </w:t>
      </w:r>
      <w:proofErr w:type="spellStart"/>
      <w:r w:rsidRPr="006908F3">
        <w:t>GMOsid</w:t>
      </w:r>
      <w:proofErr w:type="spellEnd"/>
      <w:r w:rsidRPr="006908F3">
        <w:t xml:space="preserve"> käsitleva otsustusprotsessi reformimiseks, et reageerida Euroopa Parlamendi järjepidevatele vastuväidetele ja liikmesriikide kvalifitseeritud häälteenamuse puudumisele;</w:t>
      </w:r>
    </w:p>
    <w:p w14:paraId="655825FB" w14:textId="77777777" w:rsidR="00BC1DEC" w:rsidRPr="006908F3" w:rsidRDefault="00BC1DEC" w:rsidP="00BC1DEC">
      <w:pPr>
        <w:spacing w:after="240"/>
        <w:ind w:left="567" w:hanging="567"/>
      </w:pPr>
      <w:r w:rsidRPr="006908F3">
        <w:t>6.</w:t>
      </w:r>
      <w:r w:rsidRPr="006908F3">
        <w:tab/>
        <w:t xml:space="preserve">rõhutab sellega seoses, et liidus keelatud herbitsiidide, näiteks </w:t>
      </w:r>
      <w:proofErr w:type="spellStart"/>
      <w:r w:rsidRPr="006908F3">
        <w:t>glufosinaadi</w:t>
      </w:r>
      <w:proofErr w:type="spellEnd"/>
      <w:r w:rsidRPr="006908F3">
        <w:t xml:space="preserve"> suhtes tolerantseks muudetud geneetiliselt muundatud taimede importimise lubamine toidu või söödana kasutamiseks on vastuolus liidu rahvusvaheliste kohustustega, mis tulenevad muu hulgas ÜRO bioloogilise mitmekesisuse konventsioonist ja ÜRO kestliku arengu eesmärkidest, sealhulgas </w:t>
      </w:r>
      <w:proofErr w:type="spellStart"/>
      <w:r w:rsidRPr="006908F3">
        <w:t>Kunmingi</w:t>
      </w:r>
      <w:proofErr w:type="spellEnd"/>
      <w:r w:rsidRPr="006908F3">
        <w:t>-Montreali raamistikust, ning et see loob liidu põllumajandustootjatele ebavõrdsed tingimused;</w:t>
      </w:r>
    </w:p>
    <w:p w14:paraId="2FDD8878" w14:textId="144093F8" w:rsidR="00E365E1" w:rsidRPr="006908F3" w:rsidRDefault="00BC1DEC" w:rsidP="00C4072F">
      <w:pPr>
        <w:spacing w:after="240"/>
        <w:ind w:left="567" w:hanging="567"/>
        <w:rPr>
          <w:sz w:val="28"/>
          <w:lang w:eastAsia="fr-FR"/>
        </w:rPr>
      </w:pPr>
      <w:r w:rsidRPr="006908F3">
        <w:t>7.</w:t>
      </w:r>
      <w:r w:rsidRPr="006908F3">
        <w:tab/>
        <w:t>teeb presidendile ülesandeks edastada käesolev resolutsioon nõukogule ja komisjonile ning liikmesriikide valitsustele ja parlamentidele.</w:t>
      </w:r>
    </w:p>
    <w:sectPr w:rsidR="00E365E1" w:rsidRPr="006908F3" w:rsidSect="004D58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5F669" w14:textId="77777777" w:rsidR="004A5B33" w:rsidRPr="004D586B" w:rsidRDefault="004A5B33">
      <w:r w:rsidRPr="004D586B">
        <w:separator/>
      </w:r>
    </w:p>
  </w:endnote>
  <w:endnote w:type="continuationSeparator" w:id="0">
    <w:p w14:paraId="7D617BC5" w14:textId="77777777" w:rsidR="004A5B33" w:rsidRPr="004D586B" w:rsidRDefault="004A5B33">
      <w:r w:rsidRPr="004D5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D34AC" w14:textId="77777777" w:rsidR="00064002" w:rsidRPr="004D58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20B69" w14:textId="77777777" w:rsidR="00064002" w:rsidRPr="004D58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C390" w14:textId="77777777" w:rsidR="00064002" w:rsidRPr="004D58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5CDFA" w14:textId="77777777" w:rsidR="004A5B33" w:rsidRPr="004D586B" w:rsidRDefault="004A5B33">
      <w:r w:rsidRPr="004D586B">
        <w:separator/>
      </w:r>
    </w:p>
  </w:footnote>
  <w:footnote w:type="continuationSeparator" w:id="0">
    <w:p w14:paraId="3912FFA6" w14:textId="77777777" w:rsidR="004A5B33" w:rsidRPr="004D586B" w:rsidRDefault="004A5B33">
      <w:r w:rsidRPr="004D586B">
        <w:continuationSeparator/>
      </w:r>
    </w:p>
  </w:footnote>
  <w:footnote w:id="1">
    <w:p w14:paraId="3FF69D14" w14:textId="32E076DD" w:rsidR="00BC1DEC" w:rsidRPr="004D586B" w:rsidRDefault="00BC1DEC" w:rsidP="004D586B">
      <w:pPr>
        <w:pStyle w:val="FootnoteText"/>
        <w:suppressAutoHyphens/>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ELT L 268, 18.10.2003, lk 1, ELI: </w:t>
      </w:r>
      <w:hyperlink r:id="rId1" w:history="1">
        <w:r w:rsidRPr="004D586B">
          <w:rPr>
            <w:rStyle w:val="Hyperlink"/>
            <w:sz w:val="24"/>
            <w:lang w:val="et-EE"/>
          </w:rPr>
          <w:t>http://data.europa.eu/eli/reg/2003/1829/oj</w:t>
        </w:r>
      </w:hyperlink>
      <w:r w:rsidRPr="004D586B">
        <w:rPr>
          <w:sz w:val="24"/>
          <w:lang w:val="et-EE"/>
        </w:rPr>
        <w:t>.</w:t>
      </w:r>
    </w:p>
  </w:footnote>
  <w:footnote w:id="2">
    <w:p w14:paraId="72F4D956" w14:textId="7E997631"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ELT L 55, 28.2.2011, lk 13, ELI: </w:t>
      </w:r>
      <w:hyperlink r:id="rId2" w:history="1">
        <w:r w:rsidRPr="004D586B">
          <w:rPr>
            <w:rStyle w:val="Hyperlink"/>
            <w:sz w:val="24"/>
            <w:lang w:val="et-EE"/>
          </w:rPr>
          <w:t>http://data.europa.eu/eli/reg/2011/182/oj</w:t>
        </w:r>
      </w:hyperlink>
      <w:r w:rsidRPr="004D586B">
        <w:rPr>
          <w:sz w:val="24"/>
          <w:lang w:val="et-EE"/>
        </w:rPr>
        <w:t>.</w:t>
      </w:r>
    </w:p>
  </w:footnote>
  <w:footnote w:id="3">
    <w:p w14:paraId="3642A69D" w14:textId="35054020" w:rsidR="00BC1DEC" w:rsidRPr="004D586B" w:rsidRDefault="00BC1DEC" w:rsidP="004D586B">
      <w:pPr>
        <w:pStyle w:val="FootnoteText"/>
        <w:suppressAutoHyphens/>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EFSA geneetiliselt muundatud organismide komisjoni teaduslik arvamus „</w:t>
      </w:r>
      <w:proofErr w:type="spellStart"/>
      <w:r w:rsidRPr="004D586B">
        <w:rPr>
          <w:sz w:val="24"/>
          <w:lang w:val="et-EE"/>
        </w:rPr>
        <w:t>Assessment</w:t>
      </w:r>
      <w:proofErr w:type="spellEnd"/>
      <w:r w:rsidRPr="004D586B">
        <w:rPr>
          <w:sz w:val="24"/>
          <w:lang w:val="et-EE"/>
        </w:rPr>
        <w:t xml:space="preserve"> of </w:t>
      </w:r>
      <w:proofErr w:type="spellStart"/>
      <w:r w:rsidRPr="004D586B">
        <w:rPr>
          <w:sz w:val="24"/>
          <w:lang w:val="et-EE"/>
        </w:rPr>
        <w:t>genetically</w:t>
      </w:r>
      <w:proofErr w:type="spellEnd"/>
      <w:r w:rsidRPr="004D586B">
        <w:rPr>
          <w:sz w:val="24"/>
          <w:lang w:val="et-EE"/>
        </w:rPr>
        <w:t xml:space="preserve"> </w:t>
      </w:r>
      <w:proofErr w:type="spellStart"/>
      <w:r w:rsidRPr="004D586B">
        <w:rPr>
          <w:sz w:val="24"/>
          <w:lang w:val="et-EE"/>
        </w:rPr>
        <w:t>modified</w:t>
      </w:r>
      <w:proofErr w:type="spellEnd"/>
      <w:r w:rsidRPr="004D586B">
        <w:rPr>
          <w:sz w:val="24"/>
          <w:lang w:val="et-EE"/>
        </w:rPr>
        <w:t xml:space="preserve"> </w:t>
      </w:r>
      <w:proofErr w:type="spellStart"/>
      <w:r w:rsidRPr="004D586B">
        <w:rPr>
          <w:sz w:val="24"/>
          <w:lang w:val="et-EE"/>
        </w:rPr>
        <w:t>maize</w:t>
      </w:r>
      <w:proofErr w:type="spellEnd"/>
      <w:r w:rsidRPr="004D586B">
        <w:rPr>
          <w:sz w:val="24"/>
          <w:lang w:val="et-EE"/>
        </w:rPr>
        <w:t xml:space="preserve"> NK603 </w:t>
      </w:r>
      <w:proofErr w:type="spellStart"/>
      <w:r w:rsidRPr="004D586B">
        <w:rPr>
          <w:sz w:val="24"/>
          <w:lang w:val="et-EE"/>
        </w:rPr>
        <w:t>for</w:t>
      </w:r>
      <w:proofErr w:type="spellEnd"/>
      <w:r w:rsidRPr="004D586B">
        <w:rPr>
          <w:sz w:val="24"/>
          <w:lang w:val="et-EE"/>
        </w:rPr>
        <w:t xml:space="preserve"> </w:t>
      </w:r>
      <w:proofErr w:type="spellStart"/>
      <w:r w:rsidRPr="004D586B">
        <w:rPr>
          <w:sz w:val="24"/>
          <w:lang w:val="et-EE"/>
        </w:rPr>
        <w:t>renewal</w:t>
      </w:r>
      <w:proofErr w:type="spellEnd"/>
      <w:r w:rsidRPr="004D586B">
        <w:rPr>
          <w:sz w:val="24"/>
          <w:lang w:val="et-EE"/>
        </w:rPr>
        <w:t xml:space="preserve"> </w:t>
      </w:r>
      <w:proofErr w:type="spellStart"/>
      <w:r w:rsidRPr="004D586B">
        <w:rPr>
          <w:sz w:val="24"/>
          <w:lang w:val="et-EE"/>
        </w:rPr>
        <w:t>authorisation</w:t>
      </w:r>
      <w:proofErr w:type="spellEnd"/>
      <w:r w:rsidRPr="004D586B">
        <w:rPr>
          <w:sz w:val="24"/>
          <w:lang w:val="et-EE"/>
        </w:rPr>
        <w:t xml:space="preserve"> </w:t>
      </w:r>
      <w:proofErr w:type="spellStart"/>
      <w:r w:rsidRPr="004D586B">
        <w:rPr>
          <w:sz w:val="24"/>
          <w:lang w:val="et-EE"/>
        </w:rPr>
        <w:t>under</w:t>
      </w:r>
      <w:proofErr w:type="spellEnd"/>
      <w:r w:rsidRPr="004D586B">
        <w:rPr>
          <w:sz w:val="24"/>
          <w:lang w:val="et-EE"/>
        </w:rPr>
        <w:t xml:space="preserve"> </w:t>
      </w:r>
      <w:proofErr w:type="spellStart"/>
      <w:r w:rsidRPr="004D586B">
        <w:rPr>
          <w:sz w:val="24"/>
          <w:lang w:val="et-EE"/>
        </w:rPr>
        <w:t>Regulation</w:t>
      </w:r>
      <w:proofErr w:type="spellEnd"/>
      <w:r w:rsidRPr="004D586B">
        <w:rPr>
          <w:sz w:val="24"/>
          <w:lang w:val="et-EE"/>
        </w:rPr>
        <w:t xml:space="preserve"> (EC) No 1829/2003“ (GMFF-2023–21250) (Geneetiliselt muundatud maisi NK603 hindamine turule laskmise loa kehtivuse pikendamise eesmärgil vastavalt määrusele (EÜ) nr 1829/2003). </w:t>
      </w:r>
      <w:r w:rsidRPr="004D586B">
        <w:rPr>
          <w:sz w:val="24"/>
          <w:lang w:val="et-EE"/>
        </w:rPr>
        <w:t xml:space="preserve">EFSA </w:t>
      </w:r>
      <w:proofErr w:type="spellStart"/>
      <w:r w:rsidRPr="004D586B">
        <w:rPr>
          <w:sz w:val="24"/>
          <w:lang w:val="et-EE"/>
        </w:rPr>
        <w:t>Journal</w:t>
      </w:r>
      <w:proofErr w:type="spellEnd"/>
      <w:r w:rsidRPr="004D586B">
        <w:rPr>
          <w:sz w:val="24"/>
          <w:lang w:val="et-EE"/>
        </w:rPr>
        <w:t xml:space="preserve"> 2025; 23(6):9505; </w:t>
      </w:r>
      <w:hyperlink r:id="rId3" w:history="1">
        <w:r w:rsidRPr="004D586B">
          <w:rPr>
            <w:rStyle w:val="Hyperlink"/>
            <w:sz w:val="24"/>
            <w:lang w:val="et-EE"/>
          </w:rPr>
          <w:t>https://doi.org/10.2903/j.efsa.2025.9505</w:t>
        </w:r>
      </w:hyperlink>
      <w:r w:rsidRPr="004D586B">
        <w:rPr>
          <w:sz w:val="24"/>
          <w:lang w:val="et-EE"/>
        </w:rPr>
        <w:t>.</w:t>
      </w:r>
    </w:p>
  </w:footnote>
  <w:footnote w:id="4">
    <w:p w14:paraId="35FE9DF1" w14:textId="67A935AE" w:rsidR="00BC1DEC" w:rsidRPr="004D586B" w:rsidRDefault="00BC1DEC" w:rsidP="004D586B">
      <w:pPr>
        <w:pStyle w:val="FootnoteText"/>
        <w:suppressAutoHyphens/>
        <w:ind w:left="567" w:hanging="567"/>
        <w:rPr>
          <w:color w:val="000000" w:themeColor="text1"/>
          <w:sz w:val="24"/>
          <w:vertAlign w:val="superscript"/>
          <w:lang w:val="et-EE"/>
        </w:rPr>
      </w:pPr>
      <w:r w:rsidRPr="004D586B">
        <w:rPr>
          <w:rStyle w:val="FootnoteReference"/>
          <w:sz w:val="24"/>
          <w:lang w:val="et-EE"/>
        </w:rPr>
        <w:footnoteRef/>
      </w:r>
      <w:r w:rsidR="004D586B" w:rsidRPr="004D586B">
        <w:rPr>
          <w:color w:val="000000" w:themeColor="text1"/>
          <w:sz w:val="24"/>
          <w:lang w:val="et-EE"/>
        </w:rPr>
        <w:t xml:space="preserve"> </w:t>
      </w:r>
      <w:r w:rsidR="004D586B" w:rsidRPr="004D586B">
        <w:rPr>
          <w:color w:val="000000" w:themeColor="text1"/>
          <w:sz w:val="24"/>
          <w:lang w:val="et-EE"/>
        </w:rPr>
        <w:tab/>
      </w:r>
      <w:r w:rsidR="00A967FA">
        <w:rPr>
          <w:color w:val="000000" w:themeColor="text1"/>
          <w:sz w:val="24"/>
          <w:lang w:val="et-EE"/>
        </w:rPr>
        <w:t xml:space="preserve">Euroopa </w:t>
      </w:r>
      <w:r w:rsidRPr="004D586B">
        <w:rPr>
          <w:color w:val="000000" w:themeColor="text1"/>
          <w:sz w:val="24"/>
          <w:lang w:val="et-EE"/>
        </w:rPr>
        <w:t>Parlament võttis kaheksandal ametiajal vastu 36 resolutsiooni ja üheksandal ametiajal 38 resolutsiooni, milles</w:t>
      </w:r>
      <w:r w:rsidRPr="004D586B">
        <w:rPr>
          <w:sz w:val="24"/>
          <w:lang w:val="et-EE"/>
        </w:rPr>
        <w:t xml:space="preserve"> vaidlustati </w:t>
      </w:r>
      <w:proofErr w:type="spellStart"/>
      <w:r w:rsidRPr="004D586B">
        <w:rPr>
          <w:color w:val="000000" w:themeColor="text1"/>
          <w:sz w:val="24"/>
          <w:lang w:val="et-EE"/>
        </w:rPr>
        <w:t>GMOde</w:t>
      </w:r>
      <w:proofErr w:type="spellEnd"/>
      <w:r w:rsidRPr="004D586B">
        <w:rPr>
          <w:color w:val="000000" w:themeColor="text1"/>
          <w:sz w:val="24"/>
          <w:lang w:val="et-EE"/>
        </w:rPr>
        <w:t xml:space="preserve"> lubamine</w:t>
      </w:r>
      <w:r w:rsidRPr="004D586B">
        <w:rPr>
          <w:sz w:val="24"/>
          <w:lang w:val="et-EE"/>
        </w:rPr>
        <w:t>.</w:t>
      </w:r>
      <w:r w:rsidRPr="004D586B">
        <w:rPr>
          <w:color w:val="000000" w:themeColor="text1"/>
          <w:sz w:val="24"/>
          <w:lang w:val="et-EE"/>
        </w:rPr>
        <w:t xml:space="preserve"> </w:t>
      </w:r>
      <w:r w:rsidRPr="004D586B">
        <w:rPr>
          <w:color w:val="000000" w:themeColor="text1"/>
          <w:sz w:val="24"/>
          <w:lang w:val="et-EE"/>
        </w:rPr>
        <w:t xml:space="preserve">Lisaks sellele on </w:t>
      </w:r>
      <w:r w:rsidR="00A967FA">
        <w:rPr>
          <w:color w:val="000000" w:themeColor="text1"/>
          <w:sz w:val="24"/>
          <w:lang w:val="et-EE"/>
        </w:rPr>
        <w:t>Euroopa P</w:t>
      </w:r>
      <w:r w:rsidRPr="004D586B">
        <w:rPr>
          <w:color w:val="000000" w:themeColor="text1"/>
          <w:sz w:val="24"/>
          <w:lang w:val="et-EE"/>
        </w:rPr>
        <w:t>arlament kümnendal ametiajal vastu võtnud järgmised resolutsioonid:</w:t>
      </w:r>
    </w:p>
    <w:p w14:paraId="03FDF647" w14:textId="617D43B4" w:rsidR="00BC1DEC" w:rsidRPr="004D586B" w:rsidRDefault="00BC1DEC" w:rsidP="00C4072F">
      <w:pPr>
        <w:pStyle w:val="FootnoteText"/>
        <w:suppressAutoHyphens/>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history="1">
        <w:r w:rsidRPr="004D586B">
          <w:rPr>
            <w:rStyle w:val="Hyperlink"/>
            <w:sz w:val="24"/>
            <w:lang w:val="et-EE"/>
          </w:rPr>
          <w:t>http://data.europa.eu/eli/C/2025/1797/oj</w:t>
        </w:r>
      </w:hyperlink>
      <w:r w:rsidRPr="004D586B">
        <w:rPr>
          <w:color w:val="000000" w:themeColor="text1"/>
          <w:sz w:val="24"/>
          <w:lang w:val="et-EE"/>
        </w:rPr>
        <w:t>).</w:t>
      </w:r>
    </w:p>
    <w:p w14:paraId="40DDBF76" w14:textId="1D9B3506" w:rsidR="00BC1DEC" w:rsidRPr="004D586B" w:rsidRDefault="00BC1DEC" w:rsidP="00C4072F">
      <w:pPr>
        <w:pStyle w:val="FootnoteText"/>
        <w:suppressAutoHyphens/>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Pr="004D586B">
          <w:rPr>
            <w:rStyle w:val="Hyperlink"/>
            <w:sz w:val="24"/>
            <w:lang w:val="et-EE"/>
          </w:rPr>
          <w:t>http://data.europa.eu/eli/C/2025/1798/oj</w:t>
        </w:r>
      </w:hyperlink>
      <w:r w:rsidRPr="004D586B">
        <w:rPr>
          <w:color w:val="000000" w:themeColor="text1"/>
          <w:sz w:val="24"/>
          <w:lang w:val="et-EE"/>
        </w:rPr>
        <w:t>).</w:t>
      </w:r>
    </w:p>
    <w:p w14:paraId="1606D827" w14:textId="664DD87B" w:rsidR="00BC1DEC" w:rsidRPr="004D586B" w:rsidRDefault="00BC1DEC" w:rsidP="00C4072F">
      <w:pPr>
        <w:pStyle w:val="FootnoteText"/>
        <w:suppressAutoHyphens/>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Pr="004D586B">
          <w:rPr>
            <w:rStyle w:val="Hyperlink"/>
            <w:sz w:val="24"/>
            <w:lang w:val="et-EE"/>
          </w:rPr>
          <w:t>http://data.europa.eu/eli/C/2025/1799/oj</w:t>
        </w:r>
      </w:hyperlink>
      <w:r w:rsidRPr="004D586B">
        <w:rPr>
          <w:color w:val="000000" w:themeColor="text1"/>
          <w:sz w:val="24"/>
          <w:lang w:val="et-EE"/>
        </w:rPr>
        <w:t>).</w:t>
      </w:r>
    </w:p>
    <w:p w14:paraId="1F9F122F" w14:textId="5376D474" w:rsidR="00BC1DEC" w:rsidRPr="004D586B" w:rsidRDefault="00BC1DEC" w:rsidP="00C4072F">
      <w:pPr>
        <w:pStyle w:val="FootnoteText"/>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Pr="004D586B">
        <w:rPr>
          <w:color w:val="000000" w:themeColor="text1"/>
          <w:sz w:val="24"/>
          <w:lang w:val="et-EE"/>
        </w:rPr>
        <w:t>turuleviimise</w:t>
      </w:r>
      <w:proofErr w:type="spellEnd"/>
      <w:r w:rsidRPr="004D586B">
        <w:rPr>
          <w:color w:val="000000" w:themeColor="text1"/>
          <w:sz w:val="24"/>
          <w:lang w:val="et-EE"/>
        </w:rPr>
        <w:t xml:space="preserve"> loa kehtivust vastavalt Euroopa Parlamendi ja nõukogu määrusele (EÜ) nr 1829/2003 ning tunnistatakse kehtetuks komisjoni rakendusotsus (EL) 2017/1207 (ELT C, C/2025/1800, 4.4.2025, ELI: </w:t>
      </w:r>
      <w:hyperlink r:id="rId7" w:history="1">
        <w:r w:rsidRPr="004D586B">
          <w:rPr>
            <w:rStyle w:val="Hyperlink"/>
            <w:sz w:val="24"/>
            <w:lang w:val="et-EE"/>
          </w:rPr>
          <w:t>http://data.europa.eu/eli/C/2025/1800/oj</w:t>
        </w:r>
      </w:hyperlink>
      <w:r w:rsidRPr="004D586B">
        <w:rPr>
          <w:color w:val="000000" w:themeColor="text1"/>
          <w:sz w:val="24"/>
          <w:lang w:val="et-EE"/>
        </w:rPr>
        <w:t>).</w:t>
      </w:r>
    </w:p>
    <w:p w14:paraId="34894986" w14:textId="10C143F4" w:rsidR="00BC1DEC" w:rsidRPr="004D586B" w:rsidRDefault="00BC1DEC" w:rsidP="00C4072F">
      <w:pPr>
        <w:pStyle w:val="FootnoteText"/>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Pr="004D586B">
          <w:rPr>
            <w:rStyle w:val="Hyperlink"/>
            <w:sz w:val="24"/>
            <w:lang w:val="et-EE"/>
          </w:rPr>
          <w:t>http://data.europa.eu/eli/C/2025/1801/oj</w:t>
        </w:r>
      </w:hyperlink>
      <w:r w:rsidRPr="004D586B">
        <w:rPr>
          <w:color w:val="000000" w:themeColor="text1"/>
          <w:sz w:val="24"/>
          <w:lang w:val="et-EE"/>
        </w:rPr>
        <w:t>).</w:t>
      </w:r>
    </w:p>
    <w:p w14:paraId="11D67937" w14:textId="6158AB00" w:rsidR="00BC1DEC" w:rsidRPr="004D586B" w:rsidRDefault="00BC1DEC" w:rsidP="00C4072F">
      <w:pPr>
        <w:pStyle w:val="FootnoteText"/>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9" w:history="1">
        <w:r w:rsidRPr="004D586B">
          <w:rPr>
            <w:rStyle w:val="Hyperlink"/>
            <w:sz w:val="24"/>
            <w:lang w:val="et-EE"/>
          </w:rPr>
          <w:t>http://data.europa.eu/eli/C/2025/1802/oj</w:t>
        </w:r>
      </w:hyperlink>
      <w:r w:rsidRPr="004D586B">
        <w:rPr>
          <w:color w:val="000000" w:themeColor="text1"/>
          <w:sz w:val="24"/>
          <w:lang w:val="et-EE"/>
        </w:rPr>
        <w:t>).</w:t>
      </w:r>
    </w:p>
    <w:p w14:paraId="6BF4FD28" w14:textId="21A50428" w:rsidR="00BC1DEC" w:rsidRPr="004D586B" w:rsidRDefault="00BC1DEC" w:rsidP="00C4072F">
      <w:pPr>
        <w:pStyle w:val="FootnoteText"/>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Pr="004D586B">
          <w:rPr>
            <w:rStyle w:val="Hyperlink"/>
            <w:sz w:val="24"/>
            <w:lang w:val="et-EE"/>
          </w:rPr>
          <w:t>http://data.europa.eu/eli/C/2025/1803/oj</w:t>
        </w:r>
      </w:hyperlink>
      <w:r w:rsidRPr="004D586B">
        <w:rPr>
          <w:color w:val="000000" w:themeColor="text1"/>
          <w:sz w:val="24"/>
          <w:lang w:val="et-EE"/>
        </w:rPr>
        <w:t>).</w:t>
      </w:r>
    </w:p>
    <w:p w14:paraId="30A0E0FE" w14:textId="529D2E40" w:rsidR="00BC1DEC" w:rsidRPr="004D586B" w:rsidRDefault="00BC1DEC" w:rsidP="00C4072F">
      <w:pPr>
        <w:pStyle w:val="FootnoteText"/>
        <w:ind w:left="1134" w:hanging="567"/>
        <w:rPr>
          <w:color w:val="000000" w:themeColor="text1"/>
          <w:sz w:val="24"/>
          <w:vertAlign w:val="superscript"/>
          <w:lang w:val="et-EE"/>
        </w:rPr>
      </w:pPr>
      <w:r w:rsidRPr="004D586B">
        <w:rPr>
          <w:color w:val="000000" w:themeColor="text1"/>
          <w:sz w:val="24"/>
          <w:lang w:val="et-EE"/>
        </w:rPr>
        <w:t>–</w:t>
      </w:r>
      <w:r w:rsidRPr="004D586B">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Pr="004D586B">
          <w:rPr>
            <w:rStyle w:val="Hyperlink"/>
            <w:sz w:val="24"/>
            <w:lang w:val="et-EE"/>
          </w:rPr>
          <w:t>http://data.europa.eu/eli/C/2025/1804/oj</w:t>
        </w:r>
      </w:hyperlink>
      <w:r w:rsidRPr="004D586B">
        <w:rPr>
          <w:color w:val="000000" w:themeColor="text1"/>
          <w:sz w:val="24"/>
          <w:lang w:val="et-EE"/>
        </w:rPr>
        <w:t>).</w:t>
      </w:r>
    </w:p>
    <w:p w14:paraId="26E434AF" w14:textId="73041E2B" w:rsidR="00BC1DEC" w:rsidRPr="004D586B" w:rsidRDefault="00BC1DEC" w:rsidP="00C4072F">
      <w:pPr>
        <w:pStyle w:val="FootnoteText"/>
        <w:ind w:left="1134" w:hanging="567"/>
        <w:rPr>
          <w:sz w:val="24"/>
          <w:vertAlign w:val="superscript"/>
          <w:lang w:val="et-EE"/>
        </w:rPr>
      </w:pPr>
      <w:r w:rsidRPr="004D586B">
        <w:rPr>
          <w:color w:val="000000" w:themeColor="text1"/>
          <w:sz w:val="24"/>
          <w:lang w:val="et-EE"/>
        </w:rPr>
        <w:t>–</w:t>
      </w:r>
      <w:r w:rsidRPr="004D586B">
        <w:rPr>
          <w:color w:val="000000" w:themeColor="text1"/>
          <w:sz w:val="24"/>
          <w:lang w:val="et-EE"/>
        </w:rPr>
        <w:tab/>
      </w:r>
      <w:r w:rsidRPr="004D586B">
        <w:rPr>
          <w:sz w:val="24"/>
          <w:lang w:val="et-EE"/>
        </w:rPr>
        <w:t xml:space="preserve">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2" w:tooltip="Annab juurdepääsu sellele dokumendile tema ELI URI kaudu." w:history="1">
        <w:r w:rsidRPr="004D586B">
          <w:rPr>
            <w:rStyle w:val="Hyperlink"/>
            <w:sz w:val="24"/>
            <w:lang w:val="et-EE"/>
          </w:rPr>
          <w:t>http://data.europa.eu/eli/C/2025/2246/oj</w:t>
        </w:r>
      </w:hyperlink>
      <w:r w:rsidRPr="004D586B">
        <w:rPr>
          <w:sz w:val="24"/>
          <w:lang w:val="et-EE"/>
        </w:rPr>
        <w:t>).</w:t>
      </w:r>
    </w:p>
    <w:p w14:paraId="1BC5F132" w14:textId="00065E6C" w:rsidR="00BC1DEC" w:rsidRPr="004D586B" w:rsidRDefault="00BC1DEC" w:rsidP="00C4072F">
      <w:pPr>
        <w:pStyle w:val="FootnoteText"/>
        <w:ind w:left="1134" w:hanging="567"/>
        <w:rPr>
          <w:sz w:val="24"/>
          <w:vertAlign w:val="superscript"/>
          <w:lang w:val="et-EE"/>
        </w:rPr>
      </w:pPr>
      <w:r w:rsidRPr="004D586B">
        <w:rPr>
          <w:sz w:val="24"/>
          <w:lang w:val="et-EE"/>
        </w:rPr>
        <w:t>–</w:t>
      </w:r>
      <w:r w:rsidRPr="004D586B">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tooltip="Annab juurdepääsu sellele dokumendile tema ELI URI kaudu." w:history="1">
        <w:r w:rsidRPr="004D586B">
          <w:rPr>
            <w:rStyle w:val="Hyperlink"/>
            <w:sz w:val="24"/>
            <w:lang w:val="et-EE"/>
          </w:rPr>
          <w:t>http://data.europa.eu/eli/C/2025/2247/oj</w:t>
        </w:r>
      </w:hyperlink>
      <w:r w:rsidRPr="004D586B">
        <w:rPr>
          <w:sz w:val="24"/>
          <w:lang w:val="et-EE"/>
        </w:rPr>
        <w:t>).</w:t>
      </w:r>
    </w:p>
    <w:p w14:paraId="13C2D9EB" w14:textId="0F610006" w:rsidR="00BC1DEC" w:rsidRPr="004D586B" w:rsidRDefault="00BC1DEC" w:rsidP="00C4072F">
      <w:pPr>
        <w:pStyle w:val="FootnoteText"/>
        <w:ind w:left="1134" w:hanging="567"/>
        <w:rPr>
          <w:sz w:val="24"/>
          <w:vertAlign w:val="superscript"/>
          <w:lang w:val="et-EE"/>
        </w:rPr>
      </w:pPr>
      <w:r w:rsidRPr="004D586B">
        <w:rPr>
          <w:sz w:val="24"/>
          <w:lang w:val="et-EE"/>
        </w:rPr>
        <w:t>–</w:t>
      </w:r>
      <w:r w:rsidRPr="004D586B">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(P10_TA(2025)0106).</w:t>
      </w:r>
    </w:p>
    <w:p w14:paraId="352EBC2D" w14:textId="174A8ECC" w:rsidR="00BC1DEC" w:rsidRPr="004D586B" w:rsidRDefault="00BC1DEC" w:rsidP="00C4072F">
      <w:pPr>
        <w:pStyle w:val="FootnoteText"/>
        <w:ind w:left="1134" w:hanging="567"/>
        <w:rPr>
          <w:sz w:val="24"/>
          <w:vertAlign w:val="superscript"/>
          <w:lang w:val="et-EE"/>
        </w:rPr>
      </w:pPr>
      <w:r w:rsidRPr="004D586B">
        <w:rPr>
          <w:sz w:val="24"/>
          <w:lang w:val="et-EE"/>
        </w:rPr>
        <w:t>–</w:t>
      </w:r>
      <w:r w:rsidRPr="004D586B">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(P10_TA(2025)0222).</w:t>
      </w:r>
    </w:p>
    <w:p w14:paraId="5CF5DFD7" w14:textId="2254D41D" w:rsidR="00BC1DEC" w:rsidRPr="004D586B" w:rsidRDefault="00BC1DEC" w:rsidP="00C4072F">
      <w:pPr>
        <w:pStyle w:val="FootnoteText"/>
        <w:ind w:left="1134" w:hanging="567"/>
        <w:rPr>
          <w:sz w:val="24"/>
          <w:vertAlign w:val="superscript"/>
          <w:lang w:val="et-EE"/>
        </w:rPr>
      </w:pPr>
      <w:bookmarkStart w:id="7" w:name="_Hlk215330280"/>
      <w:r w:rsidRPr="004D586B">
        <w:rPr>
          <w:sz w:val="24"/>
          <w:lang w:val="et-EE"/>
        </w:rPr>
        <w:t>–</w:t>
      </w:r>
      <w:r w:rsidRPr="004D586B">
        <w:rPr>
          <w:sz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(P10_TA(2025)0288).</w:t>
      </w:r>
    </w:p>
    <w:p w14:paraId="5F991E9C" w14:textId="2B5A2011" w:rsidR="00BC1DEC" w:rsidRPr="004D586B" w:rsidRDefault="00BC1DEC" w:rsidP="00C4072F">
      <w:pPr>
        <w:pStyle w:val="FootnoteText"/>
        <w:ind w:left="1134" w:hanging="567"/>
        <w:rPr>
          <w:sz w:val="24"/>
          <w:vertAlign w:val="superscript"/>
          <w:lang w:val="et-EE"/>
        </w:rPr>
      </w:pPr>
      <w:r w:rsidRPr="004D586B">
        <w:rPr>
          <w:sz w:val="24"/>
          <w:lang w:val="et-EE"/>
        </w:rPr>
        <w:t>–</w:t>
      </w:r>
      <w:r w:rsidRPr="004D586B">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(P10_TA(2025)0289).</w:t>
      </w:r>
    </w:p>
    <w:p w14:paraId="103828E8" w14:textId="3B8CF109" w:rsidR="00BC1DEC" w:rsidRPr="004D586B" w:rsidRDefault="00BC1DEC" w:rsidP="00C4072F">
      <w:pPr>
        <w:pStyle w:val="FootnoteText"/>
        <w:ind w:left="1134" w:hanging="567"/>
        <w:rPr>
          <w:sz w:val="24"/>
          <w:vertAlign w:val="superscript"/>
          <w:lang w:val="et-EE"/>
        </w:rPr>
      </w:pPr>
      <w:r w:rsidRPr="004D586B">
        <w:rPr>
          <w:sz w:val="24"/>
          <w:lang w:val="et-EE"/>
        </w:rPr>
        <w:t>–</w:t>
      </w:r>
      <w:r w:rsidRPr="004D586B">
        <w:rPr>
          <w:sz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(P10_TA(2025)0290).</w:t>
      </w:r>
    </w:p>
    <w:p w14:paraId="558604C7" w14:textId="2907BD57" w:rsidR="00BC1DEC" w:rsidRPr="004D586B" w:rsidRDefault="00BC1DEC" w:rsidP="00C4072F">
      <w:pPr>
        <w:pStyle w:val="FootnoteText"/>
        <w:ind w:left="1134" w:hanging="567"/>
        <w:rPr>
          <w:sz w:val="24"/>
          <w:vertAlign w:val="superscript"/>
          <w:lang w:val="et-EE"/>
        </w:rPr>
      </w:pPr>
      <w:r w:rsidRPr="004D586B">
        <w:rPr>
          <w:sz w:val="24"/>
          <w:lang w:val="et-EE"/>
        </w:rPr>
        <w:t>–</w:t>
      </w:r>
      <w:r w:rsidRPr="004D586B">
        <w:rPr>
          <w:sz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(P10_TA(2025)0291).</w:t>
      </w:r>
    </w:p>
    <w:p w14:paraId="11721E7D" w14:textId="28F768A1" w:rsidR="00BC1DEC" w:rsidRPr="004D586B" w:rsidRDefault="00BC1DEC" w:rsidP="00C4072F">
      <w:pPr>
        <w:pStyle w:val="FootnoteText"/>
        <w:ind w:left="1134" w:hanging="567"/>
        <w:rPr>
          <w:sz w:val="24"/>
          <w:lang w:val="et-EE"/>
        </w:rPr>
      </w:pPr>
      <w:r w:rsidRPr="004D586B">
        <w:rPr>
          <w:sz w:val="24"/>
          <w:lang w:val="et-EE"/>
        </w:rPr>
        <w:t>–</w:t>
      </w:r>
      <w:r w:rsidRPr="004D586B">
        <w:rPr>
          <w:sz w:val="24"/>
          <w:lang w:val="et-EE"/>
        </w:rPr>
        <w:tab/>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(P10_TA(2025)0292).</w:t>
      </w:r>
      <w:bookmarkEnd w:id="7"/>
    </w:p>
  </w:footnote>
  <w:footnote w:id="5">
    <w:p w14:paraId="62084CDE" w14:textId="02C69AC1"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Komisjoni 24. aprilli 2015. </w:t>
      </w:r>
      <w:r w:rsidRPr="004D586B">
        <w:rPr>
          <w:sz w:val="24"/>
          <w:lang w:val="et-EE"/>
        </w:rPr>
        <w:t xml:space="preserve">aasta rakendusotsus (EL) 2015/684, millega lubatakse turule viia geneetiliselt muundatud liini NK603 maisi (MON-ØØ6Ø3-6) ja uuendatakse olemasolevaid liini NK603 maisi (MON-ØØ6Ø3-6) sisaldavate toodete lubasid vastavalt Euroopa Parlamendi ja nõukogu määrusele (EÜ) nr 1829/2003 (ELT L 112, 30.4.2015, lk 6, ELI: </w:t>
      </w:r>
      <w:hyperlink r:id="rId14" w:history="1">
        <w:r w:rsidRPr="004D586B">
          <w:rPr>
            <w:rStyle w:val="Hyperlink"/>
            <w:sz w:val="24"/>
            <w:lang w:val="et-EE"/>
          </w:rPr>
          <w:t>http://data.europa.eu/eli/dec_impl/2015/684/oj</w:t>
        </w:r>
      </w:hyperlink>
      <w:r w:rsidRPr="004D586B">
        <w:rPr>
          <w:sz w:val="24"/>
          <w:lang w:val="et-EE"/>
        </w:rPr>
        <w:t>).</w:t>
      </w:r>
    </w:p>
  </w:footnote>
  <w:footnote w:id="6">
    <w:p w14:paraId="7379C7F9" w14:textId="71F0D2FE"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EFSA geneetiliselt muundatud organismide komisjon, 2009. </w:t>
      </w:r>
      <w:proofErr w:type="spellStart"/>
      <w:r w:rsidRPr="004D586B">
        <w:rPr>
          <w:sz w:val="24"/>
          <w:lang w:val="et-EE"/>
        </w:rPr>
        <w:t>Scientific</w:t>
      </w:r>
      <w:proofErr w:type="spellEnd"/>
      <w:r w:rsidRPr="004D586B">
        <w:rPr>
          <w:sz w:val="24"/>
          <w:lang w:val="et-EE"/>
        </w:rPr>
        <w:t xml:space="preserve"> </w:t>
      </w:r>
      <w:proofErr w:type="spellStart"/>
      <w:r w:rsidRPr="004D586B">
        <w:rPr>
          <w:sz w:val="24"/>
          <w:lang w:val="et-EE"/>
        </w:rPr>
        <w:t>Opinion</w:t>
      </w:r>
      <w:proofErr w:type="spellEnd"/>
      <w:r w:rsidRPr="004D586B">
        <w:rPr>
          <w:sz w:val="24"/>
          <w:lang w:val="et-EE"/>
        </w:rPr>
        <w:t xml:space="preserve"> of </w:t>
      </w:r>
      <w:proofErr w:type="spellStart"/>
      <w:r w:rsidRPr="004D586B">
        <w:rPr>
          <w:sz w:val="24"/>
          <w:lang w:val="et-EE"/>
        </w:rPr>
        <w:t>the</w:t>
      </w:r>
      <w:proofErr w:type="spellEnd"/>
      <w:r w:rsidRPr="004D586B">
        <w:rPr>
          <w:sz w:val="24"/>
          <w:lang w:val="et-EE"/>
        </w:rPr>
        <w:t xml:space="preserve"> </w:t>
      </w:r>
      <w:proofErr w:type="spellStart"/>
      <w:r w:rsidRPr="004D586B">
        <w:rPr>
          <w:sz w:val="24"/>
          <w:lang w:val="et-EE"/>
        </w:rPr>
        <w:t>Panel</w:t>
      </w:r>
      <w:proofErr w:type="spellEnd"/>
      <w:r w:rsidRPr="004D586B">
        <w:rPr>
          <w:sz w:val="24"/>
          <w:lang w:val="et-EE"/>
        </w:rPr>
        <w:t xml:space="preserve"> on </w:t>
      </w:r>
      <w:proofErr w:type="spellStart"/>
      <w:r w:rsidRPr="004D586B">
        <w:rPr>
          <w:sz w:val="24"/>
          <w:lang w:val="et-EE"/>
        </w:rPr>
        <w:t>Genetically</w:t>
      </w:r>
      <w:proofErr w:type="spellEnd"/>
      <w:r w:rsidRPr="004D586B">
        <w:rPr>
          <w:sz w:val="24"/>
          <w:lang w:val="et-EE"/>
        </w:rPr>
        <w:t xml:space="preserve"> </w:t>
      </w:r>
      <w:proofErr w:type="spellStart"/>
      <w:r w:rsidRPr="004D586B">
        <w:rPr>
          <w:sz w:val="24"/>
          <w:lang w:val="et-EE"/>
        </w:rPr>
        <w:t>Modified</w:t>
      </w:r>
      <w:proofErr w:type="spellEnd"/>
      <w:r w:rsidRPr="004D586B">
        <w:rPr>
          <w:sz w:val="24"/>
          <w:lang w:val="et-EE"/>
        </w:rPr>
        <w:t xml:space="preserve"> </w:t>
      </w:r>
      <w:proofErr w:type="spellStart"/>
      <w:r w:rsidRPr="004D586B">
        <w:rPr>
          <w:sz w:val="24"/>
          <w:lang w:val="et-EE"/>
        </w:rPr>
        <w:t>Organisms</w:t>
      </w:r>
      <w:proofErr w:type="spellEnd"/>
      <w:r w:rsidRPr="004D586B">
        <w:rPr>
          <w:sz w:val="24"/>
          <w:lang w:val="et-EE"/>
        </w:rPr>
        <w:t xml:space="preserve"> on </w:t>
      </w:r>
      <w:proofErr w:type="spellStart"/>
      <w:r w:rsidRPr="004D586B">
        <w:rPr>
          <w:sz w:val="24"/>
          <w:lang w:val="et-EE"/>
        </w:rPr>
        <w:t>applications</w:t>
      </w:r>
      <w:proofErr w:type="spellEnd"/>
      <w:r w:rsidRPr="004D586B">
        <w:rPr>
          <w:sz w:val="24"/>
          <w:lang w:val="et-EE"/>
        </w:rPr>
        <w:t xml:space="preserve"> (EFSA-GMO-NL-2005-22 and EFSA-GMO-RX-NK603) </w:t>
      </w:r>
      <w:proofErr w:type="spellStart"/>
      <w:r w:rsidRPr="004D586B">
        <w:rPr>
          <w:sz w:val="24"/>
          <w:lang w:val="et-EE"/>
        </w:rPr>
        <w:t>for</w:t>
      </w:r>
      <w:proofErr w:type="spellEnd"/>
      <w:r w:rsidRPr="004D586B">
        <w:rPr>
          <w:sz w:val="24"/>
          <w:lang w:val="et-EE"/>
        </w:rPr>
        <w:t xml:space="preserve"> </w:t>
      </w:r>
      <w:proofErr w:type="spellStart"/>
      <w:r w:rsidRPr="004D586B">
        <w:rPr>
          <w:sz w:val="24"/>
          <w:lang w:val="et-EE"/>
        </w:rPr>
        <w:t>the</w:t>
      </w:r>
      <w:proofErr w:type="spellEnd"/>
      <w:r w:rsidRPr="004D586B">
        <w:rPr>
          <w:sz w:val="24"/>
          <w:lang w:val="et-EE"/>
        </w:rPr>
        <w:t xml:space="preserve"> </w:t>
      </w:r>
      <w:proofErr w:type="spellStart"/>
      <w:r w:rsidRPr="004D586B">
        <w:rPr>
          <w:sz w:val="24"/>
          <w:lang w:val="et-EE"/>
        </w:rPr>
        <w:t>placing</w:t>
      </w:r>
      <w:proofErr w:type="spellEnd"/>
      <w:r w:rsidRPr="004D586B">
        <w:rPr>
          <w:sz w:val="24"/>
          <w:lang w:val="et-EE"/>
        </w:rPr>
        <w:t xml:space="preserve"> on </w:t>
      </w:r>
      <w:proofErr w:type="spellStart"/>
      <w:r w:rsidRPr="004D586B">
        <w:rPr>
          <w:sz w:val="24"/>
          <w:lang w:val="et-EE"/>
        </w:rPr>
        <w:t>the</w:t>
      </w:r>
      <w:proofErr w:type="spellEnd"/>
      <w:r w:rsidRPr="004D586B">
        <w:rPr>
          <w:sz w:val="24"/>
          <w:lang w:val="et-EE"/>
        </w:rPr>
        <w:t xml:space="preserve"> market of </w:t>
      </w:r>
      <w:proofErr w:type="spellStart"/>
      <w:r w:rsidRPr="004D586B">
        <w:rPr>
          <w:sz w:val="24"/>
          <w:lang w:val="et-EE"/>
        </w:rPr>
        <w:t>the</w:t>
      </w:r>
      <w:proofErr w:type="spellEnd"/>
      <w:r w:rsidRPr="004D586B">
        <w:rPr>
          <w:sz w:val="24"/>
          <w:lang w:val="et-EE"/>
        </w:rPr>
        <w:t xml:space="preserve"> </w:t>
      </w:r>
      <w:proofErr w:type="spellStart"/>
      <w:r w:rsidRPr="004D586B">
        <w:rPr>
          <w:sz w:val="24"/>
          <w:lang w:val="et-EE"/>
        </w:rPr>
        <w:t>genetically</w:t>
      </w:r>
      <w:proofErr w:type="spellEnd"/>
      <w:r w:rsidRPr="004D586B">
        <w:rPr>
          <w:sz w:val="24"/>
          <w:lang w:val="et-EE"/>
        </w:rPr>
        <w:t xml:space="preserve"> </w:t>
      </w:r>
      <w:proofErr w:type="spellStart"/>
      <w:r w:rsidRPr="004D586B">
        <w:rPr>
          <w:sz w:val="24"/>
          <w:lang w:val="et-EE"/>
        </w:rPr>
        <w:t>modified</w:t>
      </w:r>
      <w:proofErr w:type="spellEnd"/>
      <w:r w:rsidRPr="004D586B">
        <w:rPr>
          <w:sz w:val="24"/>
          <w:lang w:val="et-EE"/>
        </w:rPr>
        <w:t xml:space="preserve"> </w:t>
      </w:r>
      <w:proofErr w:type="spellStart"/>
      <w:r w:rsidRPr="004D586B">
        <w:rPr>
          <w:sz w:val="24"/>
          <w:lang w:val="et-EE"/>
        </w:rPr>
        <w:t>glyphosate</w:t>
      </w:r>
      <w:proofErr w:type="spellEnd"/>
      <w:r w:rsidRPr="004D586B">
        <w:rPr>
          <w:sz w:val="24"/>
          <w:lang w:val="et-EE"/>
        </w:rPr>
        <w:t xml:space="preserve"> tolerant </w:t>
      </w:r>
      <w:proofErr w:type="spellStart"/>
      <w:r w:rsidRPr="004D586B">
        <w:rPr>
          <w:sz w:val="24"/>
          <w:lang w:val="et-EE"/>
        </w:rPr>
        <w:t>maize</w:t>
      </w:r>
      <w:proofErr w:type="spellEnd"/>
      <w:r w:rsidRPr="004D586B">
        <w:rPr>
          <w:sz w:val="24"/>
          <w:lang w:val="et-EE"/>
        </w:rPr>
        <w:t xml:space="preserve"> NK603 </w:t>
      </w:r>
      <w:proofErr w:type="spellStart"/>
      <w:r w:rsidRPr="004D586B">
        <w:rPr>
          <w:sz w:val="24"/>
          <w:lang w:val="et-EE"/>
        </w:rPr>
        <w:t>for</w:t>
      </w:r>
      <w:proofErr w:type="spellEnd"/>
      <w:r w:rsidRPr="004D586B">
        <w:rPr>
          <w:sz w:val="24"/>
          <w:lang w:val="et-EE"/>
        </w:rPr>
        <w:t xml:space="preserve"> </w:t>
      </w:r>
      <w:proofErr w:type="spellStart"/>
      <w:r w:rsidRPr="004D586B">
        <w:rPr>
          <w:sz w:val="24"/>
          <w:lang w:val="et-EE"/>
        </w:rPr>
        <w:t>cultivation</w:t>
      </w:r>
      <w:proofErr w:type="spellEnd"/>
      <w:r w:rsidRPr="004D586B">
        <w:rPr>
          <w:sz w:val="24"/>
          <w:lang w:val="et-EE"/>
        </w:rPr>
        <w:t xml:space="preserve">, </w:t>
      </w:r>
      <w:proofErr w:type="spellStart"/>
      <w:r w:rsidRPr="004D586B">
        <w:rPr>
          <w:sz w:val="24"/>
          <w:lang w:val="et-EE"/>
        </w:rPr>
        <w:t>food</w:t>
      </w:r>
      <w:proofErr w:type="spellEnd"/>
      <w:r w:rsidRPr="004D586B">
        <w:rPr>
          <w:sz w:val="24"/>
          <w:lang w:val="et-EE"/>
        </w:rPr>
        <w:t xml:space="preserve"> and feed </w:t>
      </w:r>
      <w:proofErr w:type="spellStart"/>
      <w:r w:rsidRPr="004D586B">
        <w:rPr>
          <w:sz w:val="24"/>
          <w:lang w:val="et-EE"/>
        </w:rPr>
        <w:t>uses</w:t>
      </w:r>
      <w:proofErr w:type="spellEnd"/>
      <w:r w:rsidRPr="004D586B">
        <w:rPr>
          <w:sz w:val="24"/>
          <w:lang w:val="et-EE"/>
        </w:rPr>
        <w:t xml:space="preserve"> and import and </w:t>
      </w:r>
      <w:proofErr w:type="spellStart"/>
      <w:r w:rsidRPr="004D586B">
        <w:rPr>
          <w:sz w:val="24"/>
          <w:lang w:val="et-EE"/>
        </w:rPr>
        <w:t>processing</w:t>
      </w:r>
      <w:proofErr w:type="spellEnd"/>
      <w:r w:rsidRPr="004D586B">
        <w:rPr>
          <w:sz w:val="24"/>
          <w:lang w:val="et-EE"/>
        </w:rPr>
        <w:t xml:space="preserve">, and </w:t>
      </w:r>
      <w:proofErr w:type="spellStart"/>
      <w:r w:rsidRPr="004D586B">
        <w:rPr>
          <w:sz w:val="24"/>
          <w:lang w:val="et-EE"/>
        </w:rPr>
        <w:t>for</w:t>
      </w:r>
      <w:proofErr w:type="spellEnd"/>
      <w:r w:rsidRPr="004D586B">
        <w:rPr>
          <w:sz w:val="24"/>
          <w:lang w:val="et-EE"/>
        </w:rPr>
        <w:t xml:space="preserve"> </w:t>
      </w:r>
      <w:proofErr w:type="spellStart"/>
      <w:r w:rsidRPr="004D586B">
        <w:rPr>
          <w:sz w:val="24"/>
          <w:lang w:val="et-EE"/>
        </w:rPr>
        <w:t>renewal</w:t>
      </w:r>
      <w:proofErr w:type="spellEnd"/>
      <w:r w:rsidRPr="004D586B">
        <w:rPr>
          <w:sz w:val="24"/>
          <w:lang w:val="et-EE"/>
        </w:rPr>
        <w:t xml:space="preserve"> of </w:t>
      </w:r>
      <w:proofErr w:type="spellStart"/>
      <w:r w:rsidRPr="004D586B">
        <w:rPr>
          <w:sz w:val="24"/>
          <w:lang w:val="et-EE"/>
        </w:rPr>
        <w:t>the</w:t>
      </w:r>
      <w:proofErr w:type="spellEnd"/>
      <w:r w:rsidRPr="004D586B">
        <w:rPr>
          <w:sz w:val="24"/>
          <w:lang w:val="et-EE"/>
        </w:rPr>
        <w:t xml:space="preserve"> </w:t>
      </w:r>
      <w:proofErr w:type="spellStart"/>
      <w:r w:rsidRPr="004D586B">
        <w:rPr>
          <w:sz w:val="24"/>
          <w:lang w:val="et-EE"/>
        </w:rPr>
        <w:t>authorisation</w:t>
      </w:r>
      <w:proofErr w:type="spellEnd"/>
      <w:r w:rsidRPr="004D586B">
        <w:rPr>
          <w:sz w:val="24"/>
          <w:lang w:val="et-EE"/>
        </w:rPr>
        <w:t xml:space="preserve"> of </w:t>
      </w:r>
      <w:proofErr w:type="spellStart"/>
      <w:r w:rsidRPr="004D586B">
        <w:rPr>
          <w:sz w:val="24"/>
          <w:lang w:val="et-EE"/>
        </w:rPr>
        <w:t>maize</w:t>
      </w:r>
      <w:proofErr w:type="spellEnd"/>
      <w:r w:rsidRPr="004D586B">
        <w:rPr>
          <w:sz w:val="24"/>
          <w:lang w:val="et-EE"/>
        </w:rPr>
        <w:t xml:space="preserve"> NK603 as </w:t>
      </w:r>
      <w:proofErr w:type="spellStart"/>
      <w:r w:rsidRPr="004D586B">
        <w:rPr>
          <w:sz w:val="24"/>
          <w:lang w:val="et-EE"/>
        </w:rPr>
        <w:t>existing</w:t>
      </w:r>
      <w:proofErr w:type="spellEnd"/>
      <w:r w:rsidRPr="004D586B">
        <w:rPr>
          <w:sz w:val="24"/>
          <w:lang w:val="et-EE"/>
        </w:rPr>
        <w:t xml:space="preserve"> </w:t>
      </w:r>
      <w:proofErr w:type="spellStart"/>
      <w:r w:rsidRPr="004D586B">
        <w:rPr>
          <w:sz w:val="24"/>
          <w:lang w:val="et-EE"/>
        </w:rPr>
        <w:t>product</w:t>
      </w:r>
      <w:proofErr w:type="spellEnd"/>
      <w:r w:rsidRPr="004D586B">
        <w:rPr>
          <w:sz w:val="24"/>
          <w:lang w:val="et-EE"/>
        </w:rPr>
        <w:t xml:space="preserve"> (Geneetiliselt muundatud organismide komisjoni teaduslik arvamus taotluste (EFSA-GMO-NL-2005–22 ja EFSA-GMO-RX-NK603) kohta lasta turule </w:t>
      </w:r>
      <w:proofErr w:type="spellStart"/>
      <w:r w:rsidRPr="004D586B">
        <w:rPr>
          <w:sz w:val="24"/>
          <w:lang w:val="et-EE"/>
        </w:rPr>
        <w:t>glüfosaaditolerantset</w:t>
      </w:r>
      <w:proofErr w:type="spellEnd"/>
      <w:r w:rsidRPr="004D586B">
        <w:rPr>
          <w:sz w:val="24"/>
          <w:lang w:val="et-EE"/>
        </w:rPr>
        <w:t xml:space="preserve"> geneetiliselt muundatud maisi NK603 viljeluseks, toiduks ja söödaks kasutamiseks ning impordi ja töötlemise eesmärgil ning olemasoleva tootena maisi NK603 kasutamise loa pikendamise kohta. </w:t>
      </w:r>
      <w:r w:rsidRPr="004D586B">
        <w:rPr>
          <w:sz w:val="24"/>
          <w:lang w:val="et-EE"/>
        </w:rPr>
        <w:t xml:space="preserve">EFSA </w:t>
      </w:r>
      <w:proofErr w:type="spellStart"/>
      <w:r w:rsidRPr="004D586B">
        <w:rPr>
          <w:sz w:val="24"/>
          <w:lang w:val="et-EE"/>
        </w:rPr>
        <w:t>Journal</w:t>
      </w:r>
      <w:proofErr w:type="spellEnd"/>
      <w:r w:rsidRPr="004D586B">
        <w:rPr>
          <w:sz w:val="24"/>
          <w:lang w:val="et-EE"/>
        </w:rPr>
        <w:t xml:space="preserve">, 7(6), lk 1137, </w:t>
      </w:r>
      <w:hyperlink r:id="rId15" w:history="1">
        <w:r w:rsidRPr="004D586B">
          <w:rPr>
            <w:rStyle w:val="Hyperlink"/>
            <w:sz w:val="24"/>
            <w:lang w:val="et-EE"/>
          </w:rPr>
          <w:t>https://doi.org/10.2903/j.efsa.2009.1137</w:t>
        </w:r>
      </w:hyperlink>
      <w:r w:rsidRPr="004D586B">
        <w:rPr>
          <w:sz w:val="24"/>
          <w:lang w:val="et-EE"/>
        </w:rPr>
        <w:t>.</w:t>
      </w:r>
    </w:p>
  </w:footnote>
  <w:footnote w:id="7">
    <w:p w14:paraId="21F987CE" w14:textId="68B17B78"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Vt nt </w:t>
      </w:r>
      <w:proofErr w:type="spellStart"/>
      <w:r w:rsidRPr="004D586B">
        <w:rPr>
          <w:sz w:val="24"/>
          <w:lang w:val="et-EE"/>
        </w:rPr>
        <w:t>Bonny</w:t>
      </w:r>
      <w:proofErr w:type="spellEnd"/>
      <w:r w:rsidRPr="004D586B">
        <w:rPr>
          <w:sz w:val="24"/>
          <w:lang w:val="et-EE"/>
        </w:rPr>
        <w:t>, S., „</w:t>
      </w:r>
      <w:proofErr w:type="spellStart"/>
      <w:r w:rsidRPr="004D586B">
        <w:rPr>
          <w:sz w:val="24"/>
          <w:lang w:val="et-EE"/>
        </w:rPr>
        <w:t>Genetically</w:t>
      </w:r>
      <w:proofErr w:type="spellEnd"/>
      <w:r w:rsidRPr="004D586B">
        <w:rPr>
          <w:sz w:val="24"/>
          <w:lang w:val="et-EE"/>
        </w:rPr>
        <w:t xml:space="preserve"> </w:t>
      </w:r>
      <w:proofErr w:type="spellStart"/>
      <w:r w:rsidRPr="004D586B">
        <w:rPr>
          <w:sz w:val="24"/>
          <w:lang w:val="et-EE"/>
        </w:rPr>
        <w:t>Modified</w:t>
      </w:r>
      <w:proofErr w:type="spellEnd"/>
      <w:r w:rsidRPr="004D586B">
        <w:rPr>
          <w:sz w:val="24"/>
          <w:lang w:val="et-EE"/>
        </w:rPr>
        <w:t xml:space="preserve"> </w:t>
      </w:r>
      <w:proofErr w:type="spellStart"/>
      <w:r w:rsidRPr="004D586B">
        <w:rPr>
          <w:sz w:val="24"/>
          <w:lang w:val="et-EE"/>
        </w:rPr>
        <w:t>Herbicide</w:t>
      </w:r>
      <w:proofErr w:type="spellEnd"/>
      <w:r w:rsidRPr="004D586B">
        <w:rPr>
          <w:sz w:val="24"/>
          <w:lang w:val="et-EE"/>
        </w:rPr>
        <w:t xml:space="preserve">-Tolerant </w:t>
      </w:r>
      <w:proofErr w:type="spellStart"/>
      <w:r w:rsidRPr="004D586B">
        <w:rPr>
          <w:sz w:val="24"/>
          <w:lang w:val="et-EE"/>
        </w:rPr>
        <w:t>Crops</w:t>
      </w:r>
      <w:proofErr w:type="spellEnd"/>
      <w:r w:rsidRPr="004D586B">
        <w:rPr>
          <w:sz w:val="24"/>
          <w:lang w:val="et-EE"/>
        </w:rPr>
        <w:t xml:space="preserve">, </w:t>
      </w:r>
      <w:proofErr w:type="spellStart"/>
      <w:r w:rsidRPr="004D586B">
        <w:rPr>
          <w:sz w:val="24"/>
          <w:lang w:val="et-EE"/>
        </w:rPr>
        <w:t>Weeds</w:t>
      </w:r>
      <w:proofErr w:type="spellEnd"/>
      <w:r w:rsidRPr="004D586B">
        <w:rPr>
          <w:sz w:val="24"/>
          <w:lang w:val="et-EE"/>
        </w:rPr>
        <w:t xml:space="preserve">, and </w:t>
      </w:r>
      <w:proofErr w:type="spellStart"/>
      <w:r w:rsidRPr="004D586B">
        <w:rPr>
          <w:sz w:val="24"/>
          <w:lang w:val="et-EE"/>
        </w:rPr>
        <w:t>Herbicides</w:t>
      </w:r>
      <w:proofErr w:type="spellEnd"/>
      <w:r w:rsidRPr="004D586B">
        <w:rPr>
          <w:sz w:val="24"/>
          <w:lang w:val="et-EE"/>
        </w:rPr>
        <w:t xml:space="preserve">: </w:t>
      </w:r>
      <w:proofErr w:type="spellStart"/>
      <w:r w:rsidRPr="004D586B">
        <w:rPr>
          <w:sz w:val="24"/>
          <w:lang w:val="et-EE"/>
        </w:rPr>
        <w:t>Overview</w:t>
      </w:r>
      <w:proofErr w:type="spellEnd"/>
      <w:r w:rsidRPr="004D586B">
        <w:rPr>
          <w:sz w:val="24"/>
          <w:lang w:val="et-EE"/>
        </w:rPr>
        <w:t xml:space="preserve"> and </w:t>
      </w:r>
      <w:proofErr w:type="spellStart"/>
      <w:r w:rsidRPr="004D586B">
        <w:rPr>
          <w:sz w:val="24"/>
          <w:lang w:val="et-EE"/>
        </w:rPr>
        <w:t>Impact</w:t>
      </w:r>
      <w:proofErr w:type="spellEnd"/>
      <w:r w:rsidRPr="004D586B">
        <w:rPr>
          <w:sz w:val="24"/>
          <w:lang w:val="et-EE"/>
        </w:rPr>
        <w:t xml:space="preserve">“ (Geneetiliselt muundatud herbitsiiditolerantsed põllukultuurid, umbrohi ja taimemürgid: ülevaade ja mõju), </w:t>
      </w:r>
      <w:proofErr w:type="spellStart"/>
      <w:r w:rsidRPr="004D586B">
        <w:rPr>
          <w:sz w:val="24"/>
          <w:lang w:val="et-EE"/>
        </w:rPr>
        <w:t>Environmental</w:t>
      </w:r>
      <w:proofErr w:type="spellEnd"/>
      <w:r w:rsidRPr="004D586B">
        <w:rPr>
          <w:sz w:val="24"/>
          <w:lang w:val="et-EE"/>
        </w:rPr>
        <w:t xml:space="preserve"> Management, jaanuar 2016, 57(1), lk 31–48, </w:t>
      </w:r>
      <w:hyperlink r:id="rId16" w:history="1">
        <w:r w:rsidRPr="004D586B">
          <w:rPr>
            <w:rStyle w:val="Hyperlink"/>
            <w:sz w:val="24"/>
            <w:shd w:val="clear" w:color="auto" w:fill="FFFFFF"/>
            <w:lang w:val="et-EE"/>
          </w:rPr>
          <w:t>https://doi.org/10.1007/s00267-015-0589-7</w:t>
        </w:r>
      </w:hyperlink>
      <w:r w:rsidRPr="004D586B">
        <w:rPr>
          <w:sz w:val="24"/>
          <w:lang w:val="et-EE"/>
        </w:rPr>
        <w:t xml:space="preserve">, ja </w:t>
      </w:r>
      <w:proofErr w:type="spellStart"/>
      <w:r w:rsidRPr="004D586B">
        <w:rPr>
          <w:sz w:val="24"/>
          <w:lang w:val="et-EE"/>
        </w:rPr>
        <w:t>Benbrook</w:t>
      </w:r>
      <w:proofErr w:type="spellEnd"/>
      <w:r w:rsidRPr="004D586B">
        <w:rPr>
          <w:sz w:val="24"/>
          <w:lang w:val="et-EE"/>
        </w:rPr>
        <w:t>, C. M., „</w:t>
      </w:r>
      <w:proofErr w:type="spellStart"/>
      <w:r w:rsidRPr="004D586B">
        <w:rPr>
          <w:sz w:val="24"/>
          <w:lang w:val="et-EE"/>
        </w:rPr>
        <w:t>Impacts</w:t>
      </w:r>
      <w:proofErr w:type="spellEnd"/>
      <w:r w:rsidRPr="004D586B">
        <w:rPr>
          <w:sz w:val="24"/>
          <w:lang w:val="et-EE"/>
        </w:rPr>
        <w:t xml:space="preserve"> of </w:t>
      </w:r>
      <w:proofErr w:type="spellStart"/>
      <w:r w:rsidRPr="004D586B">
        <w:rPr>
          <w:sz w:val="24"/>
          <w:lang w:val="et-EE"/>
        </w:rPr>
        <w:t>genetically</w:t>
      </w:r>
      <w:proofErr w:type="spellEnd"/>
      <w:r w:rsidRPr="004D586B">
        <w:rPr>
          <w:sz w:val="24"/>
          <w:lang w:val="et-EE"/>
        </w:rPr>
        <w:t xml:space="preserve"> </w:t>
      </w:r>
      <w:proofErr w:type="spellStart"/>
      <w:r w:rsidRPr="004D586B">
        <w:rPr>
          <w:sz w:val="24"/>
          <w:lang w:val="et-EE"/>
        </w:rPr>
        <w:t>engineered</w:t>
      </w:r>
      <w:proofErr w:type="spellEnd"/>
      <w:r w:rsidRPr="004D586B">
        <w:rPr>
          <w:sz w:val="24"/>
          <w:lang w:val="et-EE"/>
        </w:rPr>
        <w:t xml:space="preserve"> </w:t>
      </w:r>
      <w:proofErr w:type="spellStart"/>
      <w:r w:rsidRPr="004D586B">
        <w:rPr>
          <w:sz w:val="24"/>
          <w:lang w:val="et-EE"/>
        </w:rPr>
        <w:t>crops</w:t>
      </w:r>
      <w:proofErr w:type="spellEnd"/>
      <w:r w:rsidRPr="004D586B">
        <w:rPr>
          <w:sz w:val="24"/>
          <w:lang w:val="et-EE"/>
        </w:rPr>
        <w:t xml:space="preserve"> on </w:t>
      </w:r>
      <w:proofErr w:type="spellStart"/>
      <w:r w:rsidRPr="004D586B">
        <w:rPr>
          <w:sz w:val="24"/>
          <w:lang w:val="et-EE"/>
        </w:rPr>
        <w:t>pesticide</w:t>
      </w:r>
      <w:proofErr w:type="spellEnd"/>
      <w:r w:rsidRPr="004D586B">
        <w:rPr>
          <w:sz w:val="24"/>
          <w:lang w:val="et-EE"/>
        </w:rPr>
        <w:t xml:space="preserve"> </w:t>
      </w:r>
      <w:proofErr w:type="spellStart"/>
      <w:r w:rsidRPr="004D586B">
        <w:rPr>
          <w:sz w:val="24"/>
          <w:lang w:val="et-EE"/>
        </w:rPr>
        <w:t>use</w:t>
      </w:r>
      <w:proofErr w:type="spellEnd"/>
      <w:r w:rsidRPr="004D586B">
        <w:rPr>
          <w:sz w:val="24"/>
          <w:lang w:val="et-EE"/>
        </w:rPr>
        <w:t xml:space="preserve"> in </w:t>
      </w:r>
      <w:proofErr w:type="spellStart"/>
      <w:r w:rsidRPr="004D586B">
        <w:rPr>
          <w:sz w:val="24"/>
          <w:lang w:val="et-EE"/>
        </w:rPr>
        <w:t>the</w:t>
      </w:r>
      <w:proofErr w:type="spellEnd"/>
      <w:r w:rsidRPr="004D586B">
        <w:rPr>
          <w:sz w:val="24"/>
          <w:lang w:val="et-EE"/>
        </w:rPr>
        <w:t xml:space="preserve"> U.S. – </w:t>
      </w:r>
      <w:proofErr w:type="spellStart"/>
      <w:r w:rsidRPr="004D586B">
        <w:rPr>
          <w:sz w:val="24"/>
          <w:lang w:val="et-EE"/>
        </w:rPr>
        <w:t>the</w:t>
      </w:r>
      <w:proofErr w:type="spellEnd"/>
      <w:r w:rsidRPr="004D586B">
        <w:rPr>
          <w:sz w:val="24"/>
          <w:lang w:val="et-EE"/>
        </w:rPr>
        <w:t xml:space="preserve"> </w:t>
      </w:r>
      <w:proofErr w:type="spellStart"/>
      <w:r w:rsidRPr="004D586B">
        <w:rPr>
          <w:sz w:val="24"/>
          <w:lang w:val="et-EE"/>
        </w:rPr>
        <w:t>first</w:t>
      </w:r>
      <w:proofErr w:type="spellEnd"/>
      <w:r w:rsidRPr="004D586B">
        <w:rPr>
          <w:sz w:val="24"/>
          <w:lang w:val="et-EE"/>
        </w:rPr>
        <w:t xml:space="preserve"> </w:t>
      </w:r>
      <w:proofErr w:type="spellStart"/>
      <w:r w:rsidRPr="004D586B">
        <w:rPr>
          <w:sz w:val="24"/>
          <w:lang w:val="et-EE"/>
        </w:rPr>
        <w:t>sixteen</w:t>
      </w:r>
      <w:proofErr w:type="spellEnd"/>
      <w:r w:rsidRPr="004D586B">
        <w:rPr>
          <w:sz w:val="24"/>
          <w:lang w:val="et-EE"/>
        </w:rPr>
        <w:t xml:space="preserve"> </w:t>
      </w:r>
      <w:proofErr w:type="spellStart"/>
      <w:r w:rsidRPr="004D586B">
        <w:rPr>
          <w:sz w:val="24"/>
          <w:lang w:val="et-EE"/>
        </w:rPr>
        <w:t>years</w:t>
      </w:r>
      <w:proofErr w:type="spellEnd"/>
      <w:r w:rsidRPr="004D586B">
        <w:rPr>
          <w:sz w:val="24"/>
          <w:lang w:val="et-EE"/>
        </w:rPr>
        <w:t xml:space="preserve">“ (Geneetiliselt muudetud põllukultuuride mõju pestitsiidikasutusele USAs – esimesed 16 aastat), </w:t>
      </w:r>
      <w:proofErr w:type="spellStart"/>
      <w:r w:rsidRPr="004D586B">
        <w:rPr>
          <w:sz w:val="24"/>
          <w:lang w:val="et-EE"/>
        </w:rPr>
        <w:t>Environmental</w:t>
      </w:r>
      <w:proofErr w:type="spellEnd"/>
      <w:r w:rsidRPr="004D586B">
        <w:rPr>
          <w:sz w:val="24"/>
          <w:lang w:val="et-EE"/>
        </w:rPr>
        <w:t xml:space="preserve"> </w:t>
      </w:r>
      <w:proofErr w:type="spellStart"/>
      <w:r w:rsidRPr="004D586B">
        <w:rPr>
          <w:sz w:val="24"/>
          <w:lang w:val="et-EE"/>
        </w:rPr>
        <w:t>Sciences</w:t>
      </w:r>
      <w:proofErr w:type="spellEnd"/>
      <w:r w:rsidRPr="004D586B">
        <w:rPr>
          <w:sz w:val="24"/>
          <w:lang w:val="et-EE"/>
        </w:rPr>
        <w:t xml:space="preserve"> Europe, 28. september 2012, köide 24(1), </w:t>
      </w:r>
      <w:hyperlink r:id="rId17" w:history="1">
        <w:r w:rsidRPr="004D586B">
          <w:rPr>
            <w:rStyle w:val="Hyperlink"/>
            <w:sz w:val="24"/>
            <w:shd w:val="clear" w:color="auto" w:fill="FFFFFF"/>
            <w:lang w:val="et-EE"/>
          </w:rPr>
          <w:t>https://doi.org/10.1186/2190-4715-24-24</w:t>
        </w:r>
      </w:hyperlink>
      <w:r w:rsidRPr="004D586B">
        <w:rPr>
          <w:sz w:val="24"/>
          <w:lang w:val="et-EE"/>
        </w:rPr>
        <w:t>.</w:t>
      </w:r>
    </w:p>
  </w:footnote>
  <w:footnote w:id="8">
    <w:p w14:paraId="2C821C1A" w14:textId="7D00A476"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Vt nt: </w:t>
      </w:r>
      <w:r w:rsidR="00CE1E8A" w:rsidRPr="00C4072F">
        <w:rPr>
          <w:lang w:val="sv-SE"/>
        </w:rPr>
        <w:br/>
      </w:r>
      <w:hyperlink r:id="rId18" w:history="1">
        <w:r w:rsidRPr="004D586B">
          <w:rPr>
            <w:rStyle w:val="Hyperlink"/>
            <w:sz w:val="24"/>
            <w:lang w:val="et-EE"/>
          </w:rPr>
          <w:t>https://doi.org/10.1002/ps.8105</w:t>
        </w:r>
      </w:hyperlink>
      <w:r w:rsidRPr="004D586B">
        <w:rPr>
          <w:sz w:val="24"/>
          <w:lang w:val="et-EE"/>
        </w:rPr>
        <w:t>,</w:t>
      </w:r>
      <w:r w:rsidR="00EA3F5A" w:rsidRPr="00C4072F">
        <w:rPr>
          <w:lang w:val="sv-SE"/>
        </w:rPr>
        <w:br/>
      </w:r>
      <w:hyperlink r:id="rId19" w:tgtFrame="_blank" w:tooltip="Püsilink objekti digitaalidentifikaatori abil" w:history="1">
        <w:r w:rsidRPr="004D586B">
          <w:rPr>
            <w:rStyle w:val="Hyperlink"/>
            <w:sz w:val="24"/>
            <w:lang w:val="et-EE"/>
          </w:rPr>
          <w:t>https://doi.org/10.1016/j.geoforum.2009.03.009</w:t>
        </w:r>
      </w:hyperlink>
      <w:r w:rsidRPr="004D586B">
        <w:rPr>
          <w:sz w:val="24"/>
          <w:lang w:val="et-EE"/>
        </w:rPr>
        <w:t>.</w:t>
      </w:r>
    </w:p>
  </w:footnote>
  <w:footnote w:id="9">
    <w:p w14:paraId="167CD209" w14:textId="14136254"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Vt nt: </w:t>
      </w:r>
      <w:hyperlink r:id="rId20" w:history="1">
        <w:r w:rsidRPr="004D586B">
          <w:rPr>
            <w:rStyle w:val="Hyperlink"/>
            <w:sz w:val="24"/>
            <w:lang w:val="et-EE"/>
          </w:rPr>
          <w:t>https://doi.org/10.1016/j.mrrev.2019.02.001</w:t>
        </w:r>
      </w:hyperlink>
      <w:r w:rsidRPr="004D586B">
        <w:rPr>
          <w:sz w:val="24"/>
          <w:lang w:val="et-EE"/>
        </w:rPr>
        <w:t>,</w:t>
      </w:r>
      <w:r w:rsidRPr="004D586B">
        <w:rPr>
          <w:sz w:val="24"/>
          <w:lang w:val="et-EE"/>
        </w:rPr>
        <w:br/>
      </w:r>
      <w:hyperlink r:id="rId21" w:history="1">
        <w:r w:rsidRPr="004D586B">
          <w:rPr>
            <w:rStyle w:val="Hyperlink"/>
            <w:sz w:val="24"/>
            <w:lang w:val="et-EE"/>
          </w:rPr>
          <w:t>https://doi.org/10.1093/ije/dyz017</w:t>
        </w:r>
      </w:hyperlink>
      <w:r w:rsidRPr="004D586B">
        <w:rPr>
          <w:sz w:val="24"/>
          <w:lang w:val="et-EE"/>
        </w:rPr>
        <w:t>,</w:t>
      </w:r>
      <w:r w:rsidRPr="004D586B">
        <w:rPr>
          <w:sz w:val="24"/>
          <w:lang w:val="et-EE"/>
        </w:rPr>
        <w:br/>
      </w:r>
      <w:hyperlink r:id="rId22" w:history="1">
        <w:r w:rsidRPr="004D586B">
          <w:rPr>
            <w:rStyle w:val="Hyperlink"/>
            <w:sz w:val="24"/>
            <w:lang w:val="et-EE"/>
          </w:rPr>
          <w:t>https://doi.org/10.1371/journal.pone.0219610</w:t>
        </w:r>
      </w:hyperlink>
      <w:r w:rsidRPr="004D586B">
        <w:rPr>
          <w:sz w:val="24"/>
          <w:lang w:val="et-EE"/>
        </w:rPr>
        <w:t xml:space="preserve"> ja</w:t>
      </w:r>
      <w:r w:rsidRPr="004D586B">
        <w:rPr>
          <w:sz w:val="24"/>
          <w:lang w:val="et-EE"/>
        </w:rPr>
        <w:br/>
      </w:r>
      <w:hyperlink r:id="rId23" w:history="1">
        <w:r w:rsidRPr="004D586B">
          <w:rPr>
            <w:rStyle w:val="Hyperlink"/>
            <w:sz w:val="24"/>
            <w:lang w:val="et-EE"/>
          </w:rPr>
          <w:t>https://doi.org/10.1186/s13045-019-0767-9</w:t>
        </w:r>
      </w:hyperlink>
      <w:r w:rsidRPr="004D586B">
        <w:rPr>
          <w:sz w:val="24"/>
          <w:lang w:val="et-EE"/>
        </w:rPr>
        <w:t>.</w:t>
      </w:r>
    </w:p>
  </w:footnote>
  <w:footnote w:id="10">
    <w:p w14:paraId="4D926CC6" w14:textId="6617C9F1"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color w:val="000000" w:themeColor="text1"/>
          <w:sz w:val="24"/>
          <w:lang w:val="et-EE"/>
        </w:rPr>
        <w:t xml:space="preserve"> </w:t>
      </w:r>
      <w:r w:rsidR="004D586B" w:rsidRPr="004D586B">
        <w:rPr>
          <w:color w:val="000000" w:themeColor="text1"/>
          <w:sz w:val="24"/>
          <w:lang w:val="et-EE"/>
        </w:rPr>
        <w:tab/>
      </w:r>
      <w:r w:rsidRPr="004D586B">
        <w:rPr>
          <w:color w:val="000000" w:themeColor="text1"/>
          <w:sz w:val="24"/>
          <w:lang w:val="et-EE"/>
        </w:rPr>
        <w:t xml:space="preserve">2022. aasta detsembris lepiti ÜRO bioloogilise mitmekesisuse konventsiooni osaliste konverentsi 15. istungjärgul kokku ülemaailmses elurikkuse raamistikus, mis sisaldab üleilmset eesmärki vähendada taimekaitsevahenditest tulenevaid ohte 2030. </w:t>
      </w:r>
      <w:r w:rsidRPr="004D586B">
        <w:rPr>
          <w:color w:val="000000" w:themeColor="text1"/>
          <w:sz w:val="24"/>
          <w:lang w:val="et-EE"/>
        </w:rPr>
        <w:t xml:space="preserve">aastaks vähemalt 50% (vt </w:t>
      </w:r>
      <w:hyperlink r:id="rId24" w:history="1">
        <w:r w:rsidRPr="004D586B">
          <w:rPr>
            <w:rStyle w:val="Hyperlink"/>
            <w:sz w:val="24"/>
            <w:lang w:val="et-EE"/>
          </w:rPr>
          <w:t>https://ec.europa.eu/commission/presscorner/detail/en/ip_22_7834</w:t>
        </w:r>
      </w:hyperlink>
      <w:r w:rsidRPr="004D586B">
        <w:rPr>
          <w:sz w:val="24"/>
          <w:lang w:val="et-EE"/>
        </w:rPr>
        <w:t>).</w:t>
      </w:r>
    </w:p>
  </w:footnote>
  <w:footnote w:id="11">
    <w:p w14:paraId="0563C90A" w14:textId="72A97714"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hyperlink r:id="rId25" w:history="1">
        <w:r w:rsidRPr="004D586B">
          <w:rPr>
            <w:rStyle w:val="Hyperlink"/>
            <w:sz w:val="24"/>
            <w:lang w:val="et-EE"/>
          </w:rPr>
          <w:t>https://commission.europa.eu/strategy-and-policy/priorities-2019-2024/european-green-deal/agriculture-and-green-deal/strategic-dialogue-future-eu-agriculture_et</w:t>
        </w:r>
      </w:hyperlink>
      <w:r w:rsidRPr="004D586B">
        <w:rPr>
          <w:sz w:val="24"/>
          <w:lang w:val="et-EE"/>
        </w:rPr>
        <w:t xml:space="preserve">. </w:t>
      </w:r>
    </w:p>
  </w:footnote>
  <w:footnote w:id="12">
    <w:p w14:paraId="602447B1" w14:textId="3C9AE060" w:rsidR="00BC1DEC" w:rsidRPr="004D586B" w:rsidRDefault="00BC1DEC" w:rsidP="004D586B">
      <w:pPr>
        <w:pStyle w:val="FootnoteText"/>
        <w:ind w:left="567" w:hanging="567"/>
        <w:rPr>
          <w:sz w:val="24"/>
          <w:lang w:val="et-EE"/>
        </w:rPr>
      </w:pPr>
      <w:r w:rsidRPr="004D586B">
        <w:rPr>
          <w:rStyle w:val="FootnoteReference"/>
          <w:sz w:val="24"/>
          <w:lang w:val="et-EE"/>
        </w:rPr>
        <w:footnoteRef/>
      </w:r>
      <w:r w:rsidR="004D586B" w:rsidRPr="004D586B">
        <w:rPr>
          <w:sz w:val="24"/>
          <w:lang w:val="et-EE"/>
        </w:rPr>
        <w:t xml:space="preserve"> </w:t>
      </w:r>
      <w:r w:rsidR="004D586B" w:rsidRPr="004D586B">
        <w:rPr>
          <w:sz w:val="24"/>
          <w:lang w:val="et-EE"/>
        </w:rPr>
        <w:tab/>
      </w:r>
      <w:r w:rsidRPr="004D586B">
        <w:rPr>
          <w:sz w:val="24"/>
          <w:lang w:val="et-EE"/>
        </w:rPr>
        <w:t xml:space="preserve">Euroopa Parlamendi ja nõukogu 28. jaanuari 2002. </w:t>
      </w:r>
      <w:r w:rsidRPr="004D586B">
        <w:rPr>
          <w:sz w:val="24"/>
          <w:lang w:val="et-EE"/>
        </w:rPr>
        <w:t xml:space="preserve">aasta määrus (EÜ) nr 178/2002, millega sätestatakse toidualaste õigusnormide üldised põhimõtted ja nõuded, asutatakse Euroopa Toiduohutusamet ja kehtestatakse toidu ohutusega seotud menetlused (EÜT L 31, 1.2.2002, lk 1, ELI: </w:t>
      </w:r>
      <w:hyperlink r:id="rId26" w:history="1">
        <w:r w:rsidRPr="004D586B">
          <w:rPr>
            <w:rStyle w:val="Hyperlink"/>
            <w:sz w:val="24"/>
            <w:lang w:val="et-EE"/>
          </w:rPr>
          <w:t>http://data.europa.eu/eli/reg/2002/178/oj</w:t>
        </w:r>
      </w:hyperlink>
      <w:r w:rsidRPr="004D586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2DDC" w14:textId="77777777" w:rsidR="00064002" w:rsidRPr="004D58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2A93" w14:textId="77777777" w:rsidR="00064002" w:rsidRPr="004D58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2B79" w14:textId="77777777" w:rsidR="00064002" w:rsidRPr="004D58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8266505">
    <w:abstractNumId w:val="9"/>
  </w:num>
  <w:num w:numId="2" w16cid:durableId="1033775651">
    <w:abstractNumId w:val="9"/>
  </w:num>
  <w:num w:numId="3" w16cid:durableId="70153781">
    <w:abstractNumId w:val="7"/>
  </w:num>
  <w:num w:numId="4" w16cid:durableId="848906487">
    <w:abstractNumId w:val="7"/>
  </w:num>
  <w:num w:numId="5" w16cid:durableId="1516382609">
    <w:abstractNumId w:val="6"/>
  </w:num>
  <w:num w:numId="6" w16cid:durableId="1983650384">
    <w:abstractNumId w:val="6"/>
  </w:num>
  <w:num w:numId="7" w16cid:durableId="2130851857">
    <w:abstractNumId w:val="5"/>
  </w:num>
  <w:num w:numId="8" w16cid:durableId="1988435324">
    <w:abstractNumId w:val="5"/>
  </w:num>
  <w:num w:numId="9" w16cid:durableId="1427578525">
    <w:abstractNumId w:val="4"/>
  </w:num>
  <w:num w:numId="10" w16cid:durableId="1041513031">
    <w:abstractNumId w:val="4"/>
  </w:num>
  <w:num w:numId="11" w16cid:durableId="1401826947">
    <w:abstractNumId w:val="8"/>
  </w:num>
  <w:num w:numId="12" w16cid:durableId="311252580">
    <w:abstractNumId w:val="8"/>
  </w:num>
  <w:num w:numId="13" w16cid:durableId="1426267065">
    <w:abstractNumId w:val="3"/>
  </w:num>
  <w:num w:numId="14" w16cid:durableId="1711802714">
    <w:abstractNumId w:val="3"/>
  </w:num>
  <w:num w:numId="15" w16cid:durableId="1114516669">
    <w:abstractNumId w:val="2"/>
  </w:num>
  <w:num w:numId="16" w16cid:durableId="313800186">
    <w:abstractNumId w:val="2"/>
  </w:num>
  <w:num w:numId="17" w16cid:durableId="340280921">
    <w:abstractNumId w:val="1"/>
  </w:num>
  <w:num w:numId="18" w16cid:durableId="943728279">
    <w:abstractNumId w:val="1"/>
  </w:num>
  <w:num w:numId="19" w16cid:durableId="634794451">
    <w:abstractNumId w:val="0"/>
  </w:num>
  <w:num w:numId="20" w16cid:durableId="823207837">
    <w:abstractNumId w:val="0"/>
  </w:num>
  <w:num w:numId="21" w16cid:durableId="1378578255">
    <w:abstractNumId w:val="9"/>
  </w:num>
  <w:num w:numId="22" w16cid:durableId="1615670962">
    <w:abstractNumId w:val="7"/>
  </w:num>
  <w:num w:numId="23" w16cid:durableId="719207037">
    <w:abstractNumId w:val="6"/>
  </w:num>
  <w:num w:numId="24" w16cid:durableId="2004235028">
    <w:abstractNumId w:val="5"/>
  </w:num>
  <w:num w:numId="25" w16cid:durableId="1108623747">
    <w:abstractNumId w:val="4"/>
  </w:num>
  <w:num w:numId="26" w16cid:durableId="938099850">
    <w:abstractNumId w:val="8"/>
  </w:num>
  <w:num w:numId="27" w16cid:durableId="1582985831">
    <w:abstractNumId w:val="3"/>
  </w:num>
  <w:num w:numId="28" w16cid:durableId="751245231">
    <w:abstractNumId w:val="2"/>
  </w:num>
  <w:num w:numId="29" w16cid:durableId="240797830">
    <w:abstractNumId w:val="1"/>
  </w:num>
  <w:num w:numId="30" w16cid:durableId="1142776306">
    <w:abstractNumId w:val="0"/>
  </w:num>
  <w:num w:numId="31" w16cid:durableId="1119375945">
    <w:abstractNumId w:val="9"/>
  </w:num>
  <w:num w:numId="32" w16cid:durableId="37123843">
    <w:abstractNumId w:val="7"/>
  </w:num>
  <w:num w:numId="33" w16cid:durableId="1732190554">
    <w:abstractNumId w:val="6"/>
  </w:num>
  <w:num w:numId="34" w16cid:durableId="867107503">
    <w:abstractNumId w:val="5"/>
  </w:num>
  <w:num w:numId="35" w16cid:durableId="845359743">
    <w:abstractNumId w:val="4"/>
  </w:num>
  <w:num w:numId="36" w16cid:durableId="985088978">
    <w:abstractNumId w:val="8"/>
  </w:num>
  <w:num w:numId="37" w16cid:durableId="2054189779">
    <w:abstractNumId w:val="3"/>
  </w:num>
  <w:num w:numId="38" w16cid:durableId="1846166339">
    <w:abstractNumId w:val="2"/>
  </w:num>
  <w:num w:numId="39" w16cid:durableId="429089132">
    <w:abstractNumId w:val="1"/>
  </w:num>
  <w:num w:numId="40" w16cid:durableId="15161356">
    <w:abstractNumId w:val="0"/>
  </w:num>
  <w:num w:numId="41" w16cid:durableId="1390574451">
    <w:abstractNumId w:val="10"/>
  </w:num>
  <w:num w:numId="42" w16cid:durableId="1675451641">
    <w:abstractNumId w:val="10"/>
  </w:num>
  <w:num w:numId="43" w16cid:durableId="996496523">
    <w:abstractNumId w:val="10"/>
  </w:num>
  <w:num w:numId="44" w16cid:durableId="168760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ET"/>
    <w:docVar w:name="dvnumam" w:val="0"/>
    <w:docVar w:name="dvpe" w:val="779.397"/>
    <w:docVar w:name="dvtitre" w:val="Euroopa Parlamendi .... 2025. aasta resolutsioon komisjoni rakendusotsuse eelnõu kohta, millega pikendatakse geneetiliselt muundatud maisi NK603 sisaldavate, sellest koosnevate või sellest valmistatud toodete turule laskmise loa kehtivust vastavalt Euroopa Parlamendi ja nõukogu määrusele (EÜ) nr 1829/2003(D110123/02 – 2025/2958(RSP))"/>
  </w:docVars>
  <w:rsids>
    <w:rsidRoot w:val="004A5B33"/>
    <w:rsid w:val="00002272"/>
    <w:rsid w:val="00015493"/>
    <w:rsid w:val="00035A85"/>
    <w:rsid w:val="00064002"/>
    <w:rsid w:val="000677B9"/>
    <w:rsid w:val="000831BA"/>
    <w:rsid w:val="000A14F2"/>
    <w:rsid w:val="000A42CC"/>
    <w:rsid w:val="000E7DD9"/>
    <w:rsid w:val="0010095E"/>
    <w:rsid w:val="0010484D"/>
    <w:rsid w:val="00122177"/>
    <w:rsid w:val="00125B37"/>
    <w:rsid w:val="00134DEF"/>
    <w:rsid w:val="0015729A"/>
    <w:rsid w:val="00162EF0"/>
    <w:rsid w:val="00187494"/>
    <w:rsid w:val="001F32AE"/>
    <w:rsid w:val="0025769B"/>
    <w:rsid w:val="002767FF"/>
    <w:rsid w:val="002B18FE"/>
    <w:rsid w:val="002B5493"/>
    <w:rsid w:val="00341140"/>
    <w:rsid w:val="00343214"/>
    <w:rsid w:val="00361C00"/>
    <w:rsid w:val="00395FA1"/>
    <w:rsid w:val="003A2D62"/>
    <w:rsid w:val="003E15D4"/>
    <w:rsid w:val="003E6441"/>
    <w:rsid w:val="00411CCE"/>
    <w:rsid w:val="0041666E"/>
    <w:rsid w:val="00421060"/>
    <w:rsid w:val="00453E06"/>
    <w:rsid w:val="00471C19"/>
    <w:rsid w:val="004867E3"/>
    <w:rsid w:val="00494A28"/>
    <w:rsid w:val="004A5B33"/>
    <w:rsid w:val="004C0004"/>
    <w:rsid w:val="004C5D52"/>
    <w:rsid w:val="004D586B"/>
    <w:rsid w:val="0050519A"/>
    <w:rsid w:val="005072A1"/>
    <w:rsid w:val="00514517"/>
    <w:rsid w:val="00545827"/>
    <w:rsid w:val="00560270"/>
    <w:rsid w:val="005C2568"/>
    <w:rsid w:val="005F1B17"/>
    <w:rsid w:val="006037C0"/>
    <w:rsid w:val="00617C5A"/>
    <w:rsid w:val="0062661E"/>
    <w:rsid w:val="00653D67"/>
    <w:rsid w:val="006631B6"/>
    <w:rsid w:val="00680577"/>
    <w:rsid w:val="006908F3"/>
    <w:rsid w:val="006E4B82"/>
    <w:rsid w:val="006F74FA"/>
    <w:rsid w:val="00701993"/>
    <w:rsid w:val="00731ADD"/>
    <w:rsid w:val="00732C7F"/>
    <w:rsid w:val="00734777"/>
    <w:rsid w:val="00747932"/>
    <w:rsid w:val="00751A4A"/>
    <w:rsid w:val="00756632"/>
    <w:rsid w:val="00762C74"/>
    <w:rsid w:val="00786EC0"/>
    <w:rsid w:val="007979E3"/>
    <w:rsid w:val="007D1690"/>
    <w:rsid w:val="007E22AD"/>
    <w:rsid w:val="00817416"/>
    <w:rsid w:val="00842779"/>
    <w:rsid w:val="00844043"/>
    <w:rsid w:val="00865F67"/>
    <w:rsid w:val="00881A7B"/>
    <w:rsid w:val="008840E5"/>
    <w:rsid w:val="00887B3E"/>
    <w:rsid w:val="0089438F"/>
    <w:rsid w:val="008C2AC6"/>
    <w:rsid w:val="00930C23"/>
    <w:rsid w:val="0093193B"/>
    <w:rsid w:val="009509D8"/>
    <w:rsid w:val="00950B64"/>
    <w:rsid w:val="00981893"/>
    <w:rsid w:val="00A1687D"/>
    <w:rsid w:val="00A43E52"/>
    <w:rsid w:val="00A4678D"/>
    <w:rsid w:val="00A778C7"/>
    <w:rsid w:val="00A967FA"/>
    <w:rsid w:val="00AB441E"/>
    <w:rsid w:val="00AB6293"/>
    <w:rsid w:val="00AE0928"/>
    <w:rsid w:val="00AE582C"/>
    <w:rsid w:val="00AF3B82"/>
    <w:rsid w:val="00B12E95"/>
    <w:rsid w:val="00B22876"/>
    <w:rsid w:val="00B2296A"/>
    <w:rsid w:val="00B54330"/>
    <w:rsid w:val="00B558F0"/>
    <w:rsid w:val="00BA3332"/>
    <w:rsid w:val="00BC1DEC"/>
    <w:rsid w:val="00BD48FE"/>
    <w:rsid w:val="00BD7BD8"/>
    <w:rsid w:val="00BE6ADC"/>
    <w:rsid w:val="00C05BFE"/>
    <w:rsid w:val="00C23CD4"/>
    <w:rsid w:val="00C4072F"/>
    <w:rsid w:val="00C61C0C"/>
    <w:rsid w:val="00C941CB"/>
    <w:rsid w:val="00CC2357"/>
    <w:rsid w:val="00CE1E8A"/>
    <w:rsid w:val="00CF071A"/>
    <w:rsid w:val="00D058B8"/>
    <w:rsid w:val="00D56C11"/>
    <w:rsid w:val="00D834A0"/>
    <w:rsid w:val="00D872DF"/>
    <w:rsid w:val="00D91E21"/>
    <w:rsid w:val="00DA7FCD"/>
    <w:rsid w:val="00E365E1"/>
    <w:rsid w:val="00E820A4"/>
    <w:rsid w:val="00E8637A"/>
    <w:rsid w:val="00EA3F5A"/>
    <w:rsid w:val="00EA5DF6"/>
    <w:rsid w:val="00EB006A"/>
    <w:rsid w:val="00EB1AF7"/>
    <w:rsid w:val="00EB4772"/>
    <w:rsid w:val="00ED169E"/>
    <w:rsid w:val="00ED4235"/>
    <w:rsid w:val="00EF0383"/>
    <w:rsid w:val="00F04346"/>
    <w:rsid w:val="00F075DC"/>
    <w:rsid w:val="00F149E9"/>
    <w:rsid w:val="00F5134D"/>
    <w:rsid w:val="00F74202"/>
    <w:rsid w:val="00F87713"/>
    <w:rsid w:val="00FB4360"/>
    <w:rsid w:val="00FD0C70"/>
    <w:rsid w:val="00FF00B2"/>
    <w:rsid w:val="00FF1B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70346"/>
  <w15:chartTrackingRefBased/>
  <w15:docId w15:val="{22168F3F-2465-4F72-B80C-AD55187D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C1DEC"/>
    <w:pPr>
      <w:spacing w:before="480" w:after="240"/>
    </w:pPr>
  </w:style>
  <w:style w:type="paragraph" w:customStyle="1" w:styleId="NormalHanging12a">
    <w:name w:val="NormalHanging12a"/>
    <w:basedOn w:val="Normal"/>
    <w:uiPriority w:val="99"/>
    <w:qFormat/>
    <w:rsid w:val="00BC1DEC"/>
    <w:pPr>
      <w:spacing w:after="240"/>
      <w:ind w:left="567" w:hanging="567"/>
    </w:pPr>
  </w:style>
  <w:style w:type="character" w:styleId="Hyperlink">
    <w:name w:val="Hyperlink"/>
    <w:basedOn w:val="DefaultParagraphFont"/>
    <w:uiPriority w:val="99"/>
    <w:rsid w:val="00BC1DEC"/>
    <w:rPr>
      <w:color w:val="0563C1" w:themeColor="hyperlink"/>
      <w:u w:val="single"/>
    </w:rPr>
  </w:style>
  <w:style w:type="paragraph" w:styleId="NormalWeb">
    <w:name w:val="Normal (Web)"/>
    <w:basedOn w:val="Normal"/>
    <w:uiPriority w:val="99"/>
    <w:unhideWhenUsed/>
    <w:rsid w:val="00BC1DEC"/>
    <w:pPr>
      <w:widowControl/>
      <w:spacing w:before="100" w:beforeAutospacing="1" w:after="100" w:afterAutospacing="1"/>
    </w:pPr>
    <w:rPr>
      <w:szCs w:val="24"/>
    </w:rPr>
  </w:style>
  <w:style w:type="paragraph" w:styleId="Revision">
    <w:name w:val="Revision"/>
    <w:hidden/>
    <w:uiPriority w:val="99"/>
    <w:semiHidden/>
    <w:rsid w:val="0015729A"/>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e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n/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1184</Words>
  <Characters>9032</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2025-12-16T13:33:00Z</dcterms:created>
  <dcterms:modified xsi:type="dcterms:W3CDTF">2025-12-16T13:33:00Z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B10-0562/2025</vt:lpwstr>
  </property>
  <property fmtid="{D5CDD505-2E9C-101B-9397-08002B2CF9AE}" pid="4" name="&lt;Type&gt;">
    <vt:lpwstr>RR</vt:lpwstr>
  </property>
</Properties>
</file>