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63D" w14:paraId="6B0BE364" w14:textId="77777777" w:rsidTr="0010095E">
        <w:trPr>
          <w:trHeight w:hRule="exact" w:val="1418"/>
        </w:trPr>
        <w:tc>
          <w:tcPr>
            <w:tcW w:w="6804" w:type="dxa"/>
            <w:shd w:val="clear" w:color="auto" w:fill="auto"/>
            <w:vAlign w:val="center"/>
          </w:tcPr>
          <w:p w14:paraId="27512462" w14:textId="77777777" w:rsidR="00751A4A" w:rsidRPr="0098763D" w:rsidRDefault="00C42282" w:rsidP="0010095E">
            <w:pPr>
              <w:pStyle w:val="EPName"/>
            </w:pPr>
            <w:r w:rsidRPr="0098763D">
              <w:t>Euroopan parlamentti</w:t>
            </w:r>
          </w:p>
          <w:p w14:paraId="6EED8396" w14:textId="77777777" w:rsidR="00751A4A" w:rsidRPr="0098763D" w:rsidRDefault="005F1B17" w:rsidP="005F1B17">
            <w:pPr>
              <w:pStyle w:val="EPTerm"/>
              <w:rPr>
                <w:rStyle w:val="HideTWBExt"/>
                <w:noProof w:val="0"/>
                <w:vanish w:val="0"/>
                <w:color w:val="auto"/>
              </w:rPr>
            </w:pPr>
            <w:r w:rsidRPr="0098763D">
              <w:t>2024</w:t>
            </w:r>
            <w:r w:rsidR="00817416" w:rsidRPr="0098763D">
              <w:t>-202</w:t>
            </w:r>
            <w:r w:rsidRPr="0098763D">
              <w:t>9</w:t>
            </w:r>
          </w:p>
        </w:tc>
        <w:tc>
          <w:tcPr>
            <w:tcW w:w="2268" w:type="dxa"/>
            <w:shd w:val="clear" w:color="auto" w:fill="auto"/>
          </w:tcPr>
          <w:p w14:paraId="28DE1657" w14:textId="77777777" w:rsidR="00751A4A" w:rsidRPr="0098763D" w:rsidRDefault="00187494" w:rsidP="0010095E">
            <w:pPr>
              <w:pStyle w:val="EPLogo"/>
            </w:pPr>
            <w:r w:rsidRPr="0098763D">
              <w:rPr>
                <w:noProof/>
                <w:lang w:eastAsia="ja-JP"/>
              </w:rPr>
              <w:drawing>
                <wp:inline distT="0" distB="0" distL="0" distR="0" wp14:anchorId="3231250B" wp14:editId="2266DB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1F60B9" w14:textId="77777777" w:rsidR="00D058B8" w:rsidRPr="0098763D" w:rsidRDefault="00D058B8" w:rsidP="004C5D52">
      <w:pPr>
        <w:pStyle w:val="LineTop"/>
      </w:pPr>
    </w:p>
    <w:p w14:paraId="48CE7A8A" w14:textId="77777777" w:rsidR="00680577" w:rsidRPr="0098763D" w:rsidRDefault="00C42282" w:rsidP="00680577">
      <w:pPr>
        <w:pStyle w:val="EPBodyTA1"/>
      </w:pPr>
      <w:r w:rsidRPr="0098763D">
        <w:t>HYVÄKSYTYT TEKSTIT</w:t>
      </w:r>
    </w:p>
    <w:p w14:paraId="343FD81A" w14:textId="77777777" w:rsidR="00D058B8" w:rsidRPr="0098763D" w:rsidRDefault="00D058B8" w:rsidP="00D058B8">
      <w:pPr>
        <w:pStyle w:val="LineBottom"/>
      </w:pPr>
    </w:p>
    <w:p w14:paraId="10521A5E" w14:textId="30FD77C1" w:rsidR="00C42282" w:rsidRPr="0098763D" w:rsidRDefault="00C42282" w:rsidP="00C42282">
      <w:pPr>
        <w:pStyle w:val="ATHeading1"/>
      </w:pPr>
      <w:bookmarkStart w:id="0" w:name="TANumber"/>
      <w:r w:rsidRPr="0098763D">
        <w:t>P10_TA(2025)0</w:t>
      </w:r>
      <w:r w:rsidR="0073072D" w:rsidRPr="0098763D">
        <w:t>327</w:t>
      </w:r>
      <w:bookmarkEnd w:id="0"/>
    </w:p>
    <w:p w14:paraId="38CA2F1D" w14:textId="43D6E052" w:rsidR="00C42282" w:rsidRPr="0098763D" w:rsidRDefault="00E15A1D" w:rsidP="00C42282">
      <w:pPr>
        <w:pStyle w:val="ATHeading2"/>
      </w:pPr>
      <w:bookmarkStart w:id="1" w:name="title"/>
      <w:r w:rsidRPr="0098763D">
        <w:t>Muuntogeeninen maissi NK603</w:t>
      </w:r>
      <w:bookmarkEnd w:id="1"/>
    </w:p>
    <w:p w14:paraId="3F7E3065" w14:textId="77777777" w:rsidR="00C42282" w:rsidRPr="0098763D" w:rsidRDefault="00C42282" w:rsidP="00C42282">
      <w:pPr>
        <w:rPr>
          <w:i/>
          <w:vanish/>
        </w:rPr>
      </w:pPr>
      <w:r w:rsidRPr="0098763D">
        <w:rPr>
          <w:i/>
        </w:rPr>
        <w:fldChar w:fldCharType="begin"/>
      </w:r>
      <w:r w:rsidRPr="0098763D">
        <w:rPr>
          <w:i/>
        </w:rPr>
        <w:instrText xml:space="preserve"> TC"(</w:instrText>
      </w:r>
      <w:bookmarkStart w:id="2" w:name="DocNumber"/>
      <w:r w:rsidRPr="0098763D">
        <w:rPr>
          <w:i/>
        </w:rPr>
        <w:instrText>B10-0562/2025</w:instrText>
      </w:r>
      <w:bookmarkEnd w:id="2"/>
      <w:r w:rsidRPr="0098763D">
        <w:rPr>
          <w:i/>
        </w:rPr>
        <w:instrText xml:space="preserve">)"\l3 \n&gt; \* MERGEFORMAT </w:instrText>
      </w:r>
      <w:r w:rsidRPr="0098763D">
        <w:rPr>
          <w:i/>
        </w:rPr>
        <w:fldChar w:fldCharType="end"/>
      </w:r>
    </w:p>
    <w:p w14:paraId="671369C2" w14:textId="77777777" w:rsidR="00C42282" w:rsidRPr="0098763D" w:rsidRDefault="00C42282" w:rsidP="00C42282">
      <w:pPr>
        <w:rPr>
          <w:vanish/>
        </w:rPr>
      </w:pPr>
      <w:bookmarkStart w:id="3" w:name="PE"/>
      <w:r w:rsidRPr="0098763D">
        <w:rPr>
          <w:vanish/>
        </w:rPr>
        <w:t>PE779.397</w:t>
      </w:r>
      <w:bookmarkEnd w:id="3"/>
    </w:p>
    <w:p w14:paraId="4C7FDDB3" w14:textId="795BB2E7" w:rsidR="00C42282" w:rsidRPr="0098763D" w:rsidRDefault="00C42282" w:rsidP="00EE4117">
      <w:pPr>
        <w:pStyle w:val="ATHeading3"/>
      </w:pPr>
      <w:bookmarkStart w:id="4" w:name="Sujet"/>
      <w:r w:rsidRPr="0098763D">
        <w:t xml:space="preserve">Euroopan parlamentin päätöslauselma </w:t>
      </w:r>
      <w:r w:rsidR="00C87142" w:rsidRPr="0098763D">
        <w:t>16</w:t>
      </w:r>
      <w:r w:rsidRPr="0098763D">
        <w:t>.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w:t>
      </w:r>
      <w:bookmarkEnd w:id="4"/>
      <w:r w:rsidRPr="0098763D">
        <w:t xml:space="preserve"> </w:t>
      </w:r>
      <w:bookmarkStart w:id="5" w:name="References"/>
      <w:r w:rsidRPr="0098763D">
        <w:t>(D110123/02 – 2025/2958(RSP))</w:t>
      </w:r>
      <w:bookmarkEnd w:id="5"/>
    </w:p>
    <w:p w14:paraId="5897F3B4" w14:textId="77777777" w:rsidR="00BB5822" w:rsidRPr="0098763D" w:rsidRDefault="00BB5822" w:rsidP="00BB5822">
      <w:pPr>
        <w:pStyle w:val="EPComma"/>
        <w:widowControl/>
      </w:pPr>
      <w:bookmarkStart w:id="6" w:name="TextBodyBegin"/>
      <w:bookmarkEnd w:id="6"/>
      <w:r w:rsidRPr="0098763D">
        <w:rPr>
          <w:i/>
        </w:rPr>
        <w:t>Euroopan parlamentti</w:t>
      </w:r>
      <w:r w:rsidRPr="0098763D">
        <w:t>, joka</w:t>
      </w:r>
    </w:p>
    <w:p w14:paraId="586D302F" w14:textId="77777777" w:rsidR="00BB5822" w:rsidRPr="0098763D" w:rsidRDefault="00BB5822" w:rsidP="00BB5822">
      <w:pPr>
        <w:pStyle w:val="NormalHanging12a"/>
        <w:widowControl/>
      </w:pPr>
      <w:r w:rsidRPr="0098763D">
        <w:t>–</w:t>
      </w:r>
      <w:r w:rsidRPr="0098763D">
        <w:tab/>
        <w:t>ottaa huomioon ehdotuksen komission täytäntöönpanopäätökseksi muuntogeenistä maissia NK603 sisältävien, siitä koostuvien tai siitä valmistettujen tuotteiden markkinoille saattamista koskevan luvan uusimisesta Euroopan parlamentin ja neuvoston asetuksen (EY) N:o 1829/2003 mukaisesti (D110123/02),</w:t>
      </w:r>
    </w:p>
    <w:p w14:paraId="6FDE5536" w14:textId="77777777" w:rsidR="00BB5822" w:rsidRPr="0098763D" w:rsidRDefault="00BB5822" w:rsidP="00BB5822">
      <w:pPr>
        <w:pStyle w:val="NormalHanging12a"/>
        <w:widowControl/>
      </w:pPr>
      <w:r w:rsidRPr="0098763D">
        <w:t>–</w:t>
      </w:r>
      <w:r w:rsidRPr="0098763D">
        <w:tab/>
        <w:t>ottaa huomioon muuntogeenisistä elintarvikkeista ja rehuista 22. syyskuuta 2003 annetun Euroopan parlamentin ja neuvoston asetuksen (EY) N:o 1829/2003</w:t>
      </w:r>
      <w:r w:rsidRPr="0098763D">
        <w:rPr>
          <w:vertAlign w:val="superscript"/>
        </w:rPr>
        <w:footnoteReference w:id="1"/>
      </w:r>
      <w:r w:rsidRPr="0098763D">
        <w:t xml:space="preserve"> ja erityisesti sen 11 artiklan 3 kohdan ja 22 artiklan 3 kohdan,</w:t>
      </w:r>
    </w:p>
    <w:p w14:paraId="3F77E62A" w14:textId="286D0119" w:rsidR="00BB5822" w:rsidRPr="0098763D" w:rsidRDefault="00BB5822" w:rsidP="00BB5822">
      <w:pPr>
        <w:pStyle w:val="NormalHanging12a"/>
        <w:widowControl/>
      </w:pPr>
      <w:r w:rsidRPr="0098763D">
        <w:t>–</w:t>
      </w:r>
      <w:r w:rsidRPr="0098763D">
        <w:tab/>
        <w:t>ottaa huomioon asetuksen (EY) N:o 1829/2003 35 artiklassa tarkoitetussa pysyvässä kasvi-, eläin-, elintarvike- ja rehukomiteassa 14. lokakuuta 2025 toimitetun äänestyksen, jossa päätettiin olla antamatta lausuntoa,</w:t>
      </w:r>
      <w:r w:rsidR="00E15A1D" w:rsidRPr="0098763D">
        <w:t xml:space="preserve"> ja muutoksenhakukomiteassa 28. marraskuuta 2025 toimitetun äänestyksen, jossa ei myöskään annettu lausuntoa,</w:t>
      </w:r>
    </w:p>
    <w:p w14:paraId="75C5A24F" w14:textId="77777777" w:rsidR="00BB5822" w:rsidRPr="0098763D" w:rsidRDefault="00BB5822" w:rsidP="00BB5822">
      <w:pPr>
        <w:pStyle w:val="NormalHanging12a"/>
        <w:widowControl/>
        <w:rPr>
          <w:szCs w:val="24"/>
        </w:rPr>
      </w:pPr>
      <w:r w:rsidRPr="0098763D">
        <w:t>–</w:t>
      </w:r>
      <w:r w:rsidRPr="0098763D">
        <w:tab/>
        <w:t>ottaa huomioon yleisistä säännöistä ja periaatteista, joiden mukaisesti jäsenvaltiot valvovat komission täytäntöönpanovallan käyttöä, 16. helmikuuta 2011 annetun Euroopan parlamentin ja neuvoston asetuksen (EU) N:o 182/2011</w:t>
      </w:r>
      <w:r w:rsidRPr="0098763D">
        <w:rPr>
          <w:rStyle w:val="FootnoteReference"/>
          <w:szCs w:val="24"/>
        </w:rPr>
        <w:footnoteReference w:id="2"/>
      </w:r>
      <w:r w:rsidRPr="0098763D">
        <w:t xml:space="preserve"> 11 artiklan,</w:t>
      </w:r>
    </w:p>
    <w:p w14:paraId="39F0B4B9" w14:textId="77777777" w:rsidR="00BB5822" w:rsidRPr="0098763D" w:rsidRDefault="00BB5822" w:rsidP="00BB5822">
      <w:pPr>
        <w:pStyle w:val="NormalHanging12a"/>
        <w:widowControl/>
      </w:pPr>
      <w:r w:rsidRPr="0098763D">
        <w:t>–</w:t>
      </w:r>
      <w:r w:rsidRPr="0098763D">
        <w:tab/>
        <w:t>ottaa huomioon Euroopan elintarviketurvallisuusviranomaisen (EFSA) 22. toukokuuta 2025 antaman lausunnon, joka julkaistiin 20. kesäkuuta 2025</w:t>
      </w:r>
      <w:r w:rsidRPr="0098763D">
        <w:rPr>
          <w:rStyle w:val="FootnoteReference"/>
        </w:rPr>
        <w:footnoteReference w:id="3"/>
      </w:r>
      <w:r w:rsidRPr="0098763D">
        <w:t>,</w:t>
      </w:r>
    </w:p>
    <w:p w14:paraId="6251F924" w14:textId="77777777" w:rsidR="00BB5822" w:rsidRPr="0098763D" w:rsidRDefault="00BB5822" w:rsidP="00BB5822">
      <w:pPr>
        <w:pStyle w:val="NormalHanging12a"/>
        <w:widowControl/>
      </w:pPr>
      <w:r w:rsidRPr="0098763D">
        <w:lastRenderedPageBreak/>
        <w:t>–</w:t>
      </w:r>
      <w:r w:rsidRPr="0098763D">
        <w:tab/>
        <w:t>ottaa huomioon aikaisemmat päätöslauselmansa, joissa vastustetaan luvan myöntämistä muuntogeenisille organismeille</w:t>
      </w:r>
      <w:r w:rsidRPr="0098763D">
        <w:rPr>
          <w:rStyle w:val="FootnoteReference"/>
        </w:rPr>
        <w:footnoteReference w:id="4"/>
      </w:r>
      <w:r w:rsidRPr="0098763D">
        <w:t>,</w:t>
      </w:r>
    </w:p>
    <w:p w14:paraId="7DCFD568" w14:textId="77777777" w:rsidR="00BB5822" w:rsidRPr="0098763D" w:rsidRDefault="00BB5822" w:rsidP="00BB5822">
      <w:pPr>
        <w:pStyle w:val="NormalHanging12a"/>
        <w:widowControl/>
      </w:pPr>
      <w:r w:rsidRPr="0098763D">
        <w:lastRenderedPageBreak/>
        <w:t>–</w:t>
      </w:r>
      <w:r w:rsidRPr="0098763D">
        <w:tab/>
        <w:t>ottaa huomioon työjärjestyksen 115 artiklan 2 ja 3 kohdan,</w:t>
      </w:r>
    </w:p>
    <w:p w14:paraId="293AF63C" w14:textId="77777777" w:rsidR="00BB5822" w:rsidRPr="0098763D" w:rsidRDefault="00BB5822" w:rsidP="00BB5822">
      <w:pPr>
        <w:pStyle w:val="NormalHanging12a"/>
        <w:widowControl/>
      </w:pPr>
      <w:r w:rsidRPr="0098763D">
        <w:lastRenderedPageBreak/>
        <w:t>–</w:t>
      </w:r>
      <w:r w:rsidRPr="0098763D">
        <w:tab/>
        <w:t>ottaa huomioon ympäristön, ilmaston ja elintarvikkeiden turvallisuuden valiokunnan päätöslauselmaesityksen,</w:t>
      </w:r>
    </w:p>
    <w:p w14:paraId="56053496" w14:textId="07AA79A8" w:rsidR="00BB5822" w:rsidRPr="0098763D" w:rsidRDefault="00BB5822" w:rsidP="00BB5822">
      <w:pPr>
        <w:pStyle w:val="NormalHanging12a"/>
        <w:widowControl/>
      </w:pPr>
      <w:r w:rsidRPr="0098763D">
        <w:t>A.</w:t>
      </w:r>
      <w:r w:rsidRPr="0098763D">
        <w:tab/>
        <w:t xml:space="preserve">ottaa huomioon, että komission täytäntöönpanopäätöksellä </w:t>
      </w:r>
      <w:r w:rsidR="00D92131">
        <w:t xml:space="preserve">(EU) </w:t>
      </w:r>
      <w:r w:rsidRPr="0098763D">
        <w:t>2015/684</w:t>
      </w:r>
      <w:r w:rsidRPr="0098763D">
        <w:rPr>
          <w:rStyle w:val="FootnoteReference"/>
        </w:rPr>
        <w:footnoteReference w:id="5"/>
      </w:r>
      <w:r w:rsidRPr="0098763D">
        <w:t xml:space="preserve"> sallittiin muuntogeenistä maissia NK603, jäljempänä ’muuntogeeninen maissi’, sisältävien, siitä koostuvien tai siitä valmistettujen elintarvikkeiden ja rehujen saattaminen markkinoille; ottaa huomioon, että kyseisen luvan soveltamisala kattaa myös sellaista muuntogeenistä maissia NK603 sisältävien tai siitä koostuvien tuotteiden markkinoille saattamisen, jotka eivät ole elintarvikkeita ja rehuja ja joita käytetään samoihin käyttötarkoituksiin kuin mitä tahansa muuta maissia, lukuun ottamatta viljelyä;</w:t>
      </w:r>
    </w:p>
    <w:p w14:paraId="20BF41B3" w14:textId="77777777" w:rsidR="00BB5822" w:rsidRPr="0098763D" w:rsidRDefault="00BB5822" w:rsidP="00BB5822">
      <w:pPr>
        <w:pStyle w:val="NormalHanging12a"/>
        <w:widowControl/>
      </w:pPr>
      <w:r w:rsidRPr="0098763D">
        <w:t>B.</w:t>
      </w:r>
      <w:r w:rsidRPr="0098763D">
        <w:tab/>
        <w:t xml:space="preserve">ottaa huomioon, että Belgiaan sijoittautunut Bayer </w:t>
      </w:r>
      <w:proofErr w:type="spellStart"/>
      <w:r w:rsidRPr="0098763D">
        <w:t>Agriculture</w:t>
      </w:r>
      <w:proofErr w:type="spellEnd"/>
      <w:r w:rsidRPr="0098763D">
        <w:t xml:space="preserve"> B.V. toimitti 11. maaliskuuta 2024 Yhdysvaltoihin sijoittautuneen Bayer </w:t>
      </w:r>
      <w:proofErr w:type="spellStart"/>
      <w:r w:rsidRPr="0098763D">
        <w:t>CropScience</w:t>
      </w:r>
      <w:proofErr w:type="spellEnd"/>
      <w:r w:rsidRPr="0098763D">
        <w:t> LP:n puolesta komissiolle hakemuksen kyseisen luvan uusimiseksi asetuksen (EY) N:o 1829/2003 11 ja 23 artiklan mukaisesti;</w:t>
      </w:r>
    </w:p>
    <w:p w14:paraId="64483662" w14:textId="77777777" w:rsidR="00BB5822" w:rsidRPr="0098763D" w:rsidRDefault="00BB5822" w:rsidP="00BB5822">
      <w:pPr>
        <w:pStyle w:val="NormalHanging12a"/>
        <w:widowControl/>
      </w:pPr>
      <w:r w:rsidRPr="0098763D">
        <w:rPr>
          <w:color w:val="000000"/>
        </w:rPr>
        <w:t>C.</w:t>
      </w:r>
      <w:r w:rsidRPr="0098763D">
        <w:rPr>
          <w:color w:val="000000"/>
        </w:rPr>
        <w:tab/>
      </w:r>
      <w:r w:rsidRPr="0098763D">
        <w:t>ottaa huomioon, että EFSA antoi 20. kesäkuuta 2025 asetuksen (EY) N:o 1829/2003 6 ja 18 artiklan mukaisesti puoltavan tieteellisen lausunnon, jossa se totesi, että uusimista koskevassa hakemuksessa ei ole näyttöä sellaisista uusista vaaroista, muutoksista altistumisessa tai uusista tieteellisistä epävarmuustekijöistä, jotka muuttaisivat muuntogeenistä maissia koskevan alkuperäisen riskinarvioinnin päätelmiä, jotka EFSA oli hyväksynyt vuonna 2009</w:t>
      </w:r>
      <w:r w:rsidRPr="0098763D">
        <w:rPr>
          <w:rStyle w:val="FootnoteReference"/>
          <w:szCs w:val="24"/>
        </w:rPr>
        <w:footnoteReference w:id="6"/>
      </w:r>
      <w:r w:rsidRPr="0098763D">
        <w:t>; ottaa huomioon, että EFSA katsoo monien laajempien ympäristöön liittyvien, sosioekonomisten ja kumulatiivisten vaikutusten jäävän sen toimivallan ulkopuolelle, minkä vuoksi se ei käsitellyt niitä lausunnossaan;</w:t>
      </w:r>
    </w:p>
    <w:p w14:paraId="415B3CF2" w14:textId="77777777" w:rsidR="00BB5822" w:rsidRPr="0098763D" w:rsidRDefault="00BB5822" w:rsidP="00BB5822">
      <w:pPr>
        <w:pStyle w:val="NormalHanging12a"/>
        <w:widowControl/>
      </w:pPr>
      <w:r w:rsidRPr="0098763D">
        <w:t>D.</w:t>
      </w:r>
      <w:r w:rsidRPr="0098763D">
        <w:tab/>
        <w:t>ottaa huomioon, että muuntogeeninen maissi on kehitetty sietämään glyfosaattia;</w:t>
      </w:r>
    </w:p>
    <w:p w14:paraId="643DE69B" w14:textId="77777777" w:rsidR="00BB5822" w:rsidRPr="0098763D" w:rsidRDefault="00BB5822" w:rsidP="00BB5822">
      <w:pPr>
        <w:pStyle w:val="NormalHanging12a"/>
        <w:widowControl/>
      </w:pPr>
      <w:r w:rsidRPr="0098763D">
        <w:t>E.</w:t>
      </w:r>
      <w:r w:rsidRPr="0098763D">
        <w:tab/>
        <w:t xml:space="preserve">ottaa huomioon, että </w:t>
      </w:r>
      <w:proofErr w:type="spellStart"/>
      <w:r w:rsidRPr="0098763D">
        <w:t>EFSAn</w:t>
      </w:r>
      <w:proofErr w:type="spellEnd"/>
      <w:r w:rsidRPr="0098763D">
        <w:t xml:space="preserve"> tekemiin riskinarviointeihin ei sisältynyt pitkän ajan toksikologisia tutkimuksia eikä yksityiskohtaista analyysia kumulatiivisista ja yhteisvaikutuksista, kuten mahdollisesta vuorovaikutuksesta maissinviljelyssä yleisesti käytettyjen torjunta-aineiden jäämien kanssa;</w:t>
      </w:r>
    </w:p>
    <w:p w14:paraId="35C4A838" w14:textId="77777777" w:rsidR="00BB5822" w:rsidRPr="0098763D" w:rsidRDefault="00BB5822" w:rsidP="00BB5822">
      <w:pPr>
        <w:pStyle w:val="NormalHanging12a"/>
        <w:widowControl/>
        <w:rPr>
          <w:color w:val="000000" w:themeColor="text1"/>
          <w:szCs w:val="24"/>
        </w:rPr>
      </w:pPr>
      <w:r w:rsidRPr="0098763D">
        <w:rPr>
          <w:color w:val="000000" w:themeColor="text1"/>
        </w:rPr>
        <w:t>F.</w:t>
      </w:r>
      <w:r w:rsidRPr="0098763D">
        <w:rPr>
          <w:color w:val="000000" w:themeColor="text1"/>
        </w:rPr>
        <w:tab/>
      </w:r>
      <w:r w:rsidRPr="0098763D">
        <w:t xml:space="preserve">ottaa huomioon, että suurinta osaa muuntogeenisistä viljelykasveista, muuntogeeninen maissi mukaan lukien, on muunnettu geneettisesti siten, että ne ovat sietokykyisiä yhdelle tai useammalle ”täydentävälle” rikkakasvien torjunta-aineelle, jota voidaan käyttää koko muuntogeenisen viljelykasvin viljelyn ajan ilman, että viljelykasvi kuolee, kuten käy niiden viljelykasvien tapauksessa, jotka eivät siedä torjunta-aineita; </w:t>
      </w:r>
      <w:r w:rsidRPr="0098763D">
        <w:rPr>
          <w:color w:val="000000" w:themeColor="text1"/>
        </w:rPr>
        <w:t xml:space="preserve">toteaa, että rikkakasvien torjunta-aineita sietävien muuntogeenisten viljelykasvien on erinäisissä tutkimuksissa osoitettu lisäävän täydentävien rikkakasvien torjunta-aineiden </w:t>
      </w:r>
      <w:r w:rsidRPr="0098763D">
        <w:rPr>
          <w:color w:val="000000" w:themeColor="text1"/>
        </w:rPr>
        <w:lastRenderedPageBreak/>
        <w:t>käyttöä, mikä johtuu etenkin siitä, että yhä useammat rikkakasvit sietävät rikkakasvien torjunta-aineita</w:t>
      </w:r>
      <w:r w:rsidRPr="0098763D">
        <w:rPr>
          <w:rStyle w:val="FootnoteReference"/>
          <w:color w:val="000000" w:themeColor="text1"/>
          <w:szCs w:val="24"/>
        </w:rPr>
        <w:footnoteReference w:id="7"/>
      </w:r>
      <w:r w:rsidRPr="0098763D">
        <w:rPr>
          <w:color w:val="000000" w:themeColor="text1"/>
        </w:rPr>
        <w:t>;</w:t>
      </w:r>
    </w:p>
    <w:p w14:paraId="54763300" w14:textId="77777777" w:rsidR="00BB5822" w:rsidRPr="0098763D" w:rsidRDefault="00BB5822" w:rsidP="00BB5822">
      <w:pPr>
        <w:widowControl/>
        <w:spacing w:after="240"/>
        <w:ind w:left="567" w:hanging="567"/>
        <w:rPr>
          <w:szCs w:val="24"/>
        </w:rPr>
      </w:pPr>
      <w:r w:rsidRPr="0098763D">
        <w:t>G.</w:t>
      </w:r>
      <w:r w:rsidRPr="0098763D">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w:t>
      </w:r>
      <w:r w:rsidRPr="0098763D">
        <w:rPr>
          <w:color w:val="000000" w:themeColor="text1"/>
        </w:rPr>
        <w:t xml:space="preserve"> ottaa huomioon, että lisääntynyt riippuvuus täydentävistä rikkakasvien torjunta-aineista muuntogeenistä maissia viljelevillä tiloilla nopeuttaa näille torjunta-aineille sietokykyisten rikkakasvien ilmaantumista ja leviämistä, mikä johtaa noidankehään, jossa rikkakasvien torjunta-aineita on käytettävä jatkuvasti enemmän; toteaa, että tämän seurauksena rikkakasvien torjunta-aineiden liiallisesta käytöstä aiheutuu yhä haitallisempia vaikutuksia maaperän terveyteen, veden laatuun sekä maanpäälliseen ja -alaiseen biologiseen monimuotoisuuteen ja lisäksi ihmisten ja eläinten altistuminen lisääntyy, mahdollisesti myös sen kautta, että rikkakasvien torjunta-aineiden jäämät elintarvikkeissa ja rehuissa lisääntyvät</w:t>
      </w:r>
      <w:r w:rsidRPr="0098763D">
        <w:rPr>
          <w:rStyle w:val="FootnoteReference"/>
          <w:color w:val="000000" w:themeColor="text1"/>
          <w:szCs w:val="24"/>
        </w:rPr>
        <w:footnoteReference w:id="8"/>
      </w:r>
      <w:r w:rsidRPr="0098763D">
        <w:rPr>
          <w:color w:val="000000" w:themeColor="text1"/>
        </w:rPr>
        <w:t>;</w:t>
      </w:r>
    </w:p>
    <w:p w14:paraId="558F6BDA" w14:textId="77777777" w:rsidR="00BB5822" w:rsidRPr="0098763D" w:rsidRDefault="00BB5822" w:rsidP="00BB5822">
      <w:pPr>
        <w:pStyle w:val="NormalHanging12a"/>
        <w:widowControl/>
      </w:pPr>
      <w:r w:rsidRPr="0098763D">
        <w:t>H.</w:t>
      </w:r>
      <w:r w:rsidRPr="0098763D">
        <w:tab/>
        <w:t>toteaa, että glyfosaatin karsinogeenisyydestä on tuotu esiin vakavia kysymyksiä, jotka ovat edelleen vailla vastausta;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terveysjärjestön syöväntutkimukseen erikoistunut virasto, sen sijaan luokitteli glyfosaatin vuonna 2015 todennäköisesti ihmisille syöpää aiheuttavaksi aineeksi; ottaa huomioon, että monissa viimeaikaisissa vertaisarvioiduissa tieteellisissä tutkimuksissa vahvistetaan glyfosaatin syöpää aiheuttavat vaikutukset</w:t>
      </w:r>
      <w:r w:rsidRPr="0098763D">
        <w:rPr>
          <w:rStyle w:val="FootnoteReference"/>
        </w:rPr>
        <w:footnoteReference w:id="9"/>
      </w:r>
      <w:r w:rsidRPr="0098763D">
        <w:t>;</w:t>
      </w:r>
    </w:p>
    <w:p w14:paraId="7A2976C3" w14:textId="77777777" w:rsidR="00BB5822" w:rsidRPr="0098763D" w:rsidRDefault="00BB5822" w:rsidP="00BB5822">
      <w:pPr>
        <w:pStyle w:val="NormalHanging12a"/>
        <w:widowControl/>
      </w:pPr>
      <w:r w:rsidRPr="0098763D">
        <w:t>I.</w:t>
      </w:r>
      <w:r w:rsidRPr="0098763D">
        <w:tab/>
        <w:t xml:space="preserve">ottaa huomioon, että Espanjassa ja Ranskassa raportoitu riski geenivirrasta maissista luonnonvaraisiin sukulaislajeihin, kuten </w:t>
      </w:r>
      <w:proofErr w:type="spellStart"/>
      <w:r w:rsidRPr="0098763D">
        <w:t>teosinttiin</w:t>
      </w:r>
      <w:proofErr w:type="spellEnd"/>
      <w:r w:rsidRPr="0098763D">
        <w:t>, herättää huolta siirtogeenin pysyvyydestä ja ympäristövaikutuksista;</w:t>
      </w:r>
    </w:p>
    <w:p w14:paraId="23BE1E9D" w14:textId="77777777" w:rsidR="00BB5822" w:rsidRPr="0098763D" w:rsidRDefault="00BB5822" w:rsidP="00BB5822">
      <w:pPr>
        <w:pStyle w:val="NormalHanging12a"/>
        <w:widowControl/>
      </w:pPr>
      <w:r w:rsidRPr="0098763D">
        <w:t>J.</w:t>
      </w:r>
      <w:r w:rsidRPr="0098763D">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4FA9259B" w14:textId="77777777" w:rsidR="00BB5822" w:rsidRPr="0098763D" w:rsidRDefault="00BB5822" w:rsidP="00BB5822">
      <w:pPr>
        <w:widowControl/>
        <w:spacing w:after="240"/>
        <w:ind w:left="567" w:hanging="567"/>
      </w:pPr>
      <w:r w:rsidRPr="0098763D">
        <w:lastRenderedPageBreak/>
        <w:t>K.</w:t>
      </w:r>
      <w:r w:rsidRPr="0098763D">
        <w:tab/>
        <w:t>katsoo, että tapauksissa, joissa tieteellistä varmuutta ei ole, olisi sovellettava Euroopan unionin toiminnasta tehdyn sopimuksen 191 artiklassa tarkoitettua ennalta varautumisen periaatetta;</w:t>
      </w:r>
    </w:p>
    <w:p w14:paraId="27148A78" w14:textId="77777777" w:rsidR="00BB5822" w:rsidRPr="0098763D" w:rsidRDefault="00BB5822" w:rsidP="00BB5822">
      <w:pPr>
        <w:widowControl/>
        <w:spacing w:after="240"/>
        <w:ind w:left="567" w:hanging="567"/>
      </w:pPr>
      <w:r w:rsidRPr="0098763D">
        <w:t>L.</w:t>
      </w:r>
      <w:r w:rsidRPr="0098763D">
        <w:tab/>
        <w:t>ottaa huomioon, että asetuksen (EY) N:o 1829/2003 mukaan muuntogeeniset elintarvikkeet tai rehut eivät saa vaikuttaa haitallisesti ihmisten terveyteen, eläinten terveyteen tai ympäristöön;</w:t>
      </w:r>
    </w:p>
    <w:p w14:paraId="5A10EB4B" w14:textId="77777777" w:rsidR="00BB5822" w:rsidRPr="0098763D" w:rsidRDefault="00BB5822" w:rsidP="00BB5822">
      <w:pPr>
        <w:pStyle w:val="NormalWeb"/>
        <w:spacing w:before="0" w:beforeAutospacing="0" w:after="240" w:afterAutospacing="0"/>
        <w:ind w:left="567" w:hanging="567"/>
      </w:pPr>
      <w:r w:rsidRPr="0098763D">
        <w:t>M.</w:t>
      </w:r>
      <w:r w:rsidRPr="0098763D">
        <w:tab/>
        <w:t>toteaa, että muuntogeeniselle maissille myönnetyn unionin luvan uusiminen ei olisi torjunta-aineiden vähentämistä koskevien kansainvälisten sitoumusten</w:t>
      </w:r>
      <w:r w:rsidRPr="0098763D">
        <w:rPr>
          <w:vertAlign w:val="superscript"/>
        </w:rPr>
        <w:footnoteReference w:id="10"/>
      </w:r>
      <w:r w:rsidRPr="0098763D">
        <w:t xml:space="preserve"> mukainen, kun otetaan huomioon ihmisten, eläinten ja ympäristön lisääntynyt altistuminen glyfosaatille, </w:t>
      </w:r>
      <w:proofErr w:type="spellStart"/>
      <w:r w:rsidRPr="0098763D">
        <w:t>dikamballe</w:t>
      </w:r>
      <w:proofErr w:type="spellEnd"/>
      <w:r w:rsidRPr="0098763D">
        <w:t xml:space="preserve"> ja </w:t>
      </w:r>
      <w:proofErr w:type="spellStart"/>
      <w:r w:rsidRPr="0098763D">
        <w:t>glufosinaatille</w:t>
      </w:r>
      <w:proofErr w:type="spellEnd"/>
      <w:r w:rsidRPr="0098763D">
        <w:t xml:space="preserve"> maissa, joissa viljellään kyseistä torjunta-aineita sietävää muuntogeenistä kasvia, sekä siihen mahdollisesti liittyvät vakavat terveysvaikutukset;</w:t>
      </w:r>
    </w:p>
    <w:p w14:paraId="561F83F2" w14:textId="77777777" w:rsidR="00BB5822" w:rsidRPr="0098763D" w:rsidRDefault="00BB5822" w:rsidP="00BB5822">
      <w:pPr>
        <w:widowControl/>
        <w:spacing w:after="240"/>
        <w:ind w:left="567" w:hanging="567"/>
      </w:pPr>
      <w:r w:rsidRPr="0098763D">
        <w:t>N.</w:t>
      </w:r>
      <w:r w:rsidRPr="0098763D">
        <w:tab/>
        <w:t>toteaa, että komission täytäntöönpanopäätös sallisi edelleen sen, että unioniin tuodaan tuotteita, jotka eivät ole EU:n sääntöjen mukaisia, mikä asettaisi unionin viljelijät epäedulliseen kilpailuasemaan;</w:t>
      </w:r>
    </w:p>
    <w:p w14:paraId="1215C3BE" w14:textId="77777777" w:rsidR="00BB5822" w:rsidRPr="0098763D" w:rsidRDefault="00BB5822" w:rsidP="00BB5822">
      <w:pPr>
        <w:widowControl/>
        <w:spacing w:after="240"/>
        <w:ind w:left="567" w:hanging="567"/>
      </w:pPr>
      <w:r w:rsidRPr="0098763D">
        <w:t>O.</w:t>
      </w:r>
      <w:r w:rsidRPr="0098763D">
        <w:tab/>
        <w:t>ottaa huomioon, että EU:n maatalouden tulevaisuudesta käytävän strategisen vuoropuhelun</w:t>
      </w:r>
      <w:r w:rsidRPr="0098763D">
        <w:rPr>
          <w:rStyle w:val="FootnoteReference"/>
        </w:rPr>
        <w:footnoteReference w:id="11"/>
      </w:r>
      <w:r w:rsidRPr="0098763D">
        <w:t xml:space="preserve"> päätelmissä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14:paraId="680307EB" w14:textId="77777777" w:rsidR="00BB5822" w:rsidRPr="0098763D" w:rsidRDefault="00BB5822" w:rsidP="00BB5822">
      <w:pPr>
        <w:widowControl/>
        <w:spacing w:after="240"/>
        <w:ind w:left="567" w:hanging="567"/>
      </w:pPr>
      <w:r w:rsidRPr="0098763D">
        <w:t>P.</w:t>
      </w:r>
      <w:r w:rsidRPr="0098763D">
        <w:tab/>
        <w:t>toteaa korostaneensa toistuvasti, että jatkuvan demokratiavajeen korjaamiseksi komission ei pitäisi antaa lupaa muuntogeenisille organismeille silloin, kun jäsenvaltiot eivät saavuta määräenemmistöä pysyvässä kasvi-, eläin-, elintarvike- ja rehukomiteassa tai muutoksenhakukomiteassa;</w:t>
      </w:r>
    </w:p>
    <w:p w14:paraId="5753AF8A" w14:textId="77777777" w:rsidR="00BB5822" w:rsidRPr="0098763D" w:rsidRDefault="00BB5822" w:rsidP="00BB5822">
      <w:pPr>
        <w:pStyle w:val="NormalWeb"/>
        <w:shd w:val="clear" w:color="auto" w:fill="FFFFFF"/>
        <w:spacing w:before="0" w:beforeAutospacing="0" w:after="240" w:afterAutospacing="0"/>
        <w:ind w:left="567" w:hanging="567"/>
        <w:rPr>
          <w:color w:val="000000" w:themeColor="text1"/>
        </w:rPr>
      </w:pPr>
      <w:r w:rsidRPr="0098763D">
        <w:rPr>
          <w:color w:val="000000" w:themeColor="text1"/>
        </w:rPr>
        <w:t>Q.</w:t>
      </w:r>
      <w:r w:rsidRPr="0098763D">
        <w:rPr>
          <w:color w:val="000000" w:themeColor="text1"/>
        </w:rPr>
        <w:tab/>
        <w:t>toteaa, että komissio jatkaa lupien myöntämistä muuntogeenisille organismeille, vaikka se itse myöntää demokraattisuuden puutteen, ja huolimatta jäsenvaltioiden tuen puuttumisesta ja parlamentin vastustuksesta;</w:t>
      </w:r>
    </w:p>
    <w:p w14:paraId="408233EC" w14:textId="77777777" w:rsidR="00BB5822" w:rsidRPr="0098763D" w:rsidRDefault="00BB5822" w:rsidP="00BB5822">
      <w:pPr>
        <w:widowControl/>
        <w:spacing w:after="240"/>
        <w:ind w:left="567" w:hanging="567"/>
      </w:pPr>
      <w:r w:rsidRPr="0098763D">
        <w:t>R.</w:t>
      </w:r>
      <w:r w:rsidRPr="0098763D">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5E0EC910" w14:textId="77777777" w:rsidR="00BB5822" w:rsidRPr="0098763D" w:rsidRDefault="00BB5822" w:rsidP="00BB5822">
      <w:pPr>
        <w:widowControl/>
        <w:spacing w:after="240"/>
        <w:ind w:left="567" w:hanging="567"/>
      </w:pPr>
      <w:r w:rsidRPr="0098763D">
        <w:t>1.</w:t>
      </w:r>
      <w:r w:rsidRPr="0098763D">
        <w:tab/>
        <w:t>katsoo, että ehdotus komission täytäntöönpanopäätökseksi ylittää asetuksessa (EY) N:o 1829/2003 säädetyn täytäntöönpanovallan;</w:t>
      </w:r>
    </w:p>
    <w:p w14:paraId="78444CF7" w14:textId="77777777" w:rsidR="00BB5822" w:rsidRPr="0098763D" w:rsidRDefault="00BB5822" w:rsidP="00BB5822">
      <w:pPr>
        <w:widowControl/>
        <w:spacing w:after="240"/>
        <w:ind w:left="567" w:hanging="567"/>
      </w:pPr>
      <w:r w:rsidRPr="0098763D">
        <w:lastRenderedPageBreak/>
        <w:t>2.</w:t>
      </w:r>
      <w:r w:rsidRPr="0098763D">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98763D">
        <w:rPr>
          <w:vertAlign w:val="superscript"/>
        </w:rPr>
        <w:footnoteReference w:id="12"/>
      </w:r>
      <w:r w:rsidRPr="0098763D">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14:paraId="6F499DFB" w14:textId="77777777" w:rsidR="00BB5822" w:rsidRPr="0098763D" w:rsidRDefault="00BB5822" w:rsidP="00BB5822">
      <w:pPr>
        <w:widowControl/>
        <w:spacing w:after="240"/>
        <w:ind w:left="567" w:hanging="567"/>
      </w:pPr>
      <w:r w:rsidRPr="0098763D">
        <w:t>3.</w:t>
      </w:r>
      <w:r w:rsidRPr="0098763D">
        <w:tab/>
        <w:t>pyytää komissiota peruuttamaan täytäntöönpanopäätöksen;</w:t>
      </w:r>
    </w:p>
    <w:p w14:paraId="763EA8EE" w14:textId="77777777" w:rsidR="00BB5822" w:rsidRPr="0098763D" w:rsidRDefault="00BB5822" w:rsidP="00BB5822">
      <w:pPr>
        <w:widowControl/>
        <w:spacing w:after="240"/>
        <w:ind w:left="567" w:hanging="567"/>
      </w:pPr>
      <w:r w:rsidRPr="0098763D">
        <w:t>4.</w:t>
      </w:r>
      <w:r w:rsidRPr="0098763D">
        <w:tab/>
        <w:t>pyytää komissiota olemaan uusimatta muuntogeeniselle maissille myönnettyä lupaa, koska biologiseen monimuotoisuuteen, elintarviketurvallisuuteen, viljelijöiden toimeentuloon ja eläinten terveyteen kohdistuvista pitkän aikavälin vaikutuksista ei ole riittävästi yhteinen terveys -mallin edellyttämää näyttöä;</w:t>
      </w:r>
    </w:p>
    <w:p w14:paraId="5CE3B150" w14:textId="77777777" w:rsidR="00BB5822" w:rsidRPr="0098763D" w:rsidRDefault="00BB5822" w:rsidP="00BB5822">
      <w:pPr>
        <w:widowControl/>
        <w:spacing w:after="240"/>
        <w:ind w:left="567" w:hanging="567"/>
      </w:pPr>
      <w:r w:rsidRPr="0098763D">
        <w:t>5.</w:t>
      </w:r>
      <w:r w:rsidRPr="0098763D">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p>
    <w:p w14:paraId="261637D6" w14:textId="77777777" w:rsidR="00BB5822" w:rsidRPr="0098763D" w:rsidRDefault="00BB5822" w:rsidP="00BB5822">
      <w:pPr>
        <w:widowControl/>
        <w:spacing w:after="240"/>
        <w:ind w:left="567" w:hanging="567"/>
      </w:pPr>
      <w:r w:rsidRPr="0098763D">
        <w:t>6.</w:t>
      </w:r>
      <w:r w:rsidRPr="0098763D">
        <w:tab/>
        <w:t xml:space="preserve">korostaa tässä yhteydessä, että luvan myöntäminen minkä tahansa sellaisen muuntogeenisen kasvin tuonnille elintarvike- tai rehukäyttöön, josta on tehty sietokykyinen unionissa kielletyille rikkakasvien torjunta-aineille, kuten </w:t>
      </w:r>
      <w:proofErr w:type="spellStart"/>
      <w:r w:rsidRPr="0098763D">
        <w:t>glufosinaatille</w:t>
      </w:r>
      <w:proofErr w:type="spellEnd"/>
      <w:r w:rsidRPr="0098763D">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p>
    <w:p w14:paraId="379B8114" w14:textId="365DCC09" w:rsidR="00E365E1" w:rsidRPr="0098763D" w:rsidRDefault="00BB5822" w:rsidP="00F16406">
      <w:pPr>
        <w:widowControl/>
        <w:spacing w:after="240"/>
        <w:ind w:left="567" w:hanging="567"/>
      </w:pPr>
      <w:r w:rsidRPr="0098763D">
        <w:t>7.</w:t>
      </w:r>
      <w:r w:rsidRPr="0098763D">
        <w:tab/>
        <w:t>kehottaa puhemiestä välittämään tämän päätöslauselman neuvostolle ja komissiolle sekä jäsenvaltioiden hallituksille ja parlamenteille.</w:t>
      </w:r>
    </w:p>
    <w:sectPr w:rsidR="00E365E1" w:rsidRPr="0098763D" w:rsidSect="000F78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74147" w14:textId="77777777" w:rsidR="00C42282" w:rsidRPr="000F7801" w:rsidRDefault="00C42282">
      <w:r w:rsidRPr="000F7801">
        <w:separator/>
      </w:r>
    </w:p>
  </w:endnote>
  <w:endnote w:type="continuationSeparator" w:id="0">
    <w:p w14:paraId="0953DC6E" w14:textId="77777777" w:rsidR="00C42282" w:rsidRPr="000F7801" w:rsidRDefault="00C42282">
      <w:r w:rsidRPr="000F7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229F3" w14:textId="77777777" w:rsidR="00C42282" w:rsidRPr="000F7801" w:rsidRDefault="00C42282">
      <w:r w:rsidRPr="000F7801">
        <w:separator/>
      </w:r>
    </w:p>
  </w:footnote>
  <w:footnote w:type="continuationSeparator" w:id="0">
    <w:p w14:paraId="5C961A9D" w14:textId="77777777" w:rsidR="00C42282" w:rsidRPr="000F7801" w:rsidRDefault="00C42282">
      <w:r w:rsidRPr="000F7801">
        <w:continuationSeparator/>
      </w:r>
    </w:p>
  </w:footnote>
  <w:footnote w:id="1">
    <w:p w14:paraId="3958BD0C" w14:textId="0C02EAC7" w:rsidR="00BB5822" w:rsidRPr="0073072D" w:rsidRDefault="00BB5822" w:rsidP="000F7801">
      <w:pPr>
        <w:pStyle w:val="FootnoteText"/>
        <w:suppressAutoHyphens/>
        <w:ind w:left="567" w:hanging="567"/>
        <w:rPr>
          <w:sz w:val="24"/>
          <w:lang w:val="fr-BE"/>
        </w:rPr>
      </w:pPr>
      <w:r w:rsidRPr="000F7801">
        <w:rPr>
          <w:rStyle w:val="FootnoteReference"/>
          <w:sz w:val="24"/>
          <w:lang w:val="fi-FI"/>
        </w:rPr>
        <w:footnoteRef/>
      </w:r>
      <w:r w:rsidR="000F7801" w:rsidRPr="0073072D">
        <w:rPr>
          <w:sz w:val="24"/>
          <w:lang w:val="fr-BE"/>
        </w:rPr>
        <w:t xml:space="preserve"> </w:t>
      </w:r>
      <w:r w:rsidR="000F7801" w:rsidRPr="0073072D">
        <w:rPr>
          <w:sz w:val="24"/>
          <w:lang w:val="fr-BE"/>
        </w:rPr>
        <w:tab/>
      </w:r>
      <w:r w:rsidRPr="0073072D">
        <w:rPr>
          <w:sz w:val="24"/>
          <w:lang w:val="fr-BE"/>
        </w:rPr>
        <w:t>EUVL L 268, 18.10.2003, s. 1, ELI: </w:t>
      </w:r>
      <w:hyperlink r:id="rId1" w:tooltip="Avaa asiakirjan ELI URI -osoitteen kautta." w:history="1">
        <w:r w:rsidRPr="0073072D">
          <w:rPr>
            <w:rStyle w:val="Hyperlink"/>
            <w:sz w:val="24"/>
            <w:lang w:val="fr-BE"/>
          </w:rPr>
          <w:t>http://data.europa.eu/eli/reg/2003/1829/oj</w:t>
        </w:r>
      </w:hyperlink>
      <w:r w:rsidRPr="0073072D">
        <w:rPr>
          <w:color w:val="0563C1" w:themeColor="hyperlink"/>
          <w:sz w:val="24"/>
          <w:u w:val="single"/>
          <w:lang w:val="fr-BE"/>
        </w:rPr>
        <w:t>.</w:t>
      </w:r>
    </w:p>
  </w:footnote>
  <w:footnote w:id="2">
    <w:p w14:paraId="1C595798" w14:textId="7221BC5C" w:rsidR="00BB5822" w:rsidRPr="000F7801" w:rsidRDefault="00BB5822" w:rsidP="000F7801">
      <w:pPr>
        <w:pStyle w:val="FootnoteText"/>
        <w:ind w:left="567" w:hanging="567"/>
        <w:rPr>
          <w:sz w:val="24"/>
          <w:lang w:val="fi-FI"/>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 xml:space="preserve">EUVL L 55, 28.2.2011, s. 13, ELI: </w:t>
      </w:r>
      <w:hyperlink r:id="rId2" w:history="1">
        <w:r w:rsidRPr="000F7801">
          <w:rPr>
            <w:rStyle w:val="Hyperlink"/>
            <w:sz w:val="24"/>
            <w:lang w:val="fi-FI"/>
          </w:rPr>
          <w:t>http://data.europa.eu/eli/reg/2011/182/oj</w:t>
        </w:r>
      </w:hyperlink>
      <w:r w:rsidRPr="000F7801">
        <w:rPr>
          <w:sz w:val="24"/>
          <w:lang w:val="fi-FI"/>
        </w:rPr>
        <w:t>.</w:t>
      </w:r>
    </w:p>
  </w:footnote>
  <w:footnote w:id="3">
    <w:p w14:paraId="2A821AB7" w14:textId="4A2BF605" w:rsidR="00BB5822" w:rsidRPr="000F7801" w:rsidRDefault="00BB5822" w:rsidP="000F7801">
      <w:pPr>
        <w:pStyle w:val="FootnoteText"/>
        <w:suppressAutoHyphens/>
        <w:ind w:left="567" w:hanging="567"/>
        <w:rPr>
          <w:sz w:val="24"/>
          <w:lang w:val="fi-FI"/>
        </w:rPr>
      </w:pPr>
      <w:r w:rsidRPr="000F7801">
        <w:rPr>
          <w:rStyle w:val="FootnoteReference"/>
          <w:sz w:val="24"/>
          <w:lang w:val="fi-FI"/>
        </w:rPr>
        <w:footnoteRef/>
      </w:r>
      <w:r w:rsidR="000F7801" w:rsidRPr="0073072D">
        <w:rPr>
          <w:sz w:val="24"/>
          <w:lang w:val="en-GB"/>
        </w:rPr>
        <w:t xml:space="preserve"> </w:t>
      </w:r>
      <w:r w:rsidR="000F7801" w:rsidRPr="0073072D">
        <w:rPr>
          <w:sz w:val="24"/>
          <w:lang w:val="en-GB"/>
        </w:rPr>
        <w:tab/>
      </w:r>
      <w:proofErr w:type="spellStart"/>
      <w:r w:rsidRPr="0073072D">
        <w:rPr>
          <w:sz w:val="24"/>
          <w:lang w:val="en-GB"/>
        </w:rPr>
        <w:t>Muuntogeenisiä</w:t>
      </w:r>
      <w:proofErr w:type="spellEnd"/>
      <w:r w:rsidRPr="0073072D">
        <w:rPr>
          <w:sz w:val="24"/>
          <w:lang w:val="en-GB"/>
        </w:rPr>
        <w:t xml:space="preserve"> </w:t>
      </w:r>
      <w:proofErr w:type="spellStart"/>
      <w:r w:rsidRPr="0073072D">
        <w:rPr>
          <w:sz w:val="24"/>
          <w:lang w:val="en-GB"/>
        </w:rPr>
        <w:t>organismeja</w:t>
      </w:r>
      <w:proofErr w:type="spellEnd"/>
      <w:r w:rsidRPr="0073072D">
        <w:rPr>
          <w:sz w:val="24"/>
          <w:lang w:val="en-GB"/>
        </w:rPr>
        <w:t xml:space="preserve"> </w:t>
      </w:r>
      <w:proofErr w:type="spellStart"/>
      <w:r w:rsidRPr="0073072D">
        <w:rPr>
          <w:sz w:val="24"/>
          <w:lang w:val="en-GB"/>
        </w:rPr>
        <w:t>käsittelevän</w:t>
      </w:r>
      <w:proofErr w:type="spellEnd"/>
      <w:r w:rsidRPr="0073072D">
        <w:rPr>
          <w:sz w:val="24"/>
          <w:lang w:val="en-GB"/>
        </w:rPr>
        <w:t xml:space="preserve"> </w:t>
      </w:r>
      <w:proofErr w:type="spellStart"/>
      <w:r w:rsidRPr="0073072D">
        <w:rPr>
          <w:sz w:val="24"/>
          <w:lang w:val="en-GB"/>
        </w:rPr>
        <w:t>EFSAn</w:t>
      </w:r>
      <w:proofErr w:type="spellEnd"/>
      <w:r w:rsidRPr="0073072D">
        <w:rPr>
          <w:sz w:val="24"/>
          <w:lang w:val="en-GB"/>
        </w:rPr>
        <w:t xml:space="preserve"> </w:t>
      </w:r>
      <w:proofErr w:type="spellStart"/>
      <w:r w:rsidRPr="0073072D">
        <w:rPr>
          <w:sz w:val="24"/>
          <w:lang w:val="en-GB"/>
        </w:rPr>
        <w:t>lautakunnan</w:t>
      </w:r>
      <w:proofErr w:type="spellEnd"/>
      <w:r w:rsidRPr="0073072D">
        <w:rPr>
          <w:sz w:val="24"/>
          <w:lang w:val="en-GB"/>
        </w:rPr>
        <w:t xml:space="preserve"> </w:t>
      </w:r>
      <w:proofErr w:type="spellStart"/>
      <w:r w:rsidRPr="0073072D">
        <w:rPr>
          <w:sz w:val="24"/>
          <w:lang w:val="en-GB"/>
        </w:rPr>
        <w:t>tieteellinen</w:t>
      </w:r>
      <w:proofErr w:type="spellEnd"/>
      <w:r w:rsidRPr="0073072D">
        <w:rPr>
          <w:sz w:val="24"/>
          <w:lang w:val="en-GB"/>
        </w:rPr>
        <w:t xml:space="preserve"> </w:t>
      </w:r>
      <w:proofErr w:type="spellStart"/>
      <w:proofErr w:type="gramStart"/>
      <w:r w:rsidRPr="0073072D">
        <w:rPr>
          <w:sz w:val="24"/>
          <w:lang w:val="en-GB"/>
        </w:rPr>
        <w:t>lausunto</w:t>
      </w:r>
      <w:proofErr w:type="spellEnd"/>
      <w:r w:rsidRPr="0073072D">
        <w:rPr>
          <w:sz w:val="24"/>
          <w:lang w:val="en-GB"/>
        </w:rPr>
        <w:t xml:space="preserve"> ”Assessment</w:t>
      </w:r>
      <w:proofErr w:type="gramEnd"/>
      <w:r w:rsidRPr="0073072D">
        <w:rPr>
          <w:sz w:val="24"/>
          <w:lang w:val="en-GB"/>
        </w:rPr>
        <w:t xml:space="preserve"> of genetically modified maize NK603 for renewal authorisation under Regulation (</w:t>
      </w:r>
      <w:r w:rsidR="00FC31E7" w:rsidRPr="0098763D">
        <w:t xml:space="preserve">EY) N:o </w:t>
      </w:r>
      <w:r w:rsidRPr="0073072D">
        <w:rPr>
          <w:sz w:val="24"/>
          <w:lang w:val="en-GB"/>
        </w:rPr>
        <w:t xml:space="preserve">1829/2003 (dossier GMFF-2023-21250)”. </w:t>
      </w:r>
      <w:r w:rsidRPr="000F7801">
        <w:rPr>
          <w:sz w:val="24"/>
          <w:lang w:val="fi-FI"/>
        </w:rPr>
        <w:t xml:space="preserve">EFSA Journal 2025;23(6):9505; </w:t>
      </w:r>
      <w:hyperlink r:id="rId3" w:history="1">
        <w:r w:rsidRPr="000F7801">
          <w:rPr>
            <w:rStyle w:val="Hyperlink"/>
            <w:sz w:val="24"/>
            <w:lang w:val="fi-FI"/>
          </w:rPr>
          <w:t>https://doi.org/10.2903/j.efsa.2025.9505</w:t>
        </w:r>
      </w:hyperlink>
      <w:r w:rsidRPr="000F7801">
        <w:rPr>
          <w:rStyle w:val="Hyperlink"/>
          <w:sz w:val="24"/>
          <w:lang w:val="fi-FI"/>
        </w:rPr>
        <w:t>.</w:t>
      </w:r>
    </w:p>
  </w:footnote>
  <w:footnote w:id="4">
    <w:p w14:paraId="5C47B6AB" w14:textId="18DAF12D" w:rsidR="00BB5822" w:rsidRPr="000F7801" w:rsidRDefault="00BB5822" w:rsidP="000F7801">
      <w:pPr>
        <w:pStyle w:val="FootnoteText"/>
        <w:suppressAutoHyphens/>
        <w:ind w:left="567" w:hanging="567"/>
        <w:rPr>
          <w:color w:val="000000" w:themeColor="text1"/>
          <w:sz w:val="24"/>
          <w:vertAlign w:val="superscript"/>
          <w:lang w:val="fi-FI"/>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Kahdeksannella vaalikaudella parlamentti hyväksyi 36 päätöslauselmaa ja yhdeksännellä vaalikaudella 38 päätöslauselmaa, joissa vastustettiin lupien myöntämistä muuntogeenisille organismeille.</w:t>
      </w:r>
      <w:r w:rsidRPr="000F7801">
        <w:rPr>
          <w:color w:val="000000" w:themeColor="text1"/>
          <w:sz w:val="24"/>
          <w:lang w:val="fi-FI"/>
        </w:rPr>
        <w:t xml:space="preserve"> Lisäksi parlamentti on hyväksynyt kymmenennellä vaalikaudella seuraavat päätöslauselmat:</w:t>
      </w:r>
    </w:p>
    <w:p w14:paraId="4637B64E" w14:textId="22630B7D" w:rsidR="00BB5822" w:rsidRPr="000F7801" w:rsidRDefault="000F7801" w:rsidP="000F7801">
      <w:pPr>
        <w:pStyle w:val="FootnoteText"/>
        <w:suppressAutoHyphens/>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BB5822" w:rsidRPr="000F7801">
          <w:rPr>
            <w:rStyle w:val="Hyperlink"/>
            <w:sz w:val="24"/>
            <w:lang w:val="fi-FI"/>
          </w:rPr>
          <w:t>http://data.europa.eu/eli/C/2025/1797/oj</w:t>
        </w:r>
      </w:hyperlink>
      <w:r w:rsidR="00BB5822" w:rsidRPr="000F7801">
        <w:rPr>
          <w:color w:val="000000" w:themeColor="text1"/>
          <w:sz w:val="24"/>
          <w:lang w:val="fi-FI"/>
        </w:rPr>
        <w:t>).</w:t>
      </w:r>
    </w:p>
    <w:p w14:paraId="6259B5A9" w14:textId="4CBC8078" w:rsidR="00BB5822" w:rsidRPr="000F7801" w:rsidRDefault="000F7801" w:rsidP="000F7801">
      <w:pPr>
        <w:pStyle w:val="FootnoteText"/>
        <w:suppressAutoHyphens/>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BB5822" w:rsidRPr="000F7801">
          <w:rPr>
            <w:rStyle w:val="Hyperlink"/>
            <w:sz w:val="24"/>
            <w:lang w:val="fi-FI"/>
          </w:rPr>
          <w:t>http://data.europa.eu/eli/C/2025/1798/oj</w:t>
        </w:r>
      </w:hyperlink>
      <w:r w:rsidR="00BB5822" w:rsidRPr="000F7801">
        <w:rPr>
          <w:color w:val="000000" w:themeColor="text1"/>
          <w:sz w:val="24"/>
          <w:lang w:val="fi-FI"/>
        </w:rPr>
        <w:t>).</w:t>
      </w:r>
    </w:p>
    <w:p w14:paraId="269B00BE" w14:textId="76994F10" w:rsidR="00BB5822" w:rsidRPr="000F7801" w:rsidRDefault="000F7801" w:rsidP="000F7801">
      <w:pPr>
        <w:pStyle w:val="FootnoteText"/>
        <w:suppressAutoHyphens/>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BB5822" w:rsidRPr="000F7801">
          <w:rPr>
            <w:rStyle w:val="Hyperlink"/>
            <w:sz w:val="24"/>
            <w:lang w:val="fi-FI"/>
          </w:rPr>
          <w:t>http://data.europa.eu/eli/C/2025/1799/oj</w:t>
        </w:r>
      </w:hyperlink>
      <w:r w:rsidR="00BB5822" w:rsidRPr="000F7801">
        <w:rPr>
          <w:color w:val="000000" w:themeColor="text1"/>
          <w:sz w:val="24"/>
          <w:lang w:val="fi-FI"/>
        </w:rPr>
        <w:t>).</w:t>
      </w:r>
    </w:p>
    <w:p w14:paraId="23784587" w14:textId="727AFFFC" w:rsidR="00BB5822" w:rsidRPr="000F7801" w:rsidRDefault="000F7801" w:rsidP="000F7801">
      <w:pPr>
        <w:pStyle w:val="FootnoteText"/>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BB5822" w:rsidRPr="000F7801">
          <w:rPr>
            <w:rStyle w:val="Hyperlink"/>
            <w:sz w:val="24"/>
            <w:lang w:val="fi-FI"/>
          </w:rPr>
          <w:t>http://data.europa.eu/eli/C/2025/1800/oj</w:t>
        </w:r>
      </w:hyperlink>
      <w:r w:rsidR="00BB5822" w:rsidRPr="000F7801">
        <w:rPr>
          <w:color w:val="000000" w:themeColor="text1"/>
          <w:sz w:val="24"/>
          <w:lang w:val="fi-FI"/>
        </w:rPr>
        <w:t>).</w:t>
      </w:r>
    </w:p>
    <w:p w14:paraId="581010FA" w14:textId="73BB6B64" w:rsidR="00BB5822" w:rsidRPr="000F7801" w:rsidRDefault="000F7801" w:rsidP="000F7801">
      <w:pPr>
        <w:pStyle w:val="FootnoteText"/>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BB5822" w:rsidRPr="000F7801">
          <w:rPr>
            <w:rStyle w:val="Hyperlink"/>
            <w:sz w:val="24"/>
            <w:lang w:val="fi-FI"/>
          </w:rPr>
          <w:t>http://data.europa.eu/eli/C/2025/1801/oj</w:t>
        </w:r>
      </w:hyperlink>
      <w:r w:rsidR="00BB5822" w:rsidRPr="000F7801">
        <w:rPr>
          <w:color w:val="000000" w:themeColor="text1"/>
          <w:sz w:val="24"/>
          <w:lang w:val="fi-FI"/>
        </w:rPr>
        <w:t>).</w:t>
      </w:r>
    </w:p>
    <w:p w14:paraId="7B6824DA" w14:textId="7813DD7A" w:rsidR="00BB5822" w:rsidRPr="000F7801" w:rsidRDefault="000F7801" w:rsidP="000F7801">
      <w:pPr>
        <w:pStyle w:val="FootnoteText"/>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BB5822" w:rsidRPr="000F7801">
          <w:rPr>
            <w:rStyle w:val="Hyperlink"/>
            <w:sz w:val="24"/>
            <w:lang w:val="fi-FI"/>
          </w:rPr>
          <w:t>http://data.europa.eu/eli/C/2025/1802/oj</w:t>
        </w:r>
      </w:hyperlink>
      <w:r w:rsidR="00BB5822" w:rsidRPr="000F7801">
        <w:rPr>
          <w:color w:val="000000" w:themeColor="text1"/>
          <w:sz w:val="24"/>
          <w:lang w:val="fi-FI"/>
        </w:rPr>
        <w:t>).</w:t>
      </w:r>
    </w:p>
    <w:p w14:paraId="655ABDD2" w14:textId="2D247ECB" w:rsidR="00BB5822" w:rsidRPr="000F7801" w:rsidRDefault="000F7801" w:rsidP="000F7801">
      <w:pPr>
        <w:pStyle w:val="FootnoteText"/>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BB5822" w:rsidRPr="000F7801">
          <w:rPr>
            <w:rStyle w:val="Hyperlink"/>
            <w:sz w:val="24"/>
            <w:lang w:val="fi-FI"/>
          </w:rPr>
          <w:t>http://data.europa.eu/eli/C/2025/1803/oj</w:t>
        </w:r>
      </w:hyperlink>
      <w:r w:rsidR="00BB5822" w:rsidRPr="000F7801">
        <w:rPr>
          <w:color w:val="000000" w:themeColor="text1"/>
          <w:sz w:val="24"/>
          <w:lang w:val="fi-FI"/>
        </w:rPr>
        <w:t>).</w:t>
      </w:r>
    </w:p>
    <w:p w14:paraId="65312097" w14:textId="6C20F3C1" w:rsidR="00BB5822" w:rsidRPr="000F7801" w:rsidRDefault="000F7801" w:rsidP="000F7801">
      <w:pPr>
        <w:pStyle w:val="FootnoteText"/>
        <w:ind w:left="567" w:hanging="567"/>
        <w:rPr>
          <w:color w:val="000000" w:themeColor="text1"/>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BB5822" w:rsidRPr="000F7801">
          <w:rPr>
            <w:rStyle w:val="Hyperlink"/>
            <w:sz w:val="24"/>
            <w:lang w:val="fi-FI"/>
          </w:rPr>
          <w:t>http://data.europa.eu/eli/C/2025/1804/oj</w:t>
        </w:r>
      </w:hyperlink>
      <w:r w:rsidR="00BB5822" w:rsidRPr="000F7801">
        <w:rPr>
          <w:color w:val="000000" w:themeColor="text1"/>
          <w:sz w:val="24"/>
          <w:lang w:val="fi-FI"/>
        </w:rPr>
        <w:t>).</w:t>
      </w:r>
    </w:p>
    <w:p w14:paraId="28BC3200" w14:textId="4734344A" w:rsidR="00BB5822" w:rsidRPr="000F7801" w:rsidRDefault="000F7801" w:rsidP="000F7801">
      <w:pPr>
        <w:pStyle w:val="FootnoteText"/>
        <w:ind w:left="567" w:hanging="567"/>
        <w:rPr>
          <w:sz w:val="24"/>
          <w:vertAlign w:val="superscript"/>
          <w:lang w:val="fi-FI"/>
        </w:rPr>
      </w:pPr>
      <w:r w:rsidRPr="000F7801">
        <w:rPr>
          <w:color w:val="000000" w:themeColor="text1"/>
          <w:sz w:val="24"/>
          <w:lang w:val="fi-FI"/>
        </w:rPr>
        <w:t xml:space="preserve"> </w:t>
      </w:r>
      <w:r w:rsidRPr="000F7801">
        <w:rPr>
          <w:color w:val="000000" w:themeColor="text1"/>
          <w:sz w:val="24"/>
          <w:lang w:val="fi-FI"/>
        </w:rPr>
        <w:tab/>
      </w:r>
      <w:r w:rsidR="00BB5822" w:rsidRPr="000F7801">
        <w:rPr>
          <w:color w:val="000000" w:themeColor="text1"/>
          <w:sz w:val="24"/>
          <w:lang w:val="fi-FI"/>
        </w:rPr>
        <w:t>–</w:t>
      </w:r>
      <w:r w:rsidR="00BB5822" w:rsidRPr="000F7801">
        <w:rPr>
          <w:color w:val="000000" w:themeColor="text1"/>
          <w:sz w:val="24"/>
          <w:lang w:val="fi-FI"/>
        </w:rPr>
        <w:tab/>
      </w:r>
      <w:r w:rsidR="00BB5822" w:rsidRPr="000F7801">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tooltip="Avaa asiakirjan ELI URI -osoitteen kautta." w:history="1">
        <w:r w:rsidR="00BB5822" w:rsidRPr="000F7801">
          <w:rPr>
            <w:rStyle w:val="Hyperlink"/>
            <w:sz w:val="24"/>
            <w:lang w:val="fi-FI"/>
          </w:rPr>
          <w:t>http://data.europa.eu/eli/C/2025/2246/oj</w:t>
        </w:r>
      </w:hyperlink>
      <w:r w:rsidR="00BB5822" w:rsidRPr="000F7801">
        <w:rPr>
          <w:sz w:val="24"/>
          <w:lang w:val="fi-FI"/>
        </w:rPr>
        <w:t>).</w:t>
      </w:r>
    </w:p>
    <w:p w14:paraId="56D6E81D" w14:textId="38C6DA6B"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tooltip="Avaa asiakirjan ELI URI -osoitteen kautta." w:history="1">
        <w:r w:rsidR="00BB5822" w:rsidRPr="000F7801">
          <w:rPr>
            <w:rStyle w:val="Hyperlink"/>
            <w:sz w:val="24"/>
            <w:lang w:val="fi-FI"/>
          </w:rPr>
          <w:t>http://data.europa.eu/eli/C/2025/2247/oj</w:t>
        </w:r>
      </w:hyperlink>
      <w:r w:rsidR="00BB5822" w:rsidRPr="000F7801">
        <w:rPr>
          <w:sz w:val="24"/>
          <w:lang w:val="fi-FI"/>
        </w:rPr>
        <w:t>).</w:t>
      </w:r>
    </w:p>
    <w:p w14:paraId="0D9390A2" w14:textId="3FB6050D"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(P10_TA(2025)0106).</w:t>
      </w:r>
    </w:p>
    <w:p w14:paraId="71204022" w14:textId="44EC96D1"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(P10_TA(2025)0222).</w:t>
      </w:r>
    </w:p>
    <w:p w14:paraId="7D495BC6" w14:textId="4362BAA0" w:rsidR="00BB5822" w:rsidRPr="000F7801" w:rsidRDefault="000F7801" w:rsidP="000F7801">
      <w:pPr>
        <w:pStyle w:val="FootnoteText"/>
        <w:ind w:left="567" w:hanging="567"/>
        <w:rPr>
          <w:sz w:val="24"/>
          <w:vertAlign w:val="superscript"/>
          <w:lang w:val="fi-FI"/>
        </w:rPr>
      </w:pPr>
      <w:bookmarkStart w:id="7" w:name="_Hlk215330280"/>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(P10_TA(2025)0288).</w:t>
      </w:r>
    </w:p>
    <w:p w14:paraId="0252ABDA" w14:textId="3D9E58C7"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(P10_TA(2025)0289).</w:t>
      </w:r>
    </w:p>
    <w:p w14:paraId="3897737B" w14:textId="7EC09D29"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(P10_TA(2025)0290).</w:t>
      </w:r>
    </w:p>
    <w:p w14:paraId="253612C0" w14:textId="3E5A2A0D" w:rsidR="00BB5822" w:rsidRPr="000F7801" w:rsidRDefault="000F7801" w:rsidP="000F7801">
      <w:pPr>
        <w:pStyle w:val="FootnoteText"/>
        <w:ind w:left="567" w:hanging="567"/>
        <w:rPr>
          <w:sz w:val="24"/>
          <w:vertAlign w:val="superscript"/>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(P10_TA(2025)0291).</w:t>
      </w:r>
    </w:p>
    <w:p w14:paraId="267A0ACC" w14:textId="240C0DD0" w:rsidR="00BB5822" w:rsidRPr="000F7801" w:rsidRDefault="000F7801" w:rsidP="000F7801">
      <w:pPr>
        <w:pStyle w:val="FootnoteText"/>
        <w:ind w:left="567" w:hanging="567"/>
        <w:rPr>
          <w:sz w:val="24"/>
          <w:lang w:val="fi-FI"/>
        </w:rPr>
      </w:pPr>
      <w:r w:rsidRPr="000F7801">
        <w:rPr>
          <w:sz w:val="24"/>
          <w:lang w:val="fi-FI"/>
        </w:rPr>
        <w:t xml:space="preserve"> </w:t>
      </w:r>
      <w:r w:rsidRPr="000F7801">
        <w:rPr>
          <w:sz w:val="24"/>
          <w:lang w:val="fi-FI"/>
        </w:rPr>
        <w:tab/>
      </w:r>
      <w:r w:rsidR="00BB5822" w:rsidRPr="000F7801">
        <w:rPr>
          <w:sz w:val="24"/>
          <w:lang w:val="fi-FI"/>
        </w:rPr>
        <w:t>–</w:t>
      </w:r>
      <w:r w:rsidR="00BB5822" w:rsidRPr="000F7801">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(P10_TA(2025)0292).</w:t>
      </w:r>
      <w:bookmarkEnd w:id="7"/>
    </w:p>
  </w:footnote>
  <w:footnote w:id="5">
    <w:p w14:paraId="32FCECAE" w14:textId="3209DC07" w:rsidR="00BB5822" w:rsidRPr="000F7801" w:rsidRDefault="00BB5822" w:rsidP="000F7801">
      <w:pPr>
        <w:pStyle w:val="FootnoteText"/>
        <w:ind w:left="567" w:hanging="567"/>
        <w:rPr>
          <w:sz w:val="24"/>
          <w:lang w:val="fi-FI"/>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Komission täytäntöönpanopäätös (EU) 2015/684, annettu 24.</w:t>
      </w:r>
      <w:r w:rsidR="00D92131">
        <w:rPr>
          <w:sz w:val="24"/>
          <w:lang w:val="fi-FI"/>
        </w:rPr>
        <w:t xml:space="preserve"> </w:t>
      </w:r>
      <w:r w:rsidRPr="000F7801">
        <w:rPr>
          <w:sz w:val="24"/>
          <w:lang w:val="fi-FI"/>
        </w:rPr>
        <w:t>huhtikuuta 2015, muuntogeenisen maissin NK603 (MON-ØØ6Ø3-6) markkinoille saattamisen sallimisesta ja olemassa olevien NK603 (MON-ØØ6Ø3-6) -maissituotteiden luvan uusimisesta Euroopan parlamentin ja neuvoston asetuksen (EY) N:o 1829/2003 mukaisesti (EUVL L 112, 30.4.2015, s. 6, ELI: </w:t>
      </w:r>
      <w:hyperlink r:id="rId14" w:tooltip="Avaa asiakirjan ELI URI -osoitteen kautta." w:history="1">
        <w:r w:rsidRPr="000F7801">
          <w:rPr>
            <w:rStyle w:val="Hyperlink"/>
            <w:sz w:val="24"/>
            <w:lang w:val="fi-FI"/>
          </w:rPr>
          <w:t>http://data.europa.eu/eli/dec_impl/2015/684/oj</w:t>
        </w:r>
      </w:hyperlink>
      <w:r w:rsidRPr="000F7801">
        <w:rPr>
          <w:sz w:val="24"/>
          <w:lang w:val="fi-FI"/>
        </w:rPr>
        <w:t>).</w:t>
      </w:r>
    </w:p>
  </w:footnote>
  <w:footnote w:id="6">
    <w:p w14:paraId="2C10AE5F" w14:textId="275EFD25" w:rsidR="00BB5822" w:rsidRPr="000F7801" w:rsidRDefault="00BB5822" w:rsidP="000F7801">
      <w:pPr>
        <w:pStyle w:val="FootnoteText"/>
        <w:ind w:left="567" w:hanging="567"/>
        <w:rPr>
          <w:sz w:val="24"/>
          <w:lang w:val="fi-FI"/>
        </w:rPr>
      </w:pPr>
      <w:r w:rsidRPr="000F7801">
        <w:rPr>
          <w:rStyle w:val="FootnoteReference"/>
          <w:sz w:val="24"/>
          <w:lang w:val="fi-FI"/>
        </w:rPr>
        <w:footnoteRef/>
      </w:r>
      <w:r w:rsidR="000F7801" w:rsidRPr="00D92131">
        <w:rPr>
          <w:rStyle w:val="Hyperlink"/>
          <w:sz w:val="24"/>
          <w:u w:val="none"/>
          <w:lang w:val="fi-FI"/>
        </w:rPr>
        <w:t xml:space="preserve"> </w:t>
      </w:r>
      <w:r w:rsidR="000F7801" w:rsidRPr="00D92131">
        <w:rPr>
          <w:rStyle w:val="Hyperlink"/>
          <w:sz w:val="24"/>
          <w:u w:val="none"/>
          <w:lang w:val="fi-FI"/>
        </w:rPr>
        <w:tab/>
      </w:r>
      <w:r w:rsidRPr="000F7801">
        <w:rPr>
          <w:rStyle w:val="Hyperlink"/>
          <w:sz w:val="24"/>
          <w:lang w:val="fi-FI"/>
        </w:rPr>
        <w:t xml:space="preserve">Muuntogeenisiä organismeja käsittelevä </w:t>
      </w:r>
      <w:proofErr w:type="spellStart"/>
      <w:r w:rsidRPr="000F7801">
        <w:rPr>
          <w:rStyle w:val="Hyperlink"/>
          <w:sz w:val="24"/>
          <w:lang w:val="fi-FI"/>
        </w:rPr>
        <w:t>EFSAn</w:t>
      </w:r>
      <w:proofErr w:type="spellEnd"/>
      <w:r w:rsidRPr="000F7801">
        <w:rPr>
          <w:rStyle w:val="Hyperlink"/>
          <w:sz w:val="24"/>
          <w:lang w:val="fi-FI"/>
        </w:rPr>
        <w:t xml:space="preserve"> lautakunta, 2009. Muuntogeenisiä organismeja käsittelevän lautakunnan tieteellinen lausunto hakemuksista (EFSA-GMO-NL-2005-22 ja EFSA-GMO-RX-NK603), jotka koskevat glyfosaattia sietävän muuntogeenisen maissin NK603 markkinoille saattamista viljely-, elintarvike- ja rehukäyttöä sekä tuontia ja jalostusta varten ja maissille NK603 olemassa olevana tuotteena myönnetyn luvan uusimista. EFSA Journal, 7(6), 1137.</w:t>
      </w:r>
      <w:hyperlink r:id="rId15" w:history="1">
        <w:r w:rsidRPr="000F7801">
          <w:rPr>
            <w:rStyle w:val="Hyperlink"/>
            <w:sz w:val="24"/>
            <w:lang w:val="fi-FI"/>
          </w:rPr>
          <w:t>https://doi.org/10.2903/j.efsa.2009.1137</w:t>
        </w:r>
      </w:hyperlink>
      <w:r w:rsidRPr="000F7801">
        <w:rPr>
          <w:rStyle w:val="Hyperlink"/>
          <w:sz w:val="24"/>
          <w:lang w:val="fi-FI"/>
        </w:rPr>
        <w:t>.</w:t>
      </w:r>
    </w:p>
  </w:footnote>
  <w:footnote w:id="7">
    <w:p w14:paraId="16FE4037" w14:textId="776FE55A" w:rsidR="00BB5822" w:rsidRPr="000F7801" w:rsidRDefault="00BB5822" w:rsidP="000F7801">
      <w:pPr>
        <w:pStyle w:val="FootnoteText"/>
        <w:ind w:left="567" w:hanging="567"/>
        <w:rPr>
          <w:sz w:val="24"/>
          <w:lang w:val="fi-FI"/>
        </w:rPr>
      </w:pPr>
      <w:r w:rsidRPr="000F7801">
        <w:rPr>
          <w:rStyle w:val="FootnoteReference"/>
          <w:sz w:val="24"/>
          <w:lang w:val="fi-FI"/>
        </w:rPr>
        <w:footnoteRef/>
      </w:r>
      <w:r w:rsidR="000F7801" w:rsidRPr="000F7801">
        <w:rPr>
          <w:sz w:val="24"/>
          <w:shd w:val="clear" w:color="auto" w:fill="FFFFFF"/>
          <w:lang w:val="fi-FI"/>
        </w:rPr>
        <w:t xml:space="preserve"> </w:t>
      </w:r>
      <w:r w:rsidR="000F7801" w:rsidRPr="000F7801">
        <w:rPr>
          <w:sz w:val="24"/>
          <w:shd w:val="clear" w:color="auto" w:fill="FFFFFF"/>
          <w:lang w:val="fi-FI"/>
        </w:rPr>
        <w:tab/>
      </w:r>
      <w:r w:rsidRPr="000F7801">
        <w:rPr>
          <w:sz w:val="24"/>
          <w:shd w:val="clear" w:color="auto" w:fill="FFFFFF"/>
          <w:lang w:val="fi-FI"/>
        </w:rPr>
        <w:t xml:space="preserve">Ks. esimerkiksi </w:t>
      </w:r>
      <w:proofErr w:type="spellStart"/>
      <w:r w:rsidRPr="000F7801">
        <w:rPr>
          <w:sz w:val="24"/>
          <w:shd w:val="clear" w:color="auto" w:fill="FFFFFF"/>
          <w:lang w:val="fi-FI"/>
        </w:rPr>
        <w:t>Bonny</w:t>
      </w:r>
      <w:proofErr w:type="spellEnd"/>
      <w:r w:rsidRPr="000F7801">
        <w:rPr>
          <w:sz w:val="24"/>
          <w:shd w:val="clear" w:color="auto" w:fill="FFFFFF"/>
          <w:lang w:val="fi-FI"/>
        </w:rPr>
        <w:t>, S., ”</w:t>
      </w:r>
      <w:proofErr w:type="spellStart"/>
      <w:r w:rsidRPr="000F7801">
        <w:rPr>
          <w:sz w:val="24"/>
          <w:shd w:val="clear" w:color="auto" w:fill="FFFFFF"/>
          <w:lang w:val="fi-FI"/>
        </w:rPr>
        <w:t>Genetically</w:t>
      </w:r>
      <w:proofErr w:type="spellEnd"/>
      <w:r w:rsidRPr="000F7801">
        <w:rPr>
          <w:sz w:val="24"/>
          <w:shd w:val="clear" w:color="auto" w:fill="FFFFFF"/>
          <w:lang w:val="fi-FI"/>
        </w:rPr>
        <w:t xml:space="preserve"> </w:t>
      </w:r>
      <w:proofErr w:type="spellStart"/>
      <w:r w:rsidRPr="000F7801">
        <w:rPr>
          <w:sz w:val="24"/>
          <w:shd w:val="clear" w:color="auto" w:fill="FFFFFF"/>
          <w:lang w:val="fi-FI"/>
        </w:rPr>
        <w:t>Modified</w:t>
      </w:r>
      <w:proofErr w:type="spellEnd"/>
      <w:r w:rsidRPr="000F7801">
        <w:rPr>
          <w:sz w:val="24"/>
          <w:shd w:val="clear" w:color="auto" w:fill="FFFFFF"/>
          <w:lang w:val="fi-FI"/>
        </w:rPr>
        <w:t xml:space="preserve"> </w:t>
      </w:r>
      <w:proofErr w:type="spellStart"/>
      <w:r w:rsidRPr="000F7801">
        <w:rPr>
          <w:sz w:val="24"/>
          <w:shd w:val="clear" w:color="auto" w:fill="FFFFFF"/>
          <w:lang w:val="fi-FI"/>
        </w:rPr>
        <w:t>Herbicide-Tolerant</w:t>
      </w:r>
      <w:proofErr w:type="spellEnd"/>
      <w:r w:rsidRPr="000F7801">
        <w:rPr>
          <w:sz w:val="24"/>
          <w:shd w:val="clear" w:color="auto" w:fill="FFFFFF"/>
          <w:lang w:val="fi-FI"/>
        </w:rPr>
        <w:t xml:space="preserve"> </w:t>
      </w:r>
      <w:proofErr w:type="spellStart"/>
      <w:r w:rsidRPr="000F7801">
        <w:rPr>
          <w:sz w:val="24"/>
          <w:shd w:val="clear" w:color="auto" w:fill="FFFFFF"/>
          <w:lang w:val="fi-FI"/>
        </w:rPr>
        <w:t>Crops</w:t>
      </w:r>
      <w:proofErr w:type="spellEnd"/>
      <w:r w:rsidRPr="000F7801">
        <w:rPr>
          <w:sz w:val="24"/>
          <w:shd w:val="clear" w:color="auto" w:fill="FFFFFF"/>
          <w:lang w:val="fi-FI"/>
        </w:rPr>
        <w:t xml:space="preserve">, </w:t>
      </w:r>
      <w:proofErr w:type="spellStart"/>
      <w:r w:rsidRPr="000F7801">
        <w:rPr>
          <w:sz w:val="24"/>
          <w:shd w:val="clear" w:color="auto" w:fill="FFFFFF"/>
          <w:lang w:val="fi-FI"/>
        </w:rPr>
        <w:t>Weeds</w:t>
      </w:r>
      <w:proofErr w:type="spellEnd"/>
      <w:r w:rsidRPr="000F7801">
        <w:rPr>
          <w:sz w:val="24"/>
          <w:shd w:val="clear" w:color="auto" w:fill="FFFFFF"/>
          <w:lang w:val="fi-FI"/>
        </w:rPr>
        <w:t xml:space="preserve">, and </w:t>
      </w:r>
      <w:proofErr w:type="spellStart"/>
      <w:r w:rsidRPr="000F7801">
        <w:rPr>
          <w:sz w:val="24"/>
          <w:shd w:val="clear" w:color="auto" w:fill="FFFFFF"/>
          <w:lang w:val="fi-FI"/>
        </w:rPr>
        <w:t>Herbicides</w:t>
      </w:r>
      <w:proofErr w:type="spellEnd"/>
      <w:r w:rsidRPr="000F7801">
        <w:rPr>
          <w:sz w:val="24"/>
          <w:shd w:val="clear" w:color="auto" w:fill="FFFFFF"/>
          <w:lang w:val="fi-FI"/>
        </w:rPr>
        <w:t xml:space="preserve">: </w:t>
      </w:r>
      <w:proofErr w:type="spellStart"/>
      <w:r w:rsidRPr="000F7801">
        <w:rPr>
          <w:sz w:val="24"/>
          <w:lang w:val="fi-FI"/>
        </w:rPr>
        <w:t>Overview</w:t>
      </w:r>
      <w:proofErr w:type="spellEnd"/>
      <w:r w:rsidRPr="000F7801">
        <w:rPr>
          <w:sz w:val="24"/>
          <w:lang w:val="fi-FI"/>
        </w:rPr>
        <w:t xml:space="preserve"> and </w:t>
      </w:r>
      <w:proofErr w:type="spellStart"/>
      <w:r w:rsidRPr="000F7801">
        <w:rPr>
          <w:sz w:val="24"/>
          <w:lang w:val="fi-FI"/>
        </w:rPr>
        <w:t>Impact</w:t>
      </w:r>
      <w:proofErr w:type="spellEnd"/>
      <w:r w:rsidRPr="000F7801">
        <w:rPr>
          <w:sz w:val="24"/>
          <w:lang w:val="fi-FI"/>
        </w:rPr>
        <w:t xml:space="preserve">”, </w:t>
      </w:r>
      <w:proofErr w:type="spellStart"/>
      <w:r w:rsidRPr="000F7801">
        <w:rPr>
          <w:sz w:val="24"/>
          <w:lang w:val="fi-FI"/>
        </w:rPr>
        <w:t>Environmental</w:t>
      </w:r>
      <w:proofErr w:type="spellEnd"/>
      <w:r w:rsidRPr="000F7801">
        <w:rPr>
          <w:sz w:val="24"/>
          <w:lang w:val="fi-FI"/>
        </w:rPr>
        <w:t xml:space="preserve"> Management, tammikuu 2016;57(1), s. 31–48, </w:t>
      </w:r>
      <w:hyperlink r:id="rId16" w:history="1">
        <w:r w:rsidRPr="000F7801">
          <w:rPr>
            <w:rStyle w:val="Hyperlink"/>
            <w:sz w:val="24"/>
            <w:shd w:val="clear" w:color="auto" w:fill="FFFFFF"/>
            <w:lang w:val="fi-FI"/>
          </w:rPr>
          <w:t>https://doi.org/10.1007/s00267-015-0589-7</w:t>
        </w:r>
      </w:hyperlink>
      <w:r w:rsidRPr="000F7801">
        <w:rPr>
          <w:sz w:val="24"/>
          <w:lang w:val="fi-FI"/>
        </w:rPr>
        <w:t xml:space="preserve"> ja </w:t>
      </w:r>
      <w:proofErr w:type="spellStart"/>
      <w:r w:rsidRPr="000F7801">
        <w:rPr>
          <w:sz w:val="24"/>
          <w:lang w:val="fi-FI"/>
        </w:rPr>
        <w:t>Benbrook</w:t>
      </w:r>
      <w:proofErr w:type="spellEnd"/>
      <w:r w:rsidRPr="000F7801">
        <w:rPr>
          <w:sz w:val="24"/>
          <w:lang w:val="fi-FI"/>
        </w:rPr>
        <w:t>, C. M., ”</w:t>
      </w:r>
      <w:proofErr w:type="spellStart"/>
      <w:r w:rsidRPr="000F7801">
        <w:rPr>
          <w:sz w:val="24"/>
          <w:lang w:val="fi-FI"/>
        </w:rPr>
        <w:t>Impacts</w:t>
      </w:r>
      <w:proofErr w:type="spellEnd"/>
      <w:r w:rsidRPr="000F7801">
        <w:rPr>
          <w:sz w:val="24"/>
          <w:lang w:val="fi-FI"/>
        </w:rPr>
        <w:t xml:space="preserve"> of </w:t>
      </w:r>
      <w:proofErr w:type="spellStart"/>
      <w:r w:rsidRPr="000F7801">
        <w:rPr>
          <w:sz w:val="24"/>
          <w:lang w:val="fi-FI"/>
        </w:rPr>
        <w:t>genetically</w:t>
      </w:r>
      <w:proofErr w:type="spellEnd"/>
      <w:r w:rsidRPr="000F7801">
        <w:rPr>
          <w:sz w:val="24"/>
          <w:lang w:val="fi-FI"/>
        </w:rPr>
        <w:t xml:space="preserve"> </w:t>
      </w:r>
      <w:proofErr w:type="spellStart"/>
      <w:r w:rsidRPr="000F7801">
        <w:rPr>
          <w:sz w:val="24"/>
          <w:lang w:val="fi-FI"/>
        </w:rPr>
        <w:t>engineered</w:t>
      </w:r>
      <w:proofErr w:type="spellEnd"/>
      <w:r w:rsidRPr="000F7801">
        <w:rPr>
          <w:sz w:val="24"/>
          <w:lang w:val="fi-FI"/>
        </w:rPr>
        <w:t xml:space="preserve"> </w:t>
      </w:r>
      <w:proofErr w:type="spellStart"/>
      <w:r w:rsidRPr="000F7801">
        <w:rPr>
          <w:sz w:val="24"/>
          <w:lang w:val="fi-FI"/>
        </w:rPr>
        <w:t>crops</w:t>
      </w:r>
      <w:proofErr w:type="spellEnd"/>
      <w:r w:rsidRPr="000F7801">
        <w:rPr>
          <w:sz w:val="24"/>
          <w:lang w:val="fi-FI"/>
        </w:rPr>
        <w:t xml:space="preserve"> on </w:t>
      </w:r>
      <w:proofErr w:type="spellStart"/>
      <w:r w:rsidRPr="000F7801">
        <w:rPr>
          <w:sz w:val="24"/>
          <w:lang w:val="fi-FI"/>
        </w:rPr>
        <w:t>pesticide</w:t>
      </w:r>
      <w:proofErr w:type="spellEnd"/>
      <w:r w:rsidRPr="000F7801">
        <w:rPr>
          <w:sz w:val="24"/>
          <w:lang w:val="fi-FI"/>
        </w:rPr>
        <w:t xml:space="preserve"> </w:t>
      </w:r>
      <w:proofErr w:type="spellStart"/>
      <w:r w:rsidRPr="000F7801">
        <w:rPr>
          <w:sz w:val="24"/>
          <w:lang w:val="fi-FI"/>
        </w:rPr>
        <w:t>use</w:t>
      </w:r>
      <w:proofErr w:type="spellEnd"/>
      <w:r w:rsidRPr="000F7801">
        <w:rPr>
          <w:sz w:val="24"/>
          <w:lang w:val="fi-FI"/>
        </w:rPr>
        <w:t xml:space="preserve"> in the U.S. – </w:t>
      </w:r>
      <w:proofErr w:type="spellStart"/>
      <w:r w:rsidRPr="000F7801">
        <w:rPr>
          <w:sz w:val="24"/>
          <w:lang w:val="fi-FI"/>
        </w:rPr>
        <w:t>the</w:t>
      </w:r>
      <w:proofErr w:type="spellEnd"/>
      <w:r w:rsidRPr="000F7801">
        <w:rPr>
          <w:sz w:val="24"/>
          <w:lang w:val="fi-FI"/>
        </w:rPr>
        <w:t xml:space="preserve"> </w:t>
      </w:r>
      <w:proofErr w:type="spellStart"/>
      <w:r w:rsidRPr="000F7801">
        <w:rPr>
          <w:sz w:val="24"/>
          <w:lang w:val="fi-FI"/>
        </w:rPr>
        <w:t>first</w:t>
      </w:r>
      <w:proofErr w:type="spellEnd"/>
      <w:r w:rsidRPr="000F7801">
        <w:rPr>
          <w:sz w:val="24"/>
          <w:lang w:val="fi-FI"/>
        </w:rPr>
        <w:t xml:space="preserve"> </w:t>
      </w:r>
      <w:proofErr w:type="spellStart"/>
      <w:r w:rsidRPr="000F7801">
        <w:rPr>
          <w:sz w:val="24"/>
          <w:lang w:val="fi-FI"/>
        </w:rPr>
        <w:t>sixteen</w:t>
      </w:r>
      <w:proofErr w:type="spellEnd"/>
      <w:r w:rsidRPr="000F7801">
        <w:rPr>
          <w:sz w:val="24"/>
          <w:lang w:val="fi-FI"/>
        </w:rPr>
        <w:t xml:space="preserve"> </w:t>
      </w:r>
      <w:proofErr w:type="spellStart"/>
      <w:r w:rsidRPr="000F7801">
        <w:rPr>
          <w:sz w:val="24"/>
          <w:lang w:val="fi-FI"/>
        </w:rPr>
        <w:t>years</w:t>
      </w:r>
      <w:proofErr w:type="spellEnd"/>
      <w:r w:rsidRPr="000F7801">
        <w:rPr>
          <w:sz w:val="24"/>
          <w:lang w:val="fi-FI"/>
        </w:rPr>
        <w:t xml:space="preserve">”, </w:t>
      </w:r>
      <w:proofErr w:type="spellStart"/>
      <w:r w:rsidRPr="000F7801">
        <w:rPr>
          <w:sz w:val="24"/>
          <w:lang w:val="fi-FI"/>
        </w:rPr>
        <w:t>Environmental</w:t>
      </w:r>
      <w:proofErr w:type="spellEnd"/>
      <w:r w:rsidRPr="000F7801">
        <w:rPr>
          <w:sz w:val="24"/>
          <w:lang w:val="fi-FI"/>
        </w:rPr>
        <w:t xml:space="preserve"> Sciences Europe;</w:t>
      </w:r>
      <w:r w:rsidRPr="000F7801">
        <w:rPr>
          <w:sz w:val="24"/>
          <w:shd w:val="clear" w:color="auto" w:fill="FFFFFF"/>
          <w:lang w:val="fi-FI"/>
        </w:rPr>
        <w:t xml:space="preserve"> 28. syyskuuta 2012, osa 24(1), </w:t>
      </w:r>
      <w:hyperlink r:id="rId17" w:history="1">
        <w:r w:rsidRPr="000F7801">
          <w:rPr>
            <w:rStyle w:val="Hyperlink"/>
            <w:sz w:val="24"/>
            <w:shd w:val="clear" w:color="auto" w:fill="FFFFFF"/>
            <w:lang w:val="fi-FI"/>
          </w:rPr>
          <w:t>https://doi.org/10.1186/2190-4715-24-24</w:t>
        </w:r>
      </w:hyperlink>
      <w:r w:rsidRPr="000F7801">
        <w:rPr>
          <w:sz w:val="24"/>
          <w:shd w:val="clear" w:color="auto" w:fill="FFFFFF"/>
          <w:lang w:val="fi-FI"/>
        </w:rPr>
        <w:t>.</w:t>
      </w:r>
    </w:p>
  </w:footnote>
  <w:footnote w:id="8">
    <w:p w14:paraId="32F23F52" w14:textId="2155CB78" w:rsidR="00BB5822" w:rsidRPr="000F7801" w:rsidRDefault="00BB5822" w:rsidP="000F7801">
      <w:pPr>
        <w:pStyle w:val="FootnoteText"/>
        <w:ind w:left="567" w:hanging="567"/>
        <w:rPr>
          <w:sz w:val="24"/>
          <w:vertAlign w:val="superscript"/>
          <w:lang w:val="fi-FI"/>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Ks. esimerkiksi:</w:t>
      </w:r>
    </w:p>
    <w:p w14:paraId="1273EF41" w14:textId="736B7EED" w:rsidR="00BB5822" w:rsidRPr="000F7801" w:rsidRDefault="000F7801" w:rsidP="000F7801">
      <w:pPr>
        <w:pStyle w:val="FootnoteText"/>
        <w:ind w:left="567" w:hanging="567"/>
        <w:rPr>
          <w:rStyle w:val="Hyperlink"/>
          <w:sz w:val="24"/>
          <w:vertAlign w:val="superscript"/>
          <w:lang w:val="fi-FI"/>
        </w:rPr>
      </w:pPr>
      <w:r w:rsidRPr="000F7801">
        <w:rPr>
          <w:sz w:val="24"/>
          <w:lang w:val="fi-FI"/>
        </w:rPr>
        <w:t xml:space="preserve"> </w:t>
      </w:r>
      <w:r w:rsidRPr="000F7801">
        <w:rPr>
          <w:sz w:val="24"/>
          <w:lang w:val="fi-FI"/>
        </w:rPr>
        <w:tab/>
      </w:r>
      <w:hyperlink r:id="rId18" w:history="1">
        <w:r w:rsidR="00BB5822" w:rsidRPr="000F7801">
          <w:rPr>
            <w:rStyle w:val="Hyperlink"/>
            <w:sz w:val="24"/>
            <w:lang w:val="fi-FI"/>
          </w:rPr>
          <w:t>https://doi.org/10.1002/ps.8105</w:t>
        </w:r>
      </w:hyperlink>
      <w:r w:rsidR="00BB5822" w:rsidRPr="000F7801">
        <w:rPr>
          <w:sz w:val="24"/>
          <w:lang w:val="fi-FI"/>
        </w:rPr>
        <w:t>,</w:t>
      </w:r>
    </w:p>
    <w:p w14:paraId="04AE4884" w14:textId="7DF13D1C" w:rsidR="00BB5822" w:rsidRPr="000F7801" w:rsidRDefault="000F7801" w:rsidP="000F7801">
      <w:pPr>
        <w:pStyle w:val="FootnoteText"/>
        <w:ind w:left="567" w:hanging="567"/>
        <w:rPr>
          <w:sz w:val="24"/>
          <w:lang w:val="fi-FI"/>
        </w:rPr>
      </w:pPr>
      <w:r w:rsidRPr="000F7801">
        <w:rPr>
          <w:sz w:val="24"/>
          <w:lang w:val="fi-FI"/>
        </w:rPr>
        <w:t xml:space="preserve"> </w:t>
      </w:r>
      <w:r w:rsidRPr="000F7801">
        <w:rPr>
          <w:sz w:val="24"/>
          <w:lang w:val="fi-FI"/>
        </w:rPr>
        <w:tab/>
      </w:r>
      <w:hyperlink r:id="rId19" w:tgtFrame="_blank" w:tooltip="Pysyvä linkki, jossa käytetään digitaalista objektitunnusta" w:history="1">
        <w:r w:rsidR="00BB5822" w:rsidRPr="000F7801">
          <w:rPr>
            <w:rStyle w:val="Hyperlink"/>
            <w:sz w:val="24"/>
            <w:lang w:val="fi-FI"/>
          </w:rPr>
          <w:t>https://doi.org/10.1016/j.geoforum.2009.03.009</w:t>
        </w:r>
      </w:hyperlink>
      <w:r w:rsidR="00BB5822" w:rsidRPr="000F7801">
        <w:rPr>
          <w:sz w:val="24"/>
          <w:lang w:val="fi-FI"/>
        </w:rPr>
        <w:t>.</w:t>
      </w:r>
    </w:p>
  </w:footnote>
  <w:footnote w:id="9">
    <w:p w14:paraId="2D209066" w14:textId="7C2FCF84" w:rsidR="00BB5822" w:rsidRPr="0073072D" w:rsidRDefault="00BB5822" w:rsidP="000F7801">
      <w:pPr>
        <w:pStyle w:val="FootnoteText"/>
        <w:ind w:left="567" w:hanging="567"/>
        <w:rPr>
          <w:sz w:val="24"/>
          <w:lang w:val="pl-PL"/>
        </w:rPr>
      </w:pPr>
      <w:r w:rsidRPr="000F7801">
        <w:rPr>
          <w:rStyle w:val="FootnoteReference"/>
          <w:sz w:val="24"/>
          <w:lang w:val="fi-FI"/>
        </w:rPr>
        <w:footnoteRef/>
      </w:r>
      <w:r w:rsidR="000F7801" w:rsidRPr="0073072D">
        <w:rPr>
          <w:sz w:val="24"/>
          <w:lang w:val="pl-PL"/>
        </w:rPr>
        <w:t xml:space="preserve"> </w:t>
      </w:r>
      <w:r w:rsidR="000F7801" w:rsidRPr="0073072D">
        <w:rPr>
          <w:sz w:val="24"/>
          <w:lang w:val="pl-PL"/>
        </w:rPr>
        <w:tab/>
      </w:r>
      <w:r w:rsidRPr="0073072D">
        <w:rPr>
          <w:sz w:val="24"/>
          <w:lang w:val="pl-PL"/>
        </w:rPr>
        <w:t xml:space="preserve">Ks. </w:t>
      </w:r>
      <w:proofErr w:type="spellStart"/>
      <w:r w:rsidRPr="0073072D">
        <w:rPr>
          <w:sz w:val="24"/>
          <w:lang w:val="pl-PL"/>
        </w:rPr>
        <w:t>esimerkiksi</w:t>
      </w:r>
      <w:proofErr w:type="spellEnd"/>
      <w:r w:rsidRPr="0073072D">
        <w:rPr>
          <w:sz w:val="24"/>
          <w:lang w:val="pl-PL"/>
        </w:rPr>
        <w:t>:</w:t>
      </w:r>
      <w:r w:rsidRPr="0073072D">
        <w:rPr>
          <w:sz w:val="24"/>
          <w:lang w:val="pl-PL"/>
        </w:rPr>
        <w:br/>
      </w:r>
      <w:hyperlink r:id="rId20" w:tgtFrame="_blank" w:tooltip="Pysyvä linkki, jossa käytetään digitaalista objektitunnusta" w:history="1">
        <w:r w:rsidRPr="0073072D">
          <w:rPr>
            <w:rStyle w:val="Hyperlink"/>
            <w:sz w:val="24"/>
            <w:lang w:val="pl-PL"/>
          </w:rPr>
          <w:t>https://doi.org/10.1016/j.mrrev.2019.02.001</w:t>
        </w:r>
      </w:hyperlink>
      <w:r w:rsidRPr="0073072D">
        <w:rPr>
          <w:sz w:val="24"/>
          <w:lang w:val="pl-PL"/>
        </w:rPr>
        <w:t>,</w:t>
      </w:r>
      <w:r w:rsidRPr="0073072D">
        <w:rPr>
          <w:sz w:val="24"/>
          <w:lang w:val="pl-PL"/>
        </w:rPr>
        <w:br/>
      </w:r>
      <w:hyperlink r:id="rId21" w:history="1">
        <w:r w:rsidRPr="0073072D">
          <w:rPr>
            <w:rStyle w:val="Hyperlink"/>
            <w:sz w:val="24"/>
            <w:lang w:val="pl-PL"/>
          </w:rPr>
          <w:t>https://doi.org/10.1093/ije/dyz017</w:t>
        </w:r>
      </w:hyperlink>
      <w:r w:rsidRPr="0073072D">
        <w:rPr>
          <w:sz w:val="24"/>
          <w:lang w:val="pl-PL"/>
        </w:rPr>
        <w:t>,</w:t>
      </w:r>
      <w:r w:rsidRPr="0073072D">
        <w:rPr>
          <w:sz w:val="24"/>
          <w:lang w:val="pl-PL"/>
        </w:rPr>
        <w:br/>
      </w:r>
      <w:hyperlink r:id="rId22" w:history="1">
        <w:r w:rsidRPr="0073072D">
          <w:rPr>
            <w:rStyle w:val="Hyperlink"/>
            <w:sz w:val="24"/>
            <w:lang w:val="pl-PL"/>
          </w:rPr>
          <w:t>https://doi.org/10.1371/journal.pone.0219610</w:t>
        </w:r>
      </w:hyperlink>
      <w:r w:rsidRPr="0073072D">
        <w:rPr>
          <w:sz w:val="24"/>
          <w:lang w:val="pl-PL"/>
        </w:rPr>
        <w:t xml:space="preserve"> ja</w:t>
      </w:r>
      <w:r w:rsidRPr="0073072D">
        <w:rPr>
          <w:sz w:val="24"/>
          <w:lang w:val="pl-PL"/>
        </w:rPr>
        <w:br/>
      </w:r>
      <w:hyperlink r:id="rId23" w:history="1">
        <w:r w:rsidRPr="0073072D">
          <w:rPr>
            <w:rStyle w:val="Hyperlink"/>
            <w:sz w:val="24"/>
            <w:lang w:val="pl-PL"/>
          </w:rPr>
          <w:t>https://doi.org/10.1186/s13045-019-0767-9</w:t>
        </w:r>
      </w:hyperlink>
      <w:r w:rsidRPr="0073072D">
        <w:rPr>
          <w:sz w:val="24"/>
          <w:lang w:val="pl-PL"/>
        </w:rPr>
        <w:t>.</w:t>
      </w:r>
    </w:p>
  </w:footnote>
  <w:footnote w:id="10">
    <w:p w14:paraId="5550657B" w14:textId="79493211" w:rsidR="00BB5822" w:rsidRPr="0073072D" w:rsidRDefault="00BB5822" w:rsidP="000F7801">
      <w:pPr>
        <w:pStyle w:val="FootnoteText"/>
        <w:ind w:left="567" w:hanging="567"/>
        <w:rPr>
          <w:sz w:val="24"/>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w:t>
      </w:r>
      <w:r w:rsidRPr="000F7801">
        <w:rPr>
          <w:color w:val="000000" w:themeColor="text1"/>
          <w:sz w:val="24"/>
          <w:lang w:val="fi-FI"/>
        </w:rPr>
        <w:t xml:space="preserve"> </w:t>
      </w:r>
      <w:hyperlink r:id="rId24" w:history="1">
        <w:r w:rsidRPr="0073072D">
          <w:rPr>
            <w:rStyle w:val="Hyperlink"/>
            <w:sz w:val="24"/>
          </w:rPr>
          <w:t>https://ec.europa.eu/commission/presscorner/detail/fi/ip_22_7834</w:t>
        </w:r>
      </w:hyperlink>
    </w:p>
  </w:footnote>
  <w:footnote w:id="11">
    <w:p w14:paraId="08520404" w14:textId="74CB761E" w:rsidR="00BB5822" w:rsidRPr="0073072D" w:rsidRDefault="00BB5822" w:rsidP="000F7801">
      <w:pPr>
        <w:pStyle w:val="FootnoteText"/>
        <w:ind w:left="567" w:hanging="567"/>
        <w:rPr>
          <w:sz w:val="24"/>
        </w:rPr>
      </w:pPr>
      <w:r w:rsidRPr="000F7801">
        <w:rPr>
          <w:rStyle w:val="FootnoteReference"/>
          <w:sz w:val="24"/>
          <w:lang w:val="fi-FI"/>
        </w:rPr>
        <w:footnoteRef/>
      </w:r>
      <w:r w:rsidR="000F7801" w:rsidRPr="0073072D">
        <w:rPr>
          <w:sz w:val="24"/>
        </w:rPr>
        <w:t xml:space="preserve"> </w:t>
      </w:r>
      <w:r w:rsidR="000F7801" w:rsidRPr="0073072D">
        <w:rPr>
          <w:sz w:val="24"/>
        </w:rPr>
        <w:tab/>
      </w:r>
      <w:hyperlink r:id="rId25" w:history="1">
        <w:r w:rsidRPr="0073072D">
          <w:rPr>
            <w:rStyle w:val="Hyperlink"/>
            <w:sz w:val="24"/>
          </w:rPr>
          <w:t>https://commission.europa.eu/topics/agriculture-and-rural-development/strategic-dialogue-future-eu-agriculture_fi</w:t>
        </w:r>
      </w:hyperlink>
      <w:r w:rsidRPr="0073072D">
        <w:rPr>
          <w:sz w:val="24"/>
        </w:rPr>
        <w:t>.</w:t>
      </w:r>
    </w:p>
  </w:footnote>
  <w:footnote w:id="12">
    <w:p w14:paraId="4D70C93F" w14:textId="6E41C635" w:rsidR="00BB5822" w:rsidRPr="000F7801" w:rsidRDefault="00BB5822" w:rsidP="000F7801">
      <w:pPr>
        <w:pStyle w:val="FootnoteText"/>
        <w:ind w:left="567" w:hanging="567"/>
        <w:rPr>
          <w:sz w:val="24"/>
          <w:lang w:val="fi-FI"/>
        </w:rPr>
      </w:pPr>
      <w:r w:rsidRPr="000F7801">
        <w:rPr>
          <w:rStyle w:val="FootnoteReference"/>
          <w:sz w:val="24"/>
          <w:lang w:val="fi-FI"/>
        </w:rPr>
        <w:footnoteRef/>
      </w:r>
      <w:r w:rsidR="000F7801" w:rsidRPr="000F7801">
        <w:rPr>
          <w:sz w:val="24"/>
          <w:lang w:val="fi-FI"/>
        </w:rPr>
        <w:t xml:space="preserve"> </w:t>
      </w:r>
      <w:r w:rsidR="000F7801" w:rsidRPr="000F7801">
        <w:rPr>
          <w:sz w:val="24"/>
          <w:lang w:val="fi-FI"/>
        </w:rPr>
        <w:tab/>
      </w:r>
      <w:r w:rsidRPr="000F7801">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26" w:tgtFrame="Gives%20access%20to%20this%20document%20through%20its%20ELI%20URI." w:history="1">
        <w:r w:rsidRPr="000F7801">
          <w:rPr>
            <w:rStyle w:val="Hyperlink"/>
            <w:sz w:val="24"/>
            <w:lang w:val="fi-FI"/>
          </w:rPr>
          <w:t>http://data.europa.eu/eli/reg/2002/178/oj</w:t>
        </w:r>
      </w:hyperlink>
      <w:r w:rsidRPr="000F780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101700">
    <w:abstractNumId w:val="9"/>
  </w:num>
  <w:num w:numId="2" w16cid:durableId="1237865537">
    <w:abstractNumId w:val="9"/>
  </w:num>
  <w:num w:numId="3" w16cid:durableId="295184216">
    <w:abstractNumId w:val="7"/>
  </w:num>
  <w:num w:numId="4" w16cid:durableId="218787875">
    <w:abstractNumId w:val="7"/>
  </w:num>
  <w:num w:numId="5" w16cid:durableId="892276866">
    <w:abstractNumId w:val="6"/>
  </w:num>
  <w:num w:numId="6" w16cid:durableId="1969431459">
    <w:abstractNumId w:val="6"/>
  </w:num>
  <w:num w:numId="7" w16cid:durableId="1946184995">
    <w:abstractNumId w:val="5"/>
  </w:num>
  <w:num w:numId="8" w16cid:durableId="1780367128">
    <w:abstractNumId w:val="5"/>
  </w:num>
  <w:num w:numId="9" w16cid:durableId="1175614354">
    <w:abstractNumId w:val="4"/>
  </w:num>
  <w:num w:numId="10" w16cid:durableId="1170174295">
    <w:abstractNumId w:val="4"/>
  </w:num>
  <w:num w:numId="11" w16cid:durableId="1620138636">
    <w:abstractNumId w:val="8"/>
  </w:num>
  <w:num w:numId="12" w16cid:durableId="1911843243">
    <w:abstractNumId w:val="8"/>
  </w:num>
  <w:num w:numId="13" w16cid:durableId="384959259">
    <w:abstractNumId w:val="3"/>
  </w:num>
  <w:num w:numId="14" w16cid:durableId="412551870">
    <w:abstractNumId w:val="3"/>
  </w:num>
  <w:num w:numId="15" w16cid:durableId="1127820545">
    <w:abstractNumId w:val="2"/>
  </w:num>
  <w:num w:numId="16" w16cid:durableId="1626540162">
    <w:abstractNumId w:val="2"/>
  </w:num>
  <w:num w:numId="17" w16cid:durableId="1564415128">
    <w:abstractNumId w:val="1"/>
  </w:num>
  <w:num w:numId="18" w16cid:durableId="1372535624">
    <w:abstractNumId w:val="1"/>
  </w:num>
  <w:num w:numId="19" w16cid:durableId="1318877086">
    <w:abstractNumId w:val="0"/>
  </w:num>
  <w:num w:numId="20" w16cid:durableId="1953173204">
    <w:abstractNumId w:val="0"/>
  </w:num>
  <w:num w:numId="21" w16cid:durableId="309287154">
    <w:abstractNumId w:val="9"/>
  </w:num>
  <w:num w:numId="22" w16cid:durableId="2134857330">
    <w:abstractNumId w:val="7"/>
  </w:num>
  <w:num w:numId="23" w16cid:durableId="406465290">
    <w:abstractNumId w:val="6"/>
  </w:num>
  <w:num w:numId="24" w16cid:durableId="1052272519">
    <w:abstractNumId w:val="5"/>
  </w:num>
  <w:num w:numId="25" w16cid:durableId="1362626129">
    <w:abstractNumId w:val="4"/>
  </w:num>
  <w:num w:numId="26" w16cid:durableId="1599672678">
    <w:abstractNumId w:val="8"/>
  </w:num>
  <w:num w:numId="27" w16cid:durableId="34474009">
    <w:abstractNumId w:val="3"/>
  </w:num>
  <w:num w:numId="28" w16cid:durableId="83848521">
    <w:abstractNumId w:val="2"/>
  </w:num>
  <w:num w:numId="29" w16cid:durableId="317460630">
    <w:abstractNumId w:val="1"/>
  </w:num>
  <w:num w:numId="30" w16cid:durableId="1842700201">
    <w:abstractNumId w:val="0"/>
  </w:num>
  <w:num w:numId="31" w16cid:durableId="1095251905">
    <w:abstractNumId w:val="9"/>
  </w:num>
  <w:num w:numId="32" w16cid:durableId="284047020">
    <w:abstractNumId w:val="7"/>
  </w:num>
  <w:num w:numId="33" w16cid:durableId="926378143">
    <w:abstractNumId w:val="6"/>
  </w:num>
  <w:num w:numId="34" w16cid:durableId="537817274">
    <w:abstractNumId w:val="5"/>
  </w:num>
  <w:num w:numId="35" w16cid:durableId="907307596">
    <w:abstractNumId w:val="4"/>
  </w:num>
  <w:num w:numId="36" w16cid:durableId="1820342182">
    <w:abstractNumId w:val="8"/>
  </w:num>
  <w:num w:numId="37" w16cid:durableId="1450777241">
    <w:abstractNumId w:val="3"/>
  </w:num>
  <w:num w:numId="38" w16cid:durableId="1497306143">
    <w:abstractNumId w:val="2"/>
  </w:num>
  <w:num w:numId="39" w16cid:durableId="1755203648">
    <w:abstractNumId w:val="1"/>
  </w:num>
  <w:num w:numId="40" w16cid:durableId="2140490693">
    <w:abstractNumId w:val="0"/>
  </w:num>
  <w:num w:numId="41" w16cid:durableId="1241720137">
    <w:abstractNumId w:val="10"/>
  </w:num>
  <w:num w:numId="42" w16cid:durableId="1656765990">
    <w:abstractNumId w:val="10"/>
  </w:num>
  <w:num w:numId="43" w16cid:durableId="1086652656">
    <w:abstractNumId w:val="10"/>
  </w:num>
  <w:num w:numId="44" w16cid:durableId="1407800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FI"/>
    <w:docVar w:name="dvnumam" w:val="0"/>
    <w:docVar w:name="dvpe" w:val="779.397"/>
    <w:docVar w:name="dvtitre" w:val="Euroopan parlamentin päätöslauselma xx.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D110123/02 – 2025/2958(RSP))"/>
  </w:docVars>
  <w:rsids>
    <w:rsidRoot w:val="00C42282"/>
    <w:rsid w:val="00002272"/>
    <w:rsid w:val="00064002"/>
    <w:rsid w:val="000677B9"/>
    <w:rsid w:val="000831BA"/>
    <w:rsid w:val="000A42CC"/>
    <w:rsid w:val="000E7DD9"/>
    <w:rsid w:val="000F7801"/>
    <w:rsid w:val="0010095E"/>
    <w:rsid w:val="00125B37"/>
    <w:rsid w:val="00187494"/>
    <w:rsid w:val="001F32AE"/>
    <w:rsid w:val="002767FF"/>
    <w:rsid w:val="002B18FE"/>
    <w:rsid w:val="002B2A66"/>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002"/>
    <w:rsid w:val="00545827"/>
    <w:rsid w:val="00560270"/>
    <w:rsid w:val="005C2568"/>
    <w:rsid w:val="005F1B17"/>
    <w:rsid w:val="006037C0"/>
    <w:rsid w:val="006631B6"/>
    <w:rsid w:val="00680577"/>
    <w:rsid w:val="006F74FA"/>
    <w:rsid w:val="0073072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63D"/>
    <w:rsid w:val="00A1687D"/>
    <w:rsid w:val="00A43E52"/>
    <w:rsid w:val="00A4678D"/>
    <w:rsid w:val="00A778C7"/>
    <w:rsid w:val="00AA5122"/>
    <w:rsid w:val="00AB441E"/>
    <w:rsid w:val="00AB6293"/>
    <w:rsid w:val="00AE0928"/>
    <w:rsid w:val="00AF3B82"/>
    <w:rsid w:val="00B12E95"/>
    <w:rsid w:val="00B22876"/>
    <w:rsid w:val="00B558F0"/>
    <w:rsid w:val="00BB5822"/>
    <w:rsid w:val="00BD48FE"/>
    <w:rsid w:val="00BD7BD8"/>
    <w:rsid w:val="00BE6ADC"/>
    <w:rsid w:val="00BF5804"/>
    <w:rsid w:val="00C05BFE"/>
    <w:rsid w:val="00C23CD4"/>
    <w:rsid w:val="00C42282"/>
    <w:rsid w:val="00C61C0C"/>
    <w:rsid w:val="00C87142"/>
    <w:rsid w:val="00C941CB"/>
    <w:rsid w:val="00CC2357"/>
    <w:rsid w:val="00CF071A"/>
    <w:rsid w:val="00D058B8"/>
    <w:rsid w:val="00D56C11"/>
    <w:rsid w:val="00D67656"/>
    <w:rsid w:val="00D834A0"/>
    <w:rsid w:val="00D872DF"/>
    <w:rsid w:val="00D91E21"/>
    <w:rsid w:val="00D92131"/>
    <w:rsid w:val="00DA7FCD"/>
    <w:rsid w:val="00E07943"/>
    <w:rsid w:val="00E15A1D"/>
    <w:rsid w:val="00E365E1"/>
    <w:rsid w:val="00E544EB"/>
    <w:rsid w:val="00E820A4"/>
    <w:rsid w:val="00EB006A"/>
    <w:rsid w:val="00EB4772"/>
    <w:rsid w:val="00ED169E"/>
    <w:rsid w:val="00ED4235"/>
    <w:rsid w:val="00EE4117"/>
    <w:rsid w:val="00EF41E1"/>
    <w:rsid w:val="00F04346"/>
    <w:rsid w:val="00F075DC"/>
    <w:rsid w:val="00F149E9"/>
    <w:rsid w:val="00F16406"/>
    <w:rsid w:val="00F5134D"/>
    <w:rsid w:val="00F74202"/>
    <w:rsid w:val="00F87713"/>
    <w:rsid w:val="00FB4360"/>
    <w:rsid w:val="00FC31E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B6555"/>
  <w15:chartTrackingRefBased/>
  <w15:docId w15:val="{BEA46A2F-0145-486A-9213-5262F56EE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B5822"/>
    <w:pPr>
      <w:spacing w:before="480" w:after="240"/>
    </w:pPr>
  </w:style>
  <w:style w:type="paragraph" w:customStyle="1" w:styleId="NormalHanging12a">
    <w:name w:val="NormalHanging12a"/>
    <w:basedOn w:val="Normal"/>
    <w:uiPriority w:val="99"/>
    <w:qFormat/>
    <w:rsid w:val="00BB5822"/>
    <w:pPr>
      <w:spacing w:after="240"/>
      <w:ind w:left="567" w:hanging="567"/>
    </w:pPr>
  </w:style>
  <w:style w:type="character" w:styleId="Hyperlink">
    <w:name w:val="Hyperlink"/>
    <w:basedOn w:val="DefaultParagraphFont"/>
    <w:uiPriority w:val="99"/>
    <w:rsid w:val="00BB5822"/>
    <w:rPr>
      <w:color w:val="0563C1" w:themeColor="hyperlink"/>
      <w:u w:val="single"/>
    </w:rPr>
  </w:style>
  <w:style w:type="paragraph" w:styleId="NormalWeb">
    <w:name w:val="Normal (Web)"/>
    <w:basedOn w:val="Normal"/>
    <w:uiPriority w:val="99"/>
    <w:unhideWhenUsed/>
    <w:rsid w:val="00BB5822"/>
    <w:pPr>
      <w:widowControl/>
      <w:spacing w:before="100" w:beforeAutospacing="1" w:after="100" w:afterAutospacing="1"/>
    </w:pPr>
    <w:rPr>
      <w:szCs w:val="24"/>
    </w:rPr>
  </w:style>
  <w:style w:type="paragraph" w:styleId="Footer">
    <w:name w:val="footer"/>
    <w:basedOn w:val="Normal"/>
    <w:link w:val="FooterChar"/>
    <w:rsid w:val="00EE4117"/>
    <w:pPr>
      <w:tabs>
        <w:tab w:val="center" w:pos="4513"/>
        <w:tab w:val="right" w:pos="9026"/>
      </w:tabs>
    </w:pPr>
  </w:style>
  <w:style w:type="character" w:customStyle="1" w:styleId="FooterChar">
    <w:name w:val="Footer Char"/>
    <w:basedOn w:val="DefaultParagraphFont"/>
    <w:link w:val="Footer"/>
    <w:rsid w:val="00EE4117"/>
    <w:rPr>
      <w:sz w:val="24"/>
      <w:lang w:val="fi-FI"/>
    </w:rPr>
  </w:style>
  <w:style w:type="paragraph" w:styleId="Revision">
    <w:name w:val="Revision"/>
    <w:hidden/>
    <w:uiPriority w:val="99"/>
    <w:semiHidden/>
    <w:rsid w:val="00E15A1D"/>
    <w:rPr>
      <w:sz w:val="24"/>
      <w:lang w:val="fi-FI"/>
    </w:rPr>
  </w:style>
  <w:style w:type="character" w:styleId="CommentReference">
    <w:name w:val="annotation reference"/>
    <w:basedOn w:val="DefaultParagraphFont"/>
    <w:rsid w:val="00E15A1D"/>
    <w:rPr>
      <w:sz w:val="16"/>
      <w:szCs w:val="16"/>
    </w:rPr>
  </w:style>
  <w:style w:type="paragraph" w:styleId="CommentText">
    <w:name w:val="annotation text"/>
    <w:basedOn w:val="Normal"/>
    <w:link w:val="CommentTextChar"/>
    <w:rsid w:val="00E15A1D"/>
    <w:rPr>
      <w:sz w:val="20"/>
    </w:rPr>
  </w:style>
  <w:style w:type="character" w:customStyle="1" w:styleId="CommentTextChar">
    <w:name w:val="Comment Text Char"/>
    <w:basedOn w:val="DefaultParagraphFont"/>
    <w:link w:val="CommentText"/>
    <w:rsid w:val="00E15A1D"/>
    <w:rPr>
      <w:lang w:val="fi-FI"/>
    </w:rPr>
  </w:style>
  <w:style w:type="paragraph" w:styleId="CommentSubject">
    <w:name w:val="annotation subject"/>
    <w:basedOn w:val="CommentText"/>
    <w:next w:val="CommentText"/>
    <w:link w:val="CommentSubjectChar"/>
    <w:rsid w:val="00E15A1D"/>
    <w:rPr>
      <w:b/>
      <w:bCs/>
    </w:rPr>
  </w:style>
  <w:style w:type="character" w:customStyle="1" w:styleId="CommentSubjectChar">
    <w:name w:val="Comment Subject Char"/>
    <w:basedOn w:val="CommentTextChar"/>
    <w:link w:val="CommentSubject"/>
    <w:rsid w:val="00E15A1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fi"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fi/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10263</Characters>
  <Application>Microsoft Office Word</Application>
  <DocSecurity>4</DocSecurity>
  <Lines>85</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GIRGINOV Kiril</cp:lastModifiedBy>
  <cp:revision>2</cp:revision>
  <cp:lastPrinted>2004-11-19T15:42:00Z</cp:lastPrinted>
  <dcterms:created xsi:type="dcterms:W3CDTF">2026-03-23T15:30:00Z</dcterms:created>
  <dcterms:modified xsi:type="dcterms:W3CDTF">2026-03-23T15:30:00Z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B10-0562/2025</vt:lpwstr>
  </property>
  <property fmtid="{D5CDD505-2E9C-101B-9397-08002B2CF9AE}" pid="4" name="&lt;Type&gt;">
    <vt:lpwstr>RR</vt:lpwstr>
  </property>
</Properties>
</file>