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442E" w14:paraId="680FFF90" w14:textId="77777777" w:rsidTr="0010095E">
        <w:trPr>
          <w:trHeight w:hRule="exact" w:val="1418"/>
        </w:trPr>
        <w:tc>
          <w:tcPr>
            <w:tcW w:w="6804" w:type="dxa"/>
            <w:shd w:val="clear" w:color="auto" w:fill="auto"/>
            <w:vAlign w:val="center"/>
          </w:tcPr>
          <w:p w14:paraId="66C42B5F" w14:textId="77777777" w:rsidR="00751A4A" w:rsidRPr="007E442E" w:rsidRDefault="009D26F1" w:rsidP="0010095E">
            <w:pPr>
              <w:pStyle w:val="EPName"/>
            </w:pPr>
            <w:r w:rsidRPr="007E442E">
              <w:t>Europos Parlamentas</w:t>
            </w:r>
          </w:p>
          <w:p w14:paraId="0EC0C936" w14:textId="77777777" w:rsidR="00751A4A" w:rsidRPr="007E442E" w:rsidRDefault="005F1B17" w:rsidP="005F1B17">
            <w:pPr>
              <w:pStyle w:val="EPTerm"/>
              <w:rPr>
                <w:rStyle w:val="HideTWBExt"/>
                <w:noProof w:val="0"/>
                <w:vanish w:val="0"/>
                <w:color w:val="auto"/>
              </w:rPr>
            </w:pPr>
            <w:r w:rsidRPr="007E442E">
              <w:t>2024</w:t>
            </w:r>
            <w:r w:rsidR="00817416" w:rsidRPr="007E442E">
              <w:t>-202</w:t>
            </w:r>
            <w:r w:rsidRPr="007E442E">
              <w:t>9</w:t>
            </w:r>
          </w:p>
        </w:tc>
        <w:tc>
          <w:tcPr>
            <w:tcW w:w="2268" w:type="dxa"/>
            <w:shd w:val="clear" w:color="auto" w:fill="auto"/>
          </w:tcPr>
          <w:p w14:paraId="14F3CD19" w14:textId="77777777" w:rsidR="00751A4A" w:rsidRPr="007E442E" w:rsidRDefault="00187494" w:rsidP="0010095E">
            <w:pPr>
              <w:pStyle w:val="EPLogo"/>
            </w:pPr>
            <w:r w:rsidRPr="007E442E">
              <w:rPr>
                <w:noProof/>
                <w:lang w:eastAsia="ja-JP"/>
              </w:rPr>
              <w:drawing>
                <wp:inline distT="0" distB="0" distL="0" distR="0" wp14:anchorId="3869AD0F" wp14:editId="4920F7C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CC1C17" w14:textId="77777777" w:rsidR="00D058B8" w:rsidRPr="007E442E" w:rsidRDefault="00D058B8" w:rsidP="004C5D52">
      <w:pPr>
        <w:pStyle w:val="LineTop"/>
      </w:pPr>
    </w:p>
    <w:p w14:paraId="595E83F5" w14:textId="77777777" w:rsidR="00680577" w:rsidRPr="007E442E" w:rsidRDefault="009D26F1" w:rsidP="00680577">
      <w:pPr>
        <w:pStyle w:val="EPBodyTA1"/>
      </w:pPr>
      <w:r w:rsidRPr="007E442E">
        <w:t>PRIIMTI TEKSTAI</w:t>
      </w:r>
    </w:p>
    <w:p w14:paraId="19F93389" w14:textId="77777777" w:rsidR="00D058B8" w:rsidRPr="007E442E" w:rsidRDefault="00D058B8" w:rsidP="00D058B8">
      <w:pPr>
        <w:pStyle w:val="LineBottom"/>
      </w:pPr>
    </w:p>
    <w:p w14:paraId="083AC6F8" w14:textId="1B3B4015" w:rsidR="009D26F1" w:rsidRPr="007E442E" w:rsidRDefault="009D26F1" w:rsidP="009D26F1">
      <w:pPr>
        <w:pStyle w:val="ATHeading1"/>
      </w:pPr>
      <w:bookmarkStart w:id="0" w:name="TANumber"/>
      <w:r w:rsidRPr="007E442E">
        <w:t>P10_TA(2025)0</w:t>
      </w:r>
      <w:r w:rsidR="00BB3DFF">
        <w:t>327</w:t>
      </w:r>
      <w:bookmarkEnd w:id="0"/>
    </w:p>
    <w:p w14:paraId="51EFD469" w14:textId="259849F6" w:rsidR="009D26F1" w:rsidRPr="007E442E" w:rsidRDefault="0008662E" w:rsidP="009D26F1">
      <w:pPr>
        <w:pStyle w:val="ATHeading2"/>
      </w:pPr>
      <w:bookmarkStart w:id="1" w:name="title"/>
      <w:r>
        <w:t>G</w:t>
      </w:r>
      <w:r w:rsidRPr="0008662E">
        <w:t>enetiškai modifikuot</w:t>
      </w:r>
      <w:r>
        <w:t>i</w:t>
      </w:r>
      <w:r w:rsidRPr="0008662E">
        <w:t xml:space="preserve"> kukurūz</w:t>
      </w:r>
      <w:r>
        <w:t>ai</w:t>
      </w:r>
      <w:r w:rsidRPr="0008662E">
        <w:t xml:space="preserve"> NK603</w:t>
      </w:r>
      <w:bookmarkEnd w:id="1"/>
    </w:p>
    <w:p w14:paraId="78B4A273" w14:textId="77777777" w:rsidR="009D26F1" w:rsidRPr="007E442E" w:rsidRDefault="009D26F1" w:rsidP="009D26F1">
      <w:pPr>
        <w:rPr>
          <w:i/>
          <w:vanish/>
        </w:rPr>
      </w:pPr>
      <w:r w:rsidRPr="007E442E">
        <w:rPr>
          <w:i/>
        </w:rPr>
        <w:fldChar w:fldCharType="begin"/>
      </w:r>
      <w:r w:rsidRPr="007E442E">
        <w:rPr>
          <w:i/>
        </w:rPr>
        <w:instrText xml:space="preserve"> TC"(</w:instrText>
      </w:r>
      <w:bookmarkStart w:id="2" w:name="DocNumber"/>
      <w:r w:rsidRPr="007E442E">
        <w:rPr>
          <w:i/>
        </w:rPr>
        <w:instrText>B10-0562/2025</w:instrText>
      </w:r>
      <w:bookmarkEnd w:id="2"/>
      <w:r w:rsidRPr="007E442E">
        <w:rPr>
          <w:i/>
        </w:rPr>
        <w:instrText xml:space="preserve">)"\l3 \n&gt; \* MERGEFORMAT </w:instrText>
      </w:r>
      <w:r w:rsidRPr="007E442E">
        <w:rPr>
          <w:i/>
        </w:rPr>
        <w:fldChar w:fldCharType="end"/>
      </w:r>
    </w:p>
    <w:p w14:paraId="44C8FB9B" w14:textId="77777777" w:rsidR="009D26F1" w:rsidRPr="007E442E" w:rsidRDefault="009D26F1" w:rsidP="009D26F1">
      <w:pPr>
        <w:rPr>
          <w:vanish/>
        </w:rPr>
      </w:pPr>
      <w:bookmarkStart w:id="3" w:name="PE"/>
      <w:r w:rsidRPr="007E442E">
        <w:rPr>
          <w:vanish/>
        </w:rPr>
        <w:t>PE779.397</w:t>
      </w:r>
      <w:bookmarkEnd w:id="3"/>
    </w:p>
    <w:p w14:paraId="7967644D" w14:textId="2681759E" w:rsidR="009D26F1" w:rsidRPr="007E442E" w:rsidRDefault="0008662E" w:rsidP="004D49B6">
      <w:pPr>
        <w:pStyle w:val="ATHeading3"/>
      </w:pPr>
      <w:bookmarkStart w:id="4" w:name="Sujet"/>
      <w:r>
        <w:t xml:space="preserve">2025 m. gruodžio 16 d. </w:t>
      </w:r>
      <w:r w:rsidR="009D26F1" w:rsidRPr="007E442E">
        <w:t>Europos Parlamento rezoliucija dėl Komisijos įgyvendinimo sprendimo, kuriuo pagal Europos Parlamento ir Tarybos reglamentą (EB) Nr. 1829/2003 atnaujinamas leidimas pateikti rinkai produktus, kurių sudėtyje yra genetiškai modifikuotų kukurūzų NK603, kurie iš jų sudaryti arba kurie iš jų pagaminti, projekto</w:t>
      </w:r>
      <w:bookmarkEnd w:id="4"/>
      <w:r w:rsidR="009D26F1" w:rsidRPr="007E442E">
        <w:t xml:space="preserve"> </w:t>
      </w:r>
      <w:bookmarkStart w:id="5" w:name="References"/>
      <w:r w:rsidR="009D26F1" w:rsidRPr="007E442E">
        <w:t>(D110123/02 – 2025/2958(RSP))</w:t>
      </w:r>
      <w:bookmarkEnd w:id="5"/>
    </w:p>
    <w:p w14:paraId="6795B307" w14:textId="77777777" w:rsidR="00306C9F" w:rsidRPr="007E442E" w:rsidRDefault="00306C9F" w:rsidP="00306C9F">
      <w:pPr>
        <w:pStyle w:val="EPComma"/>
      </w:pPr>
      <w:bookmarkStart w:id="6" w:name="TextBodyBegin"/>
      <w:bookmarkEnd w:id="6"/>
      <w:r w:rsidRPr="007E442E">
        <w:rPr>
          <w:i/>
        </w:rPr>
        <w:t>Europos Parlamentas</w:t>
      </w:r>
      <w:r w:rsidRPr="007E442E">
        <w:t>,</w:t>
      </w:r>
    </w:p>
    <w:p w14:paraId="7501F6D2" w14:textId="77777777" w:rsidR="00306C9F" w:rsidRPr="007E442E" w:rsidRDefault="00306C9F" w:rsidP="00306C9F">
      <w:pPr>
        <w:pStyle w:val="NormalHanging12a"/>
      </w:pPr>
      <w:r w:rsidRPr="007E442E">
        <w:t>–</w:t>
      </w:r>
      <w:r w:rsidRPr="007E442E">
        <w:tab/>
        <w:t>atsižvelgdamas į Komisijos įgyvendinimo sprendimo, kuriuo pagal Europos Parlamento ir Tarybos reglamentą (EB) Nr. 1829/2003 atnaujinamas leidimas pateikti rinkai produktus, kurių sudėtyje yra genetiškai modifikuotų kukurūzų NK603, kurie iš jų sudaryti arba kurie iš jų pagaminti, projektą (D110123/02),</w:t>
      </w:r>
    </w:p>
    <w:p w14:paraId="6766C9FA" w14:textId="77777777" w:rsidR="00306C9F" w:rsidRPr="007E442E" w:rsidRDefault="00306C9F" w:rsidP="00306C9F">
      <w:pPr>
        <w:pStyle w:val="NormalHanging12a"/>
      </w:pPr>
      <w:r w:rsidRPr="007E442E">
        <w:t>–</w:t>
      </w:r>
      <w:r w:rsidRPr="007E442E">
        <w:tab/>
        <w:t>atsižvelgdamas į 2003 m. rugsėjo 22 d. Europos Parlamento ir Tarybos reglamentą (EB) Nr. 1829/2003 dėl genetiškai modifikuoto maisto ir pašarų</w:t>
      </w:r>
      <w:r w:rsidRPr="007E442E">
        <w:rPr>
          <w:vertAlign w:val="superscript"/>
        </w:rPr>
        <w:footnoteReference w:id="1"/>
      </w:r>
      <w:r w:rsidRPr="007E442E">
        <w:t>, ypač į jo 11 straipsnio 3 dalį ir 22 straipsnio 3 dalį,</w:t>
      </w:r>
    </w:p>
    <w:p w14:paraId="6D5F670A" w14:textId="684B6BEF" w:rsidR="00306C9F" w:rsidRPr="007E442E" w:rsidRDefault="00306C9F" w:rsidP="00306C9F">
      <w:pPr>
        <w:pStyle w:val="NormalHanging12a"/>
      </w:pPr>
      <w:r w:rsidRPr="007E442E">
        <w:t>–</w:t>
      </w:r>
      <w:r w:rsidRPr="007E442E">
        <w:tab/>
        <w:t>atsižvelgdamas į tai, kad Reglamento (EB) Nr. 1829/2003 35 straipsnyje nurodytas Augalų, gyvūnų, maisto ir pašarų nuolatinis komitetas per 2025 m. spalio 14 d. vykusį balsavimą nusprendė nuomonės neteikti,</w:t>
      </w:r>
      <w:r w:rsidR="0008662E">
        <w:t xml:space="preserve"> </w:t>
      </w:r>
      <w:r w:rsidR="0008662E" w:rsidRPr="0008662E">
        <w:t>ir į tai, kad Apeliacinis komitetas per 2025</w:t>
      </w:r>
      <w:r w:rsidR="0008662E" w:rsidRPr="007E442E">
        <w:t> </w:t>
      </w:r>
      <w:r w:rsidR="0008662E" w:rsidRPr="0008662E">
        <w:t xml:space="preserve">m. </w:t>
      </w:r>
      <w:r w:rsidR="0008662E">
        <w:t>lapkričio</w:t>
      </w:r>
      <w:r w:rsidR="0008662E" w:rsidRPr="0008662E">
        <w:t xml:space="preserve"> 2</w:t>
      </w:r>
      <w:r w:rsidR="0008662E">
        <w:t>8</w:t>
      </w:r>
      <w:r w:rsidR="0008662E" w:rsidRPr="007E442E">
        <w:t> </w:t>
      </w:r>
      <w:r w:rsidR="0008662E" w:rsidRPr="0008662E">
        <w:t xml:space="preserve">d. vykusį balsavimą taip pat nusprendė nuomonės neteikti, </w:t>
      </w:r>
    </w:p>
    <w:p w14:paraId="0000E811" w14:textId="77777777" w:rsidR="00306C9F" w:rsidRPr="007E442E" w:rsidRDefault="00306C9F" w:rsidP="00306C9F">
      <w:pPr>
        <w:pStyle w:val="NormalHanging12a"/>
        <w:widowControl/>
        <w:rPr>
          <w:szCs w:val="24"/>
        </w:rPr>
      </w:pPr>
      <w:r w:rsidRPr="007E442E">
        <w:t>–</w:t>
      </w:r>
      <w:r w:rsidRPr="007E442E">
        <w:tab/>
        <w:t>atsižvelgdamas į 2011 m. vasario 16 d. Europos Parlamento ir Tarybos reglamento (ES) Nr. 182/2011, kuriuo nustatomos valstybių narių vykdomos Komisijos naudojimosi įgyvendinimo įgaliojimais kontrolės mechanizmų taisyklės ir bendrieji principai 11 straipsnį</w:t>
      </w:r>
      <w:r w:rsidRPr="007E442E">
        <w:rPr>
          <w:rStyle w:val="FootnoteReference"/>
          <w:szCs w:val="24"/>
        </w:rPr>
        <w:footnoteReference w:id="2"/>
      </w:r>
      <w:r w:rsidRPr="007E442E">
        <w:t>,</w:t>
      </w:r>
    </w:p>
    <w:p w14:paraId="3DD38A59" w14:textId="77777777" w:rsidR="00306C9F" w:rsidRPr="007E442E" w:rsidRDefault="00306C9F" w:rsidP="00306C9F">
      <w:pPr>
        <w:pStyle w:val="NormalHanging12a"/>
      </w:pPr>
      <w:r w:rsidRPr="007E442E">
        <w:t>–</w:t>
      </w:r>
      <w:r w:rsidRPr="007E442E">
        <w:tab/>
        <w:t>atsižvelgdamas į Europos maisto saugos tarnybos (EFSA) 2025 m. gegužės 22 d. priimtą ir 2025 m. birželio 20 d. paskelbtą nuomonę</w:t>
      </w:r>
      <w:r w:rsidRPr="007E442E">
        <w:rPr>
          <w:rStyle w:val="FootnoteReference"/>
        </w:rPr>
        <w:footnoteReference w:id="3"/>
      </w:r>
      <w:r w:rsidRPr="007E442E">
        <w:t>,</w:t>
      </w:r>
    </w:p>
    <w:p w14:paraId="776F5EAF" w14:textId="77777777" w:rsidR="00306C9F" w:rsidRPr="007E442E" w:rsidRDefault="00306C9F" w:rsidP="00306C9F">
      <w:pPr>
        <w:pStyle w:val="NormalHanging12a"/>
      </w:pPr>
      <w:r w:rsidRPr="007E442E">
        <w:lastRenderedPageBreak/>
        <w:t>–</w:t>
      </w:r>
      <w:r w:rsidRPr="007E442E">
        <w:tab/>
        <w:t>atsižvelgdamas į savo ankstesnes rezoliucijas, kuriose prieštaraujama leidimui naudoti genetiškai modifikuotus organizmus (GMO)</w:t>
      </w:r>
      <w:r w:rsidRPr="007E442E">
        <w:rPr>
          <w:rStyle w:val="FootnoteReference"/>
        </w:rPr>
        <w:footnoteReference w:id="4"/>
      </w:r>
      <w:r w:rsidRPr="007E442E">
        <w:t>,</w:t>
      </w:r>
    </w:p>
    <w:p w14:paraId="06904BD9" w14:textId="77777777" w:rsidR="00306C9F" w:rsidRPr="007E442E" w:rsidRDefault="00306C9F" w:rsidP="00306C9F">
      <w:pPr>
        <w:pStyle w:val="NormalHanging12a"/>
      </w:pPr>
      <w:r w:rsidRPr="007E442E">
        <w:lastRenderedPageBreak/>
        <w:t>–</w:t>
      </w:r>
      <w:r w:rsidRPr="007E442E">
        <w:tab/>
        <w:t>atsižvelgdamas į Darbo tvarkos taisyklių 115 straipsnio 2 ir 3 dalis,</w:t>
      </w:r>
    </w:p>
    <w:p w14:paraId="68BA8970" w14:textId="77777777" w:rsidR="00306C9F" w:rsidRPr="007E442E" w:rsidRDefault="00306C9F" w:rsidP="00306C9F">
      <w:pPr>
        <w:pStyle w:val="NormalHanging12a"/>
      </w:pPr>
      <w:r w:rsidRPr="007E442E">
        <w:t>–</w:t>
      </w:r>
      <w:r w:rsidRPr="007E442E">
        <w:tab/>
        <w:t>atsižvelgdamas į Aplinkos, klimato ir maisto saugos komiteto pasiūlymą dėl rezoliucijos,</w:t>
      </w:r>
    </w:p>
    <w:p w14:paraId="57378413" w14:textId="77777777" w:rsidR="00306C9F" w:rsidRPr="007E442E" w:rsidRDefault="00306C9F" w:rsidP="00306C9F">
      <w:pPr>
        <w:pStyle w:val="NormalHanging12a"/>
      </w:pPr>
      <w:r w:rsidRPr="007E442E">
        <w:t>A.</w:t>
      </w:r>
      <w:r w:rsidRPr="007E442E">
        <w:tab/>
        <w:t>kadangi Komisijos įgyvendinimo sprendimu (ES) 2015/684</w:t>
      </w:r>
      <w:r w:rsidRPr="007E442E">
        <w:rPr>
          <w:rStyle w:val="FootnoteReference"/>
        </w:rPr>
        <w:footnoteReference w:id="5"/>
      </w:r>
      <w:r w:rsidRPr="007E442E">
        <w:rPr>
          <w:rFonts w:ascii="EUAlbertina" w:hAnsi="EUAlbertina"/>
        </w:rPr>
        <w:t xml:space="preserve"> </w:t>
      </w:r>
      <w:r w:rsidRPr="007E442E">
        <w:t>buvo leista teikti rinkai maistą ir pašarus, kurių sudėtyje yra genetiškai modifikuotų kukurūzų NK603 (toliau – genetiškai modifikuoti kukurūzai), kurie iš jų sudaryti arba kurie iš jų pagaminti. Tas leidimas apėmė ir kitų nei maistas ar pašarai produktų, kurių sudėtyje yra genetiškai modifikuotų kukurūzų NK603 arba kurie iš jų sudaryti, pateikimą rinkai naudoti pagal tą pačią paskirtį, kaip ir bet kuriuos kitus kukurūzus, išskyrus auginimą;</w:t>
      </w:r>
    </w:p>
    <w:p w14:paraId="07D2A672" w14:textId="77777777" w:rsidR="00306C9F" w:rsidRPr="007E442E" w:rsidRDefault="00306C9F" w:rsidP="00306C9F">
      <w:pPr>
        <w:pStyle w:val="NormalHanging12a"/>
      </w:pPr>
      <w:r w:rsidRPr="007E442E">
        <w:t>B.</w:t>
      </w:r>
      <w:r w:rsidRPr="007E442E">
        <w:tab/>
        <w:t xml:space="preserve">kadangi 2024 m. kovo 11 d., bendrovė „Bayer </w:t>
      </w:r>
      <w:proofErr w:type="spellStart"/>
      <w:r w:rsidRPr="007E442E">
        <w:t>Agriculture</w:t>
      </w:r>
      <w:proofErr w:type="spellEnd"/>
      <w:r w:rsidRPr="007E442E">
        <w:t xml:space="preserve"> B.V.“ (Belgija) leidimo turėtojos bendrovės „Bayer </w:t>
      </w:r>
      <w:proofErr w:type="spellStart"/>
      <w:r w:rsidRPr="007E442E">
        <w:t>CropScience</w:t>
      </w:r>
      <w:proofErr w:type="spellEnd"/>
      <w:r w:rsidRPr="007E442E">
        <w:t xml:space="preserve"> LP“ (Jungtinės Amerikos Valstijos) vardu pateikė Komisijai prašymą pagal Reglamento (EB) Nr. 1829/2003 11 ir 23 straipsnius dėl to leidimo atnaujinimo;</w:t>
      </w:r>
    </w:p>
    <w:p w14:paraId="37481937" w14:textId="77777777" w:rsidR="00306C9F" w:rsidRPr="007E442E" w:rsidRDefault="00306C9F" w:rsidP="00306C9F">
      <w:pPr>
        <w:pStyle w:val="NormalHanging12a"/>
      </w:pPr>
      <w:r w:rsidRPr="007E442E">
        <w:rPr>
          <w:color w:val="000000"/>
        </w:rPr>
        <w:t>C.</w:t>
      </w:r>
      <w:r w:rsidRPr="007E442E">
        <w:rPr>
          <w:color w:val="000000"/>
        </w:rPr>
        <w:tab/>
        <w:t xml:space="preserve">kadangi </w:t>
      </w:r>
      <w:r w:rsidRPr="007E442E">
        <w:t>2025 m.</w:t>
      </w:r>
      <w:r w:rsidRPr="007E442E">
        <w:rPr>
          <w:color w:val="000000"/>
        </w:rPr>
        <w:t xml:space="preserve"> </w:t>
      </w:r>
      <w:r w:rsidRPr="007E442E">
        <w:t>birželio 20 d. EFSA pagal Reglamento (EB) Nr. 1829/2003 6 ir 18 straipsnius priėmė palankią mokslinę nuomonę dėl genetiškai modifikuotų kukurūzų, kurioje padarė išvadą, kad paraiškoje dėl atnaujinimo nebuvo pateikta jokių naujų pavojų, pakitusio poveikio ar mokslinio netikrumo įrodymų, dėl kurių pasikeistų 2009 m. EFSA priimtos genetiškai modifikuotų kukurūzų pradinio rizikos vertinimo išvados</w:t>
      </w:r>
      <w:r w:rsidRPr="007E442E">
        <w:rPr>
          <w:rStyle w:val="FootnoteReference"/>
          <w:szCs w:val="24"/>
        </w:rPr>
        <w:footnoteReference w:id="6"/>
      </w:r>
      <w:r w:rsidRPr="007E442E">
        <w:t>; kadangi tose nuomonėse nebuvo aptarti keli platesnio pobūdžio aplinkos, socialinio ir ekonominio bei kumuliacinio poveikio klausimai, kurie, EFSA nuomone, nepriklauso jos kompetencijos sričiai;</w:t>
      </w:r>
    </w:p>
    <w:p w14:paraId="63FC167D" w14:textId="77777777" w:rsidR="00306C9F" w:rsidRPr="007E442E" w:rsidRDefault="00306C9F" w:rsidP="00306C9F">
      <w:pPr>
        <w:pStyle w:val="NormalHanging12a"/>
      </w:pPr>
      <w:r w:rsidRPr="007E442E">
        <w:t>D.</w:t>
      </w:r>
      <w:r w:rsidRPr="007E442E">
        <w:tab/>
        <w:t xml:space="preserve">kadangi genetiškai modifikuoti kukurūzai buvo sukurti siekiant suteikti jiems atsparumą </w:t>
      </w:r>
      <w:proofErr w:type="spellStart"/>
      <w:r w:rsidRPr="007E442E">
        <w:t>glifosatui</w:t>
      </w:r>
      <w:proofErr w:type="spellEnd"/>
      <w:r w:rsidRPr="007E442E">
        <w:t xml:space="preserve">; </w:t>
      </w:r>
    </w:p>
    <w:p w14:paraId="58F7AC80" w14:textId="77777777" w:rsidR="00306C9F" w:rsidRPr="007E442E" w:rsidRDefault="00306C9F" w:rsidP="00306C9F">
      <w:pPr>
        <w:pStyle w:val="NormalHanging12a"/>
      </w:pPr>
      <w:r w:rsidRPr="007E442E">
        <w:t>E.</w:t>
      </w:r>
      <w:r w:rsidRPr="007E442E">
        <w:tab/>
        <w:t xml:space="preserve">kadangi į EFSA atliktus rizikos vertinimus nebuvo įtraukti ilgalaikiai </w:t>
      </w:r>
      <w:proofErr w:type="spellStart"/>
      <w:r w:rsidRPr="007E442E">
        <w:t>toksikologiniai</w:t>
      </w:r>
      <w:proofErr w:type="spellEnd"/>
      <w:r w:rsidRPr="007E442E">
        <w:t xml:space="preserve"> tyrimai ar išsami kumuliacinio ir </w:t>
      </w:r>
      <w:proofErr w:type="spellStart"/>
      <w:r w:rsidRPr="007E442E">
        <w:t>kombinatorinio</w:t>
      </w:r>
      <w:proofErr w:type="spellEnd"/>
      <w:r w:rsidRPr="007E442E">
        <w:t xml:space="preserve"> poveikio analizė, įskaitant galimas sąveikas su pesticidų, dažnai naudojamų auginant kukurūzus, liekanomis;</w:t>
      </w:r>
    </w:p>
    <w:p w14:paraId="30A18457" w14:textId="77777777" w:rsidR="00306C9F" w:rsidRPr="007E442E" w:rsidRDefault="00306C9F" w:rsidP="00306C9F">
      <w:pPr>
        <w:pStyle w:val="NormalHanging12a"/>
        <w:rPr>
          <w:color w:val="000000" w:themeColor="text1"/>
          <w:szCs w:val="24"/>
        </w:rPr>
      </w:pPr>
      <w:r w:rsidRPr="007E442E">
        <w:rPr>
          <w:color w:val="000000" w:themeColor="text1"/>
        </w:rPr>
        <w:t>F.</w:t>
      </w:r>
      <w:r w:rsidRPr="007E442E">
        <w:rPr>
          <w:color w:val="000000" w:themeColor="text1"/>
        </w:rPr>
        <w:tab/>
      </w:r>
      <w:r w:rsidRPr="007E442E">
        <w:t xml:space="preserve">kadangi didžioji dauguma genetiškai modifikuotų kultūrų, įskaitant genetiškai modifikuotus kukurūzus, buvo genetiškai modifikuotos taip, kad būtų atsparios vienam ar keliems papildomiems herbicidams, kuriuos galima naudoti auginant genetiškai modifikuotas kultūras, jų nesunaikinant, kaip būtų herbicidams neatsparių pasėlių atveju; </w:t>
      </w:r>
      <w:r w:rsidRPr="007E442E">
        <w:rPr>
          <w:color w:val="000000" w:themeColor="text1"/>
        </w:rPr>
        <w:t xml:space="preserve">kadangi ne vienu tyrimu įrodyta, jog auginant herbicidams atsparias genetiškai modifikuotas kultūras dažniau naudojami papildomi herbicidai, labiausiai dėl to, kad </w:t>
      </w:r>
      <w:r w:rsidRPr="007E442E">
        <w:rPr>
          <w:color w:val="000000" w:themeColor="text1"/>
        </w:rPr>
        <w:lastRenderedPageBreak/>
        <w:t>atsirado herbicidams atsparių piktžolių</w:t>
      </w:r>
      <w:r w:rsidRPr="007E442E">
        <w:rPr>
          <w:rStyle w:val="FootnoteReference"/>
          <w:color w:val="000000" w:themeColor="text1"/>
          <w:szCs w:val="24"/>
        </w:rPr>
        <w:footnoteReference w:id="7"/>
      </w:r>
      <w:r w:rsidRPr="007E442E">
        <w:rPr>
          <w:color w:val="000000" w:themeColor="text1"/>
        </w:rPr>
        <w:t>;</w:t>
      </w:r>
    </w:p>
    <w:p w14:paraId="3F5ECF47" w14:textId="77777777" w:rsidR="00306C9F" w:rsidRPr="007E442E" w:rsidRDefault="00306C9F" w:rsidP="00306C9F">
      <w:pPr>
        <w:spacing w:after="240"/>
        <w:ind w:left="567" w:hanging="567"/>
        <w:rPr>
          <w:szCs w:val="24"/>
        </w:rPr>
      </w:pPr>
      <w:r w:rsidRPr="007E442E">
        <w:t>G.</w:t>
      </w:r>
      <w:r w:rsidRPr="007E442E">
        <w:tab/>
        <w:t xml:space="preserve">kadangi </w:t>
      </w:r>
      <w:r w:rsidRPr="007E442E">
        <w:rPr>
          <w:color w:val="000000" w:themeColor="text1"/>
        </w:rPr>
        <w:t>herbicidams atsparias genetiškai modifikuotas kultūras auginantys ūkininkai patenka į piktžolių valdymo sistemą, kuri yra labai arba visiškai priklausoma nuo herbicidų, ir tai daroma taikant priemoką už genetiškai modifikuotas sėklas, kuri gali būti pateisinama tik tuo atveju, jei tokias sėklas perkantys ūkininkai purškia ir papildomus herbicidus; kadangi dėl padidėjusios priklausomybės nuo papildomų herbicidų ūkiuose, kuriuose sėjami genetiškai modifikuoti kukurūzai, sparčiau atsiras ir plis tiems herbicidams atsparios piktžolės, todėl reikia naudoti dar daugiau herbicidų, ir taip susidaro užburtas ratas, kitaip vadinamas „įsuktu herbicidų ratu“; kadangi dėl to neigiamas poveikis, kurį lemia pernelyg didelė priklausomybė nuo herbicidų, pablogins dirvožemio būklę, vandens kokybę ir virš žemės bei po žeme esančią biologinę įvairovę, taip pat turės įtakos žmonėms ir gyvūnams, be kita ko, dėl didesnių herbicidų liekanų maiste ir pašaruose</w:t>
      </w:r>
      <w:r w:rsidRPr="007E442E">
        <w:rPr>
          <w:rStyle w:val="FootnoteReference"/>
          <w:color w:val="000000" w:themeColor="text1"/>
          <w:szCs w:val="24"/>
        </w:rPr>
        <w:footnoteReference w:id="8"/>
      </w:r>
      <w:r w:rsidRPr="007E442E">
        <w:rPr>
          <w:color w:val="000000" w:themeColor="text1"/>
        </w:rPr>
        <w:t>;</w:t>
      </w:r>
    </w:p>
    <w:p w14:paraId="3342B02F" w14:textId="77777777" w:rsidR="00306C9F" w:rsidRPr="007E442E" w:rsidRDefault="00306C9F" w:rsidP="00306C9F">
      <w:pPr>
        <w:pStyle w:val="NormalHanging12a"/>
      </w:pPr>
      <w:r w:rsidRPr="007E442E">
        <w:t>H.</w:t>
      </w:r>
      <w:r w:rsidRPr="007E442E">
        <w:tab/>
        <w:t xml:space="preserve">kadangi vis dar neatsakyta į svarbius klausimus dėl </w:t>
      </w:r>
      <w:proofErr w:type="spellStart"/>
      <w:r w:rsidRPr="007E442E">
        <w:t>glifosato</w:t>
      </w:r>
      <w:proofErr w:type="spellEnd"/>
      <w:r w:rsidRPr="007E442E">
        <w:t xml:space="preserve"> </w:t>
      </w:r>
      <w:proofErr w:type="spellStart"/>
      <w:r w:rsidRPr="007E442E">
        <w:t>kancerogeniškumo</w:t>
      </w:r>
      <w:proofErr w:type="spellEnd"/>
      <w:r w:rsidRPr="007E442E">
        <w:t xml:space="preserve">; kadangi 2015 m. lapkričio mėn. EFSA pateikė išvadą, kad </w:t>
      </w:r>
      <w:proofErr w:type="spellStart"/>
      <w:r w:rsidRPr="007E442E">
        <w:t>glifosatas</w:t>
      </w:r>
      <w:proofErr w:type="spellEnd"/>
      <w:r w:rsidRPr="007E442E">
        <w:t xml:space="preserve"> tikriausiai nėra </w:t>
      </w:r>
      <w:proofErr w:type="spellStart"/>
      <w:r w:rsidRPr="007E442E">
        <w:t>kancerogeniškas</w:t>
      </w:r>
      <w:proofErr w:type="spellEnd"/>
      <w:r w:rsidRPr="007E442E">
        <w:t xml:space="preserve">, o Europos cheminių medžiagų agentūra 2017 m. kovo mėn. pateikė išvadą, kad nėra pagrindo jo priskirti prie jokios pavojingų medžiagų kategorijos; kadangi 2015 m. Tarptautinė vėžio tyrimų agentūra – specializuota Pasaulio sveikatos organizacijos vėžio agentūra – priešingai, </w:t>
      </w:r>
      <w:proofErr w:type="spellStart"/>
      <w:r w:rsidRPr="007E442E">
        <w:t>glifosatą</w:t>
      </w:r>
      <w:proofErr w:type="spellEnd"/>
      <w:r w:rsidRPr="007E442E">
        <w:t xml:space="preserve"> priskyrė prie galbūt kancerogeninį poveikį žmonėms turinčių medžiagų; kadangi keletu naujausių recenzuojamų mokslinių tyrimų patvirtinamas </w:t>
      </w:r>
      <w:proofErr w:type="spellStart"/>
      <w:r w:rsidRPr="007E442E">
        <w:t>glifosato</w:t>
      </w:r>
      <w:proofErr w:type="spellEnd"/>
      <w:r w:rsidRPr="007E442E">
        <w:t xml:space="preserve"> kancerogeninis potencialas</w:t>
      </w:r>
      <w:r w:rsidRPr="007E442E">
        <w:rPr>
          <w:rStyle w:val="FootnoteReference"/>
        </w:rPr>
        <w:footnoteReference w:id="9"/>
      </w:r>
      <w:r w:rsidRPr="007E442E">
        <w:t>;</w:t>
      </w:r>
    </w:p>
    <w:p w14:paraId="206DC94D" w14:textId="77777777" w:rsidR="00306C9F" w:rsidRPr="007E442E" w:rsidRDefault="00306C9F" w:rsidP="00306C9F">
      <w:pPr>
        <w:pStyle w:val="NormalHanging12a"/>
      </w:pPr>
      <w:r w:rsidRPr="007E442E">
        <w:t>I.</w:t>
      </w:r>
      <w:r w:rsidRPr="007E442E">
        <w:tab/>
        <w:t xml:space="preserve">kadangi pavojus, kad kukurūzų genai bus pernešti į giminingus laukinius augalus, pvz., </w:t>
      </w:r>
      <w:proofErr w:type="spellStart"/>
      <w:r w:rsidRPr="007E442E">
        <w:rPr>
          <w:i/>
        </w:rPr>
        <w:t>Euchlaena</w:t>
      </w:r>
      <w:proofErr w:type="spellEnd"/>
      <w:r w:rsidRPr="007E442E">
        <w:rPr>
          <w:i/>
        </w:rPr>
        <w:t xml:space="preserve"> </w:t>
      </w:r>
      <w:proofErr w:type="spellStart"/>
      <w:r w:rsidRPr="007E442E">
        <w:rPr>
          <w:i/>
        </w:rPr>
        <w:t>mexicana</w:t>
      </w:r>
      <w:proofErr w:type="spellEnd"/>
      <w:r w:rsidRPr="007E442E">
        <w:t>, apie kurį pranešta Ispanijoje ir Prancūzijoje, kelia susirūpinimą, kad atsiras transgeninis patvarumas ir poveikis aplinkai;</w:t>
      </w:r>
    </w:p>
    <w:p w14:paraId="2ED05ABA" w14:textId="77777777" w:rsidR="00306C9F" w:rsidRPr="007E442E" w:rsidRDefault="00306C9F" w:rsidP="00306C9F">
      <w:pPr>
        <w:pStyle w:val="NormalHanging12a"/>
      </w:pPr>
      <w:r w:rsidRPr="007E442E">
        <w:t>J.</w:t>
      </w:r>
      <w:r w:rsidRPr="007E442E">
        <w:tab/>
        <w:t>kadangi nepriklausoma galimo neigiamo poveikio biologinei įvairovei, dirvožemio būklei, apdulkintojams ir netiksliniams organizmams stebėsena ir priežiūra tebėra nepakankamai užtikrinta;</w:t>
      </w:r>
    </w:p>
    <w:p w14:paraId="0A355D8D" w14:textId="77777777" w:rsidR="00306C9F" w:rsidRPr="007E442E" w:rsidRDefault="00306C9F" w:rsidP="00306C9F">
      <w:pPr>
        <w:spacing w:after="240"/>
        <w:ind w:left="567" w:hanging="567"/>
      </w:pPr>
      <w:r w:rsidRPr="007E442E">
        <w:t>K.</w:t>
      </w:r>
      <w:r w:rsidRPr="007E442E">
        <w:tab/>
        <w:t>kadangi esant moksliniam netikrumui turėtų būti taikomas Sutarties dėl Europos Sąjungos veikimo 191 straipsnyje įtvirtintas atsargumo principas;</w:t>
      </w:r>
    </w:p>
    <w:p w14:paraId="3C52A4BE" w14:textId="77777777" w:rsidR="00306C9F" w:rsidRPr="007E442E" w:rsidRDefault="00306C9F" w:rsidP="00306C9F">
      <w:pPr>
        <w:spacing w:after="240"/>
        <w:ind w:left="567" w:hanging="567"/>
      </w:pPr>
      <w:r w:rsidRPr="007E442E">
        <w:t>L.</w:t>
      </w:r>
      <w:r w:rsidRPr="007E442E">
        <w:tab/>
        <w:t xml:space="preserve">kadangi Reglamente (EB) Nr. 1829/2003 reikalaujama užtikrinti, kad genetiškai modifikuoti maisto produktai ir pašarai neturėtų neigiamo poveikio žmonių sveikatai, </w:t>
      </w:r>
      <w:r w:rsidRPr="007E442E">
        <w:lastRenderedPageBreak/>
        <w:t>gyvūnų sveikatai ar aplinkai;</w:t>
      </w:r>
    </w:p>
    <w:p w14:paraId="4986E18B" w14:textId="77777777" w:rsidR="00306C9F" w:rsidRPr="007E442E" w:rsidRDefault="00306C9F" w:rsidP="00306C9F">
      <w:pPr>
        <w:pStyle w:val="NormalWeb"/>
        <w:widowControl w:val="0"/>
        <w:spacing w:before="0" w:beforeAutospacing="0" w:after="240" w:afterAutospacing="0"/>
        <w:ind w:left="567" w:hanging="567"/>
      </w:pPr>
      <w:r w:rsidRPr="007E442E">
        <w:t>M.</w:t>
      </w:r>
      <w:r w:rsidRPr="007E442E">
        <w:tab/>
        <w:t>kadangi Sąjungos sprendimas atnaujinti leidimą naudoti genetiškai modifikuotus kukurūzus neatitiktų tarptautinių įsipareigojimų mažinti pesticidų naudojimą</w:t>
      </w:r>
      <w:r w:rsidRPr="007E442E">
        <w:rPr>
          <w:vertAlign w:val="superscript"/>
        </w:rPr>
        <w:footnoteReference w:id="10"/>
      </w:r>
      <w:r w:rsidRPr="007E442E">
        <w:t xml:space="preserve">, atsižvelgiant į padidėjusį </w:t>
      </w:r>
      <w:proofErr w:type="spellStart"/>
      <w:r w:rsidRPr="007E442E">
        <w:t>glifosato</w:t>
      </w:r>
      <w:proofErr w:type="spellEnd"/>
      <w:r w:rsidRPr="007E442E">
        <w:t xml:space="preserve">, </w:t>
      </w:r>
      <w:proofErr w:type="spellStart"/>
      <w:r w:rsidRPr="007E442E">
        <w:t>dikambos</w:t>
      </w:r>
      <w:proofErr w:type="spellEnd"/>
      <w:r w:rsidRPr="007E442E">
        <w:t xml:space="preserve"> ir </w:t>
      </w:r>
      <w:proofErr w:type="spellStart"/>
      <w:r w:rsidRPr="007E442E">
        <w:t>glufozinato</w:t>
      </w:r>
      <w:proofErr w:type="spellEnd"/>
      <w:r w:rsidRPr="007E442E">
        <w:t xml:space="preserve"> poveikį žmonėms, gyvūnams ir aplinkai šalyse, kuriose auginami šie herbicidams atsparūs genetiškai modifikuoti pasėliai, taip pat į galimas rimtas su tuo susijusias pasekmes sveikatai;</w:t>
      </w:r>
    </w:p>
    <w:p w14:paraId="56876723" w14:textId="77777777" w:rsidR="00306C9F" w:rsidRPr="007E442E" w:rsidRDefault="00306C9F" w:rsidP="00306C9F">
      <w:pPr>
        <w:spacing w:after="240"/>
        <w:ind w:left="567" w:hanging="567"/>
      </w:pPr>
      <w:r w:rsidRPr="007E442E">
        <w:t>N.</w:t>
      </w:r>
      <w:r w:rsidRPr="007E442E">
        <w:tab/>
        <w:t>kadangi Komisijos įgyvendinimo sprendimu būtų toliau leidžiama į Sąjungą importuoti produktus, kurie neatitinka standartų, kurių laikosi Sąjungos ūkininkai, dėl to jie atsidurtų nepalankioje konkurencinėje padėtyje;</w:t>
      </w:r>
    </w:p>
    <w:p w14:paraId="238C9B29" w14:textId="77777777" w:rsidR="00306C9F" w:rsidRPr="007E442E" w:rsidRDefault="00306C9F" w:rsidP="00306C9F">
      <w:pPr>
        <w:spacing w:after="240"/>
        <w:ind w:left="567" w:hanging="567"/>
      </w:pPr>
      <w:r w:rsidRPr="007E442E">
        <w:t>O.</w:t>
      </w:r>
      <w:r w:rsidRPr="007E442E">
        <w:tab/>
        <w:t>kadangi strateginio dialogo dėl žemės ūkio ateities ES išvadose</w:t>
      </w:r>
      <w:r w:rsidRPr="007E442E">
        <w:rPr>
          <w:rStyle w:val="FootnoteReference"/>
        </w:rPr>
        <w:footnoteReference w:id="11"/>
      </w:r>
      <w:r w:rsidRPr="007E442E">
        <w:t xml:space="preserve"> Komisija raginama iš naujo įvertinti savo požiūrį dėl žemės ūkio maisto produktų patekimo į importo ir eksporto rinką, atsižvelgiant į iššūkius, susijusius su skirtingais Sąjungos ir jos prekybos partnerių standartais; kadangi sąžiningesni prekybos santykiai pasauliniu lygmeniu, derantys su sveikos aplinkos tikslais, buvo vienas iš pagrindinių ūkininkų reikalavimų per 2023 ir 2024 m. demonstracijas;</w:t>
      </w:r>
    </w:p>
    <w:p w14:paraId="64292785" w14:textId="77777777" w:rsidR="00306C9F" w:rsidRPr="007E442E" w:rsidRDefault="00306C9F" w:rsidP="00306C9F">
      <w:pPr>
        <w:spacing w:after="240"/>
        <w:ind w:left="567" w:hanging="567"/>
      </w:pPr>
      <w:r w:rsidRPr="007E442E">
        <w:t>P.</w:t>
      </w:r>
      <w:r w:rsidRPr="007E442E">
        <w:tab/>
        <w:t>kadangi Parlamentas ne kartą pabrėžė, kad Komisija neturėtų leisti naudoti GMO tais atvejais, kai valstybės narės Augalų, gyvūnų, maisto ir pašarų nuolatinio komiteto arba Apeliacinio komiteto posėdžiuose nesusitaria kvalifikuota balsų dauguma, kad būtų išspręstas nuolatinės demokratijos stokos klausimas;</w:t>
      </w:r>
    </w:p>
    <w:p w14:paraId="19DDF8ED" w14:textId="77777777" w:rsidR="00306C9F" w:rsidRPr="007E442E" w:rsidRDefault="00306C9F" w:rsidP="00306C9F">
      <w:pPr>
        <w:pStyle w:val="NormalWeb"/>
        <w:widowControl w:val="0"/>
        <w:shd w:val="clear" w:color="auto" w:fill="FFFFFF"/>
        <w:spacing w:before="0" w:beforeAutospacing="0" w:after="240" w:afterAutospacing="0"/>
        <w:ind w:left="567" w:hanging="567"/>
        <w:rPr>
          <w:color w:val="000000" w:themeColor="text1"/>
        </w:rPr>
      </w:pPr>
      <w:r w:rsidRPr="007E442E">
        <w:rPr>
          <w:color w:val="000000" w:themeColor="text1"/>
        </w:rPr>
        <w:t>Q.</w:t>
      </w:r>
      <w:r w:rsidRPr="007E442E">
        <w:rPr>
          <w:color w:val="000000" w:themeColor="text1"/>
        </w:rPr>
        <w:tab/>
        <w:t>kadangi, nepaisydama pačios pripažintų demokratijos trūkumų, to, kad valstybės narės nepalaiko GMO, ir Parlamento prieštaravimų, Komisija ir toliau suteikia leidimus GMO;</w:t>
      </w:r>
    </w:p>
    <w:p w14:paraId="73A36D3E" w14:textId="77777777" w:rsidR="00306C9F" w:rsidRPr="007E442E" w:rsidRDefault="00306C9F" w:rsidP="00306C9F">
      <w:pPr>
        <w:spacing w:after="240"/>
        <w:ind w:left="567" w:hanging="567"/>
      </w:pPr>
      <w:r w:rsidRPr="007E442E">
        <w:t>R.</w:t>
      </w:r>
      <w:r w:rsidRPr="007E442E">
        <w:tab/>
        <w:t>kadangi, vadovaujantis bendros sveikatos koncepcija, vertinant GMO ilgalaikį tvarumą ir saugą būtina atsižvelgti į žmonių, gyvūnų, augalų ir aplinkos sveikatos tarpusavio priklausomybę;</w:t>
      </w:r>
    </w:p>
    <w:p w14:paraId="5FA2D8DC" w14:textId="77777777" w:rsidR="00306C9F" w:rsidRPr="007E442E" w:rsidRDefault="00306C9F" w:rsidP="00306C9F">
      <w:pPr>
        <w:spacing w:after="240"/>
        <w:ind w:left="567" w:hanging="567"/>
      </w:pPr>
      <w:r w:rsidRPr="007E442E">
        <w:t>1.</w:t>
      </w:r>
      <w:r w:rsidRPr="007E442E">
        <w:tab/>
        <w:t>mano, kad Komisijos įgyvendinimo sprendimo projektas viršija Reglamente (EB) Nr. 1829/2003 numatytus įgyvendinimo įgaliojimus;</w:t>
      </w:r>
    </w:p>
    <w:p w14:paraId="05665B26" w14:textId="77777777" w:rsidR="00306C9F" w:rsidRPr="007E442E" w:rsidRDefault="00306C9F" w:rsidP="00306C9F">
      <w:pPr>
        <w:spacing w:after="240"/>
        <w:ind w:left="567" w:hanging="567"/>
      </w:pPr>
      <w:r w:rsidRPr="007E442E">
        <w:t>2.</w:t>
      </w:r>
      <w:r w:rsidRPr="007E442E">
        <w:tab/>
        <w:t>mano, kad Komisijos įgyvendinimo sprendimo projektas neatitinka Sąjungos teisės, nes jis nesuderinamas su Reglamento (EB) Nr. 1829/2003 tikslu, pagal kurį, remiantis Europos Parlamento ir Tarybos reglamentu (EB) Nr. 178/2002</w:t>
      </w:r>
      <w:r w:rsidRPr="007E442E">
        <w:rPr>
          <w:vertAlign w:val="superscript"/>
        </w:rPr>
        <w:footnoteReference w:id="12"/>
      </w:r>
      <w:r w:rsidRPr="007E442E">
        <w:t xml:space="preserve"> nustatytais bendraisiais principais, siekiama nustatyti pagrindą, leidžiantį užtikrinti aukštą žmonių gyvybės ir sveikatos, gyvūnų sveikatos ir gerovės, taip pat aplinkos ir vartotojų interesų apsaugos lygį, kalbant apie genetiškai modifikuotą maistą ir pašarus, kartu užtikrinant veiksmingą </w:t>
      </w:r>
      <w:r w:rsidRPr="007E442E">
        <w:lastRenderedPageBreak/>
        <w:t>vidaus rinkos veikimą;</w:t>
      </w:r>
    </w:p>
    <w:p w14:paraId="42C37182" w14:textId="77777777" w:rsidR="00306C9F" w:rsidRPr="007E442E" w:rsidRDefault="00306C9F" w:rsidP="00306C9F">
      <w:pPr>
        <w:spacing w:after="240"/>
        <w:ind w:left="567" w:hanging="567"/>
      </w:pPr>
      <w:r w:rsidRPr="007E442E">
        <w:t>3.</w:t>
      </w:r>
      <w:r w:rsidRPr="007E442E">
        <w:tab/>
        <w:t>prašo Komisijos atsiimti savo įgyvendinimo sprendimą;</w:t>
      </w:r>
    </w:p>
    <w:p w14:paraId="5EE6649D" w14:textId="77777777" w:rsidR="00306C9F" w:rsidRPr="007E442E" w:rsidRDefault="00306C9F" w:rsidP="00306C9F">
      <w:pPr>
        <w:spacing w:after="240"/>
        <w:ind w:left="567" w:hanging="567"/>
      </w:pPr>
      <w:r w:rsidRPr="007E442E">
        <w:t>4.</w:t>
      </w:r>
      <w:r w:rsidRPr="007E442E">
        <w:tab/>
        <w:t>ragina Komisiją, laikantis bendros sveikatos koncepcijos, neatnaujinti leidimo naudoti genetiškai modifikuotus kukurūzus, nes nėra pakankamai įrodymų apie ilgalaikį poveikį biologinei įvairovei, maisto saugai, ūkininkų pragyvenimui ir gyvūnų sveikatai;</w:t>
      </w:r>
    </w:p>
    <w:p w14:paraId="47AEB373" w14:textId="77777777" w:rsidR="00306C9F" w:rsidRPr="007E442E" w:rsidRDefault="00306C9F" w:rsidP="00306C9F">
      <w:pPr>
        <w:spacing w:after="240"/>
        <w:ind w:left="567" w:hanging="567"/>
      </w:pPr>
      <w:r w:rsidRPr="007E442E">
        <w:t>5.</w:t>
      </w:r>
      <w:r w:rsidRPr="007E442E">
        <w:tab/>
        <w:t>ragina Komisiją nedelsiant pateikti pasiūlymą dėl teisėkūros procedūra priimamo akto dėl sprendimų priėmimo procedūros GMO srityje reformos, siekiant atsižvelgti į nuolatinius Parlamento prieštaravimus ir trūkstamą kvalifikuotos daugumos paramą tarp valstybių narių;</w:t>
      </w:r>
    </w:p>
    <w:p w14:paraId="14272982" w14:textId="77777777" w:rsidR="00306C9F" w:rsidRPr="007E442E" w:rsidRDefault="00306C9F" w:rsidP="00306C9F">
      <w:pPr>
        <w:spacing w:after="240"/>
        <w:ind w:left="567" w:hanging="567"/>
      </w:pPr>
      <w:r w:rsidRPr="007E442E">
        <w:t>6.</w:t>
      </w:r>
      <w:r w:rsidRPr="007E442E">
        <w:tab/>
        <w:t xml:space="preserve">šiuo atžvilgiu pabrėžia, kad leidimas importuoti bet kokius maistui ar pašarams skirtus genetiškai modifikuotus augalus, kurie tapo atsparūs Sąjungoje uždraustiems herbicidams, pvz., </w:t>
      </w:r>
      <w:proofErr w:type="spellStart"/>
      <w:r w:rsidRPr="007E442E">
        <w:t>glufozinatui</w:t>
      </w:r>
      <w:proofErr w:type="spellEnd"/>
      <w:r w:rsidRPr="007E442E">
        <w:t xml:space="preserve">, neatitinka Sąjungos tarptautinių įsipareigojimų, prisiimtų, </w:t>
      </w:r>
      <w:proofErr w:type="spellStart"/>
      <w:r w:rsidRPr="007E442E">
        <w:rPr>
          <w:i/>
        </w:rPr>
        <w:t>inter</w:t>
      </w:r>
      <w:proofErr w:type="spellEnd"/>
      <w:r w:rsidRPr="007E442E">
        <w:rPr>
          <w:i/>
        </w:rPr>
        <w:t xml:space="preserve"> alia</w:t>
      </w:r>
      <w:r w:rsidRPr="007E442E">
        <w:t xml:space="preserve">, pagal Jungtinių Tautų (JT) Biologinės įvairovės konvenciją ir JT darnaus vystymosi tikslus, įskaitant </w:t>
      </w:r>
      <w:proofErr w:type="spellStart"/>
      <w:r w:rsidRPr="007E442E">
        <w:t>Kunmingo</w:t>
      </w:r>
      <w:proofErr w:type="spellEnd"/>
      <w:r w:rsidRPr="007E442E">
        <w:t xml:space="preserve"> ir Monrealio strategiją, ir kad taip sukuriamos nevienodos sąlygos Sąjungos ūkininkams;</w:t>
      </w:r>
    </w:p>
    <w:p w14:paraId="3D7014D4" w14:textId="75BFE4D6" w:rsidR="007E442E" w:rsidRPr="007E442E" w:rsidRDefault="00306C9F" w:rsidP="007E442E">
      <w:pPr>
        <w:spacing w:after="240"/>
        <w:ind w:left="567" w:hanging="567"/>
      </w:pPr>
      <w:r w:rsidRPr="007E442E">
        <w:t>7.</w:t>
      </w:r>
      <w:r w:rsidRPr="007E442E">
        <w:tab/>
        <w:t>paveda Pirmininkei perduoti šią rezoliuciją Tarybai ir Komisijai bei valstybių narių vyriausybėms ir parlamentams.</w:t>
      </w:r>
    </w:p>
    <w:p w14:paraId="5B612BBF" w14:textId="6A3F31DE" w:rsidR="00E365E1" w:rsidRPr="007E442E" w:rsidRDefault="00E365E1" w:rsidP="009D26F1"/>
    <w:sectPr w:rsidR="00E365E1" w:rsidRPr="007E442E" w:rsidSect="007E442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39CC0" w14:textId="77777777" w:rsidR="009D26F1" w:rsidRPr="007E442E" w:rsidRDefault="009D26F1">
      <w:r w:rsidRPr="007E442E">
        <w:separator/>
      </w:r>
    </w:p>
  </w:endnote>
  <w:endnote w:type="continuationSeparator" w:id="0">
    <w:p w14:paraId="5C691C34" w14:textId="77777777" w:rsidR="009D26F1" w:rsidRPr="007E442E" w:rsidRDefault="009D26F1">
      <w:r w:rsidRPr="007E44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D9CFF" w14:textId="77777777" w:rsidR="009D26F1" w:rsidRPr="007E442E" w:rsidRDefault="009D26F1">
      <w:r w:rsidRPr="007E442E">
        <w:separator/>
      </w:r>
    </w:p>
  </w:footnote>
  <w:footnote w:type="continuationSeparator" w:id="0">
    <w:p w14:paraId="57D34D0C" w14:textId="77777777" w:rsidR="009D26F1" w:rsidRPr="007E442E" w:rsidRDefault="009D26F1">
      <w:r w:rsidRPr="007E442E">
        <w:continuationSeparator/>
      </w:r>
    </w:p>
  </w:footnote>
  <w:footnote w:id="1">
    <w:p w14:paraId="7796F127" w14:textId="15D45BB1" w:rsidR="00306C9F" w:rsidRPr="007E442E" w:rsidRDefault="00306C9F" w:rsidP="007E442E">
      <w:pPr>
        <w:pStyle w:val="FootnoteText"/>
        <w:suppressAutoHyphens/>
        <w:ind w:left="567" w:hanging="567"/>
        <w:rPr>
          <w:sz w:val="24"/>
          <w:lang w:val="lt-LT"/>
        </w:rPr>
      </w:pPr>
      <w:r w:rsidRPr="007E442E">
        <w:rPr>
          <w:rStyle w:val="FootnoteReference"/>
          <w:sz w:val="24"/>
          <w:lang w:val="lt-LT"/>
        </w:rPr>
        <w:footnoteRef/>
      </w:r>
      <w:r w:rsidR="007E442E" w:rsidRPr="007E442E">
        <w:rPr>
          <w:sz w:val="24"/>
          <w:lang w:val="lt-LT"/>
        </w:rPr>
        <w:t xml:space="preserve"> </w:t>
      </w:r>
      <w:r w:rsidR="007E442E" w:rsidRPr="007E442E">
        <w:rPr>
          <w:sz w:val="24"/>
          <w:lang w:val="lt-LT"/>
        </w:rPr>
        <w:tab/>
      </w:r>
      <w:r w:rsidRPr="007E442E">
        <w:rPr>
          <w:sz w:val="24"/>
          <w:lang w:val="lt-LT"/>
        </w:rPr>
        <w:t>OL L 268, 2003 10 18, p. 1, ELI: </w:t>
      </w:r>
      <w:hyperlink r:id="rId1" w:tooltip="Gives access to this document through its ELI URI." w:history="1">
        <w:r w:rsidRPr="007E442E">
          <w:rPr>
            <w:rStyle w:val="Hyperlink"/>
            <w:sz w:val="24"/>
            <w:lang w:val="lt-LT"/>
          </w:rPr>
          <w:t>http://data.europa.eu/eli/reg/2003/1829/oj</w:t>
        </w:r>
      </w:hyperlink>
      <w:r w:rsidRPr="007E442E">
        <w:rPr>
          <w:color w:val="0563C1" w:themeColor="hyperlink"/>
          <w:sz w:val="24"/>
          <w:u w:val="single"/>
          <w:lang w:val="lt-LT"/>
        </w:rPr>
        <w:t>.</w:t>
      </w:r>
    </w:p>
  </w:footnote>
  <w:footnote w:id="2">
    <w:p w14:paraId="74AE6F42" w14:textId="4799897F" w:rsidR="00306C9F" w:rsidRPr="007E442E" w:rsidRDefault="00306C9F" w:rsidP="007E442E">
      <w:pPr>
        <w:pStyle w:val="FootnoteText"/>
        <w:ind w:left="567" w:hanging="567"/>
        <w:rPr>
          <w:sz w:val="24"/>
          <w:lang w:val="lt-LT"/>
        </w:rPr>
      </w:pPr>
      <w:r w:rsidRPr="007E442E">
        <w:rPr>
          <w:rStyle w:val="FootnoteReference"/>
          <w:sz w:val="24"/>
          <w:lang w:val="lt-LT"/>
        </w:rPr>
        <w:footnoteRef/>
      </w:r>
      <w:r w:rsidR="007E442E" w:rsidRPr="007E442E">
        <w:rPr>
          <w:sz w:val="24"/>
          <w:lang w:val="lt-LT"/>
        </w:rPr>
        <w:t xml:space="preserve"> </w:t>
      </w:r>
      <w:r w:rsidR="007E442E" w:rsidRPr="007E442E">
        <w:rPr>
          <w:sz w:val="24"/>
          <w:lang w:val="lt-LT"/>
        </w:rPr>
        <w:tab/>
      </w:r>
      <w:r w:rsidRPr="007E442E">
        <w:rPr>
          <w:sz w:val="24"/>
          <w:lang w:val="lt-LT"/>
        </w:rPr>
        <w:t xml:space="preserve">OL L 55, 2011 2 28, p. 13, ELI: </w:t>
      </w:r>
      <w:hyperlink r:id="rId2" w:history="1">
        <w:r w:rsidRPr="007E442E">
          <w:rPr>
            <w:rStyle w:val="Hyperlink"/>
            <w:sz w:val="24"/>
            <w:lang w:val="lt-LT"/>
          </w:rPr>
          <w:t>http://data.europa.eu/eli/reg/2011/182/oj</w:t>
        </w:r>
      </w:hyperlink>
      <w:r w:rsidRPr="007E442E">
        <w:rPr>
          <w:sz w:val="24"/>
          <w:lang w:val="lt-LT"/>
        </w:rPr>
        <w:t>.</w:t>
      </w:r>
    </w:p>
  </w:footnote>
  <w:footnote w:id="3">
    <w:p w14:paraId="62EF2E30" w14:textId="579FBEFD" w:rsidR="00306C9F" w:rsidRPr="007E442E" w:rsidRDefault="00306C9F" w:rsidP="007E442E">
      <w:pPr>
        <w:pStyle w:val="FootnoteText"/>
        <w:suppressAutoHyphens/>
        <w:ind w:left="567" w:hanging="567"/>
        <w:rPr>
          <w:sz w:val="24"/>
          <w:lang w:val="lt-LT"/>
        </w:rPr>
      </w:pPr>
      <w:r w:rsidRPr="007E442E">
        <w:rPr>
          <w:rStyle w:val="FootnoteReference"/>
          <w:sz w:val="24"/>
          <w:lang w:val="lt-LT"/>
        </w:rPr>
        <w:footnoteRef/>
      </w:r>
      <w:r w:rsidR="007E442E" w:rsidRPr="007E442E">
        <w:rPr>
          <w:sz w:val="24"/>
          <w:lang w:val="lt-LT"/>
        </w:rPr>
        <w:t xml:space="preserve"> </w:t>
      </w:r>
      <w:r w:rsidR="007E442E" w:rsidRPr="007E442E">
        <w:rPr>
          <w:sz w:val="24"/>
          <w:lang w:val="lt-LT"/>
        </w:rPr>
        <w:tab/>
      </w:r>
      <w:r w:rsidRPr="007E442E">
        <w:rPr>
          <w:sz w:val="24"/>
          <w:lang w:val="lt-LT"/>
        </w:rPr>
        <w:t xml:space="preserve">EFSA genetiškai modifikuotų organizmų specialistų grupės mokslinė nuomonė dėl genetiškai modifikuotų kukurūzų NK603 leidimo atnaujinimo vertinimo pagal Reglamentą (EB) Nr. 1829/2003 (paraiška GMFF-2023-21250). </w:t>
      </w:r>
      <w:r w:rsidRPr="007E442E">
        <w:rPr>
          <w:i/>
          <w:sz w:val="24"/>
          <w:lang w:val="lt-LT"/>
        </w:rPr>
        <w:t xml:space="preserve">EFSA </w:t>
      </w:r>
      <w:proofErr w:type="spellStart"/>
      <w:r w:rsidRPr="007E442E">
        <w:rPr>
          <w:i/>
          <w:sz w:val="24"/>
          <w:lang w:val="lt-LT"/>
        </w:rPr>
        <w:t>Journal</w:t>
      </w:r>
      <w:proofErr w:type="spellEnd"/>
      <w:r w:rsidRPr="007E442E">
        <w:rPr>
          <w:sz w:val="24"/>
          <w:lang w:val="lt-LT"/>
        </w:rPr>
        <w:t xml:space="preserve">, 2025;23(6):9505; </w:t>
      </w:r>
      <w:hyperlink r:id="rId3" w:history="1">
        <w:r w:rsidRPr="007E442E">
          <w:rPr>
            <w:rStyle w:val="Hyperlink"/>
            <w:sz w:val="24"/>
            <w:lang w:val="lt-LT"/>
          </w:rPr>
          <w:t>https://doi.org/10.2903/j.efsa.2025.9505</w:t>
        </w:r>
      </w:hyperlink>
      <w:r w:rsidRPr="007E442E">
        <w:rPr>
          <w:rStyle w:val="Hyperlink"/>
          <w:sz w:val="24"/>
          <w:lang w:val="lt-LT"/>
        </w:rPr>
        <w:t>.</w:t>
      </w:r>
    </w:p>
  </w:footnote>
  <w:footnote w:id="4">
    <w:p w14:paraId="0CCBC0FB" w14:textId="569FD081" w:rsidR="00306C9F" w:rsidRPr="007E442E" w:rsidRDefault="00306C9F" w:rsidP="007E442E">
      <w:pPr>
        <w:pStyle w:val="FootnoteText"/>
        <w:suppressAutoHyphens/>
        <w:ind w:left="567" w:hanging="567"/>
        <w:rPr>
          <w:color w:val="000000" w:themeColor="text1"/>
          <w:sz w:val="24"/>
          <w:vertAlign w:val="superscript"/>
          <w:lang w:val="lt-LT"/>
        </w:rPr>
      </w:pPr>
      <w:r w:rsidRPr="007E442E">
        <w:rPr>
          <w:rStyle w:val="FootnoteReference"/>
          <w:sz w:val="24"/>
          <w:lang w:val="lt-LT"/>
        </w:rPr>
        <w:footnoteRef/>
      </w:r>
      <w:r w:rsidR="007E442E" w:rsidRPr="007E442E">
        <w:rPr>
          <w:color w:val="000000" w:themeColor="text1"/>
          <w:sz w:val="24"/>
          <w:lang w:val="lt-LT"/>
        </w:rPr>
        <w:t xml:space="preserve"> </w:t>
      </w:r>
      <w:r w:rsidR="007E442E" w:rsidRPr="007E442E">
        <w:rPr>
          <w:color w:val="000000" w:themeColor="text1"/>
          <w:sz w:val="24"/>
          <w:lang w:val="lt-LT"/>
        </w:rPr>
        <w:tab/>
      </w:r>
      <w:r w:rsidRPr="007E442E">
        <w:rPr>
          <w:color w:val="000000" w:themeColor="text1"/>
          <w:sz w:val="24"/>
          <w:lang w:val="lt-LT"/>
        </w:rPr>
        <w:t xml:space="preserve">Per aštuntąją kadenciją Parlamentas priėmė 36 rezoliucijas, o per devintąją kadenciją – 38 rezoliucijas, kuriose </w:t>
      </w:r>
      <w:r w:rsidRPr="007E442E">
        <w:rPr>
          <w:sz w:val="24"/>
          <w:lang w:val="lt-LT"/>
        </w:rPr>
        <w:t>prieštaraujama</w:t>
      </w:r>
      <w:r w:rsidRPr="007E442E">
        <w:rPr>
          <w:color w:val="000000" w:themeColor="text1"/>
          <w:sz w:val="24"/>
          <w:lang w:val="lt-LT"/>
        </w:rPr>
        <w:t xml:space="preserve"> leidimui naudoti GMO. Be to, per dešimtąją kadenciją Parlamentas priėmė šias rezoliucijas:</w:t>
      </w:r>
    </w:p>
    <w:p w14:paraId="7FB712FB" w14:textId="434797D1" w:rsidR="00306C9F" w:rsidRPr="007E442E" w:rsidRDefault="00306C9F" w:rsidP="0008662E">
      <w:pPr>
        <w:pStyle w:val="FootnoteText"/>
        <w:suppressAutoHyphens/>
        <w:ind w:left="1134" w:hanging="567"/>
        <w:rPr>
          <w:color w:val="000000" w:themeColor="text1"/>
          <w:sz w:val="24"/>
          <w:vertAlign w:val="superscript"/>
          <w:lang w:val="lt-LT"/>
        </w:rPr>
      </w:pPr>
      <w:r w:rsidRPr="007E442E">
        <w:rPr>
          <w:color w:val="000000" w:themeColor="text1"/>
          <w:sz w:val="24"/>
          <w:lang w:val="lt-LT"/>
        </w:rPr>
        <w:t>–</w:t>
      </w:r>
      <w:r w:rsidRPr="007E442E">
        <w:rPr>
          <w:color w:val="000000" w:themeColor="text1"/>
          <w:sz w:val="24"/>
          <w:lang w:val="lt-LT"/>
        </w:rPr>
        <w:tab/>
        <w:t xml:space="preserve">2024 m. lapkričio 26 d. Europos Parlamento rezoliuciją dėl Komisijos įgyvendinimo sprendimo (ES) 2024/2628, kuriuo pagal Europos Parlamento ir Tarybos reglamentą (EB) Nr. 1829/2003 atnaujinamas leidimas pateikti rinkai produktus, kurių sudėtyje yra genetiškai modifikuotų kukurūzų MON 89034 × 1507 × NK603, kurie iš jų sudaryti arba kurie iš jų pagaminti, projekto (OL C, C/2025/1797, 2025 4 4, ELI: </w:t>
      </w:r>
      <w:hyperlink r:id="rId4" w:history="1">
        <w:r w:rsidRPr="007E442E">
          <w:rPr>
            <w:rStyle w:val="Hyperlink"/>
            <w:sz w:val="24"/>
            <w:lang w:val="lt-LT"/>
          </w:rPr>
          <w:t>http://data.europa.eu/eli/C/2025/1797/oj</w:t>
        </w:r>
      </w:hyperlink>
      <w:r w:rsidRPr="007E442E">
        <w:rPr>
          <w:color w:val="000000" w:themeColor="text1"/>
          <w:sz w:val="24"/>
          <w:lang w:val="lt-LT"/>
        </w:rPr>
        <w:t>);</w:t>
      </w:r>
    </w:p>
    <w:p w14:paraId="2D60110F" w14:textId="2C980292" w:rsidR="00306C9F" w:rsidRPr="007E442E" w:rsidRDefault="00306C9F" w:rsidP="004D49B6">
      <w:pPr>
        <w:pStyle w:val="FootnoteText"/>
        <w:suppressAutoHyphens/>
        <w:ind w:left="1134" w:hanging="567"/>
        <w:rPr>
          <w:color w:val="000000" w:themeColor="text1"/>
          <w:sz w:val="24"/>
          <w:vertAlign w:val="superscript"/>
          <w:lang w:val="lt-LT"/>
        </w:rPr>
      </w:pPr>
      <w:r w:rsidRPr="007E442E">
        <w:rPr>
          <w:color w:val="000000" w:themeColor="text1"/>
          <w:sz w:val="24"/>
          <w:lang w:val="lt-LT"/>
        </w:rPr>
        <w:t>–</w:t>
      </w:r>
      <w:r w:rsidRPr="007E442E">
        <w:rPr>
          <w:color w:val="000000" w:themeColor="text1"/>
          <w:sz w:val="24"/>
          <w:lang w:val="lt-LT"/>
        </w:rPr>
        <w:tab/>
        <w:t xml:space="preserve">2024 m. lapkričio 26 d. Europos Parlamento rezoliuciją dėl Komisijos įgyvendinimo sprendimo (ES) 2024/2627, kuriuo pagal Europos Parlamento ir Tarybos reglamentą (EB) Nr. 1829/2003 leidžiama pateikti rinkai produktus, kurių sudėtyje yra genetiškai modifikuotos medvilnės COT102, kurie iš jos sudaryti arba kurie iš jos pagaminti, (OL C, C/2025/1798, 2025 4 4, ELI: </w:t>
      </w:r>
      <w:hyperlink r:id="rId5" w:history="1">
        <w:r w:rsidRPr="007E442E">
          <w:rPr>
            <w:rStyle w:val="Hyperlink"/>
            <w:sz w:val="24"/>
            <w:lang w:val="lt-LT"/>
          </w:rPr>
          <w:t>http://data.europa.eu/eli/C/2025/1798/oj</w:t>
        </w:r>
      </w:hyperlink>
      <w:r w:rsidRPr="007E442E">
        <w:rPr>
          <w:color w:val="000000" w:themeColor="text1"/>
          <w:sz w:val="24"/>
          <w:lang w:val="lt-LT"/>
        </w:rPr>
        <w:t>);</w:t>
      </w:r>
    </w:p>
    <w:p w14:paraId="597B3940" w14:textId="5EA7661E" w:rsidR="00306C9F" w:rsidRPr="007E442E" w:rsidRDefault="00306C9F" w:rsidP="004D49B6">
      <w:pPr>
        <w:pStyle w:val="FootnoteText"/>
        <w:suppressAutoHyphens/>
        <w:ind w:left="1134" w:hanging="567"/>
        <w:rPr>
          <w:color w:val="000000" w:themeColor="text1"/>
          <w:sz w:val="24"/>
          <w:vertAlign w:val="superscript"/>
          <w:lang w:val="lt-LT"/>
        </w:rPr>
      </w:pPr>
      <w:r w:rsidRPr="007E442E">
        <w:rPr>
          <w:color w:val="000000" w:themeColor="text1"/>
          <w:sz w:val="24"/>
          <w:lang w:val="lt-LT"/>
        </w:rPr>
        <w:t>–</w:t>
      </w:r>
      <w:r w:rsidRPr="007E442E">
        <w:rPr>
          <w:color w:val="000000" w:themeColor="text1"/>
          <w:sz w:val="24"/>
          <w:lang w:val="lt-LT"/>
        </w:rPr>
        <w:tab/>
        <w:t xml:space="preserve">2024 m. lapkričio 26 d. Europos Parlamento rezoliuciją dėl Komisijos įgyvendinimo sprendimo (ES) 2024/2629, kuriuo pagal Europos Parlamento ir Tarybos reglamentą (EB) Nr. 1829/2003 atnaujinamas leidimas pateikti rinkai produktus, kurių sudėtyje yra genetiškai modifikuotų kukurūzų MON 89034 × 1507 × MON 88017 × 59122 ir aštuonių jų </w:t>
      </w:r>
      <w:proofErr w:type="spellStart"/>
      <w:r w:rsidRPr="007E442E">
        <w:rPr>
          <w:color w:val="000000" w:themeColor="text1"/>
          <w:sz w:val="24"/>
          <w:lang w:val="lt-LT"/>
        </w:rPr>
        <w:t>subkombinacijų</w:t>
      </w:r>
      <w:proofErr w:type="spellEnd"/>
      <w:r w:rsidRPr="007E442E">
        <w:rPr>
          <w:color w:val="000000" w:themeColor="text1"/>
          <w:sz w:val="24"/>
          <w:lang w:val="lt-LT"/>
        </w:rPr>
        <w:t xml:space="preserve">, kurie iš jų sudaryti arba kurie iš jų pagaminti, (OL C, C/2025/1799, 2025 4 4, ELI: </w:t>
      </w:r>
      <w:hyperlink r:id="rId6" w:history="1">
        <w:r w:rsidRPr="007E442E">
          <w:rPr>
            <w:rStyle w:val="Hyperlink"/>
            <w:sz w:val="24"/>
            <w:lang w:val="lt-LT"/>
          </w:rPr>
          <w:t>http://data.europa.eu/eli/C/2025/1799/oj</w:t>
        </w:r>
      </w:hyperlink>
      <w:r w:rsidRPr="007E442E">
        <w:rPr>
          <w:color w:val="000000" w:themeColor="text1"/>
          <w:sz w:val="24"/>
          <w:lang w:val="lt-LT"/>
        </w:rPr>
        <w:t>);</w:t>
      </w:r>
    </w:p>
    <w:p w14:paraId="67502D0E" w14:textId="570566E3" w:rsidR="00306C9F" w:rsidRPr="007E442E" w:rsidRDefault="00306C9F" w:rsidP="004D49B6">
      <w:pPr>
        <w:pStyle w:val="FootnoteText"/>
        <w:ind w:left="1134" w:hanging="567"/>
        <w:rPr>
          <w:color w:val="000000" w:themeColor="text1"/>
          <w:sz w:val="24"/>
          <w:vertAlign w:val="superscript"/>
          <w:lang w:val="lt-LT"/>
        </w:rPr>
      </w:pPr>
      <w:r w:rsidRPr="007E442E">
        <w:rPr>
          <w:color w:val="000000" w:themeColor="text1"/>
          <w:sz w:val="24"/>
          <w:lang w:val="lt-LT"/>
        </w:rPr>
        <w:t>–</w:t>
      </w:r>
      <w:r w:rsidRPr="007E442E">
        <w:rPr>
          <w:color w:val="000000" w:themeColor="text1"/>
          <w:sz w:val="24"/>
          <w:lang w:val="lt-LT"/>
        </w:rPr>
        <w:tab/>
        <w:t xml:space="preserve">2024 m. lapkričio 26 d. Europos Parlamento rezoliuciją dėl Komisijos įgyvendinimo sprendimo (ES) 2024/1828, kuriuo pagal Europos Parlamento ir Tarybos reglamentą (EB) Nr. 1829/2003 atnaujinamas leidimas pateikti rinkai pašarus, kurių sudėtyje yra genetiškai modifikuotų kukurūzų MON 810 arba kurie iš jų sudaryti, ir maisto produktus ir pašarus, pagamintus iš genetiškai modifikuotų kukurūzų MON 810, ir panaikinamas Komisijos įgyvendinimo sprendimas (ES) 2017/1207 (OL C, C/2025/1800, 2025 4 4, ELI: </w:t>
      </w:r>
      <w:hyperlink r:id="rId7" w:history="1">
        <w:r w:rsidRPr="007E442E">
          <w:rPr>
            <w:rStyle w:val="Hyperlink"/>
            <w:sz w:val="24"/>
            <w:lang w:val="lt-LT"/>
          </w:rPr>
          <w:t>http://data.europa.eu/eli/C/2025/1800/oj</w:t>
        </w:r>
      </w:hyperlink>
      <w:r w:rsidRPr="007E442E">
        <w:rPr>
          <w:color w:val="000000" w:themeColor="text1"/>
          <w:sz w:val="24"/>
          <w:lang w:val="lt-LT"/>
        </w:rPr>
        <w:t>);</w:t>
      </w:r>
    </w:p>
    <w:p w14:paraId="09DD6601" w14:textId="0548F214" w:rsidR="00306C9F" w:rsidRPr="007E442E" w:rsidRDefault="00306C9F" w:rsidP="004D49B6">
      <w:pPr>
        <w:pStyle w:val="FootnoteText"/>
        <w:ind w:left="1134" w:hanging="567"/>
        <w:rPr>
          <w:color w:val="000000" w:themeColor="text1"/>
          <w:sz w:val="24"/>
          <w:vertAlign w:val="superscript"/>
          <w:lang w:val="lt-LT"/>
        </w:rPr>
      </w:pPr>
      <w:r w:rsidRPr="007E442E">
        <w:rPr>
          <w:color w:val="000000" w:themeColor="text1"/>
          <w:sz w:val="24"/>
          <w:lang w:val="lt-LT"/>
        </w:rPr>
        <w:t>–</w:t>
      </w:r>
      <w:r w:rsidRPr="007E442E">
        <w:rPr>
          <w:color w:val="000000" w:themeColor="text1"/>
          <w:sz w:val="24"/>
          <w:lang w:val="lt-LT"/>
        </w:rPr>
        <w:tab/>
        <w:t xml:space="preserve">2024 m. lapkričio 26 d. Europos Parlamento rezoliuciją dėl Komisijos įgyvendinimo sprendimo (ES) 2024/1822, kuriuo pagal Europos Parlamento ir Tarybos reglamentą (EB) Nr. 1829/2003 leidžiama pateikti rinkai produktus, kurių sudėtyje yra genetiškai modifikuotų kukurūzų DP915635 arba kurie iš jų sudaryti ar pagaminti (OL C, C/2025/1801, 2025 4 4, ELI: </w:t>
      </w:r>
      <w:hyperlink r:id="rId8" w:history="1">
        <w:r w:rsidRPr="007E442E">
          <w:rPr>
            <w:rStyle w:val="Hyperlink"/>
            <w:sz w:val="24"/>
            <w:lang w:val="lt-LT"/>
          </w:rPr>
          <w:t>http://data.europa.eu/eli/C/2025/1801/oj</w:t>
        </w:r>
      </w:hyperlink>
      <w:r w:rsidRPr="007E442E">
        <w:rPr>
          <w:color w:val="000000" w:themeColor="text1"/>
          <w:sz w:val="24"/>
          <w:lang w:val="lt-LT"/>
        </w:rPr>
        <w:t>);</w:t>
      </w:r>
    </w:p>
    <w:p w14:paraId="0D9EE7C4" w14:textId="5A7B940C" w:rsidR="00306C9F" w:rsidRPr="007E442E" w:rsidRDefault="00306C9F" w:rsidP="004D49B6">
      <w:pPr>
        <w:pStyle w:val="FootnoteText"/>
        <w:ind w:left="1134" w:hanging="567"/>
        <w:rPr>
          <w:color w:val="000000" w:themeColor="text1"/>
          <w:sz w:val="24"/>
          <w:vertAlign w:val="superscript"/>
          <w:lang w:val="lt-LT"/>
        </w:rPr>
      </w:pPr>
      <w:r w:rsidRPr="007E442E">
        <w:rPr>
          <w:color w:val="000000" w:themeColor="text1"/>
          <w:sz w:val="24"/>
          <w:lang w:val="lt-LT"/>
        </w:rPr>
        <w:t>–</w:t>
      </w:r>
      <w:r w:rsidRPr="007E442E">
        <w:rPr>
          <w:color w:val="000000" w:themeColor="text1"/>
          <w:sz w:val="24"/>
          <w:lang w:val="lt-LT"/>
        </w:rPr>
        <w:tab/>
        <w:t xml:space="preserve">2024 m. lapkričio 26 d. Europos Parlamento rezoliuciją dėl Komisijos įgyvendinimo sprendimo (ES) 2024/1826, kuriuo pagal Europos Parlamento ir Tarybos reglamentą (EB) Nr. 1829/2003 leidžiama pateikti rinkai produktus, kurių sudėtyje yra genetiškai modifikuotų kukurūzų DP23211, kurie iš jų sudaryti ar pagaminti (OL C, C/2025/1802, 2025 4 4, ELI: </w:t>
      </w:r>
      <w:hyperlink r:id="rId9" w:history="1">
        <w:r w:rsidRPr="007E442E">
          <w:rPr>
            <w:rStyle w:val="Hyperlink"/>
            <w:sz w:val="24"/>
            <w:lang w:val="lt-LT"/>
          </w:rPr>
          <w:t>http://data.europa.eu/eli/C/2025/1802/oj</w:t>
        </w:r>
      </w:hyperlink>
      <w:r w:rsidRPr="007E442E">
        <w:rPr>
          <w:color w:val="000000" w:themeColor="text1"/>
          <w:sz w:val="24"/>
          <w:lang w:val="lt-LT"/>
        </w:rPr>
        <w:t>);</w:t>
      </w:r>
    </w:p>
    <w:p w14:paraId="242E14E9" w14:textId="51EB85B2" w:rsidR="00306C9F" w:rsidRPr="007E442E" w:rsidRDefault="00306C9F" w:rsidP="004D49B6">
      <w:pPr>
        <w:pStyle w:val="FootnoteText"/>
        <w:ind w:left="1134" w:hanging="567"/>
        <w:rPr>
          <w:color w:val="000000" w:themeColor="text1"/>
          <w:sz w:val="24"/>
          <w:vertAlign w:val="superscript"/>
          <w:lang w:val="lt-LT"/>
        </w:rPr>
      </w:pPr>
      <w:r w:rsidRPr="007E442E">
        <w:rPr>
          <w:color w:val="000000" w:themeColor="text1"/>
          <w:sz w:val="24"/>
          <w:lang w:val="lt-LT"/>
        </w:rPr>
        <w:t>–</w:t>
      </w:r>
      <w:r w:rsidRPr="007E442E">
        <w:rPr>
          <w:color w:val="000000" w:themeColor="text1"/>
          <w:sz w:val="24"/>
          <w:lang w:val="lt-LT"/>
        </w:rPr>
        <w:tab/>
        <w:t xml:space="preserve">2024 m. lapkričio 26 d. Europos Parlamento rezoliuciją dėl Komisijos įgyvendinimo sprendimo (ES) 2024/2618, kuriuo pagal Europos Parlamento ir Tarybos reglamentą (EB) Nr. 1829/2003 leidžiama pateikti rinkai produktus, kurių sudėtyje yra genetiškai modifikuotų kukurūzų DP202216, kurie iš jų sudaryti arba kurie iš jų pagaminti, (OL C, C/2025/1803, 2025 4 4, ELI: </w:t>
      </w:r>
      <w:hyperlink r:id="rId10" w:history="1">
        <w:r w:rsidRPr="007E442E">
          <w:rPr>
            <w:rStyle w:val="Hyperlink"/>
            <w:sz w:val="24"/>
            <w:lang w:val="lt-LT"/>
          </w:rPr>
          <w:t>http://data.europa.eu/eli/C/2025/1803/oj</w:t>
        </w:r>
      </w:hyperlink>
      <w:r w:rsidRPr="007E442E">
        <w:rPr>
          <w:color w:val="000000" w:themeColor="text1"/>
          <w:sz w:val="24"/>
          <w:lang w:val="lt-LT"/>
        </w:rPr>
        <w:t>);</w:t>
      </w:r>
    </w:p>
    <w:p w14:paraId="16E4E5CB" w14:textId="5374E8BC" w:rsidR="00306C9F" w:rsidRPr="007E442E" w:rsidRDefault="00306C9F" w:rsidP="004D49B6">
      <w:pPr>
        <w:pStyle w:val="FootnoteText"/>
        <w:ind w:left="1134" w:hanging="567"/>
        <w:rPr>
          <w:color w:val="000000" w:themeColor="text1"/>
          <w:sz w:val="24"/>
          <w:vertAlign w:val="superscript"/>
          <w:lang w:val="lt-LT"/>
        </w:rPr>
      </w:pPr>
      <w:r w:rsidRPr="007E442E">
        <w:rPr>
          <w:color w:val="000000" w:themeColor="text1"/>
          <w:sz w:val="24"/>
          <w:lang w:val="lt-LT"/>
        </w:rPr>
        <w:t>–</w:t>
      </w:r>
      <w:r w:rsidRPr="007E442E">
        <w:rPr>
          <w:color w:val="000000" w:themeColor="text1"/>
          <w:sz w:val="24"/>
          <w:lang w:val="lt-LT"/>
        </w:rPr>
        <w:tab/>
        <w:t xml:space="preserve">2024 m. lapkričio 26 d. Europos Parlamento rezoliuciją dėl Komisijos įgyvendinimo sprendimo, kuriuo pagal Europos Parlamento ir Tarybos reglamentą (EB) Nr. 1829/2003 leidžiama pateikti rinkai produktus, kurių sudėtyje yra genetiškai modifikuotų kukurūzų MON 94804, kurie iš jų sudaryti arba kurie iš jų pagaminti, projekto (OL C, C/2025/1804, 2025 4 4, ELI: </w:t>
      </w:r>
      <w:hyperlink r:id="rId11" w:history="1">
        <w:r w:rsidRPr="007E442E">
          <w:rPr>
            <w:rStyle w:val="Hyperlink"/>
            <w:sz w:val="24"/>
            <w:lang w:val="lt-LT"/>
          </w:rPr>
          <w:t>http://data.europa.eu/eli/C/2025/1804/oj</w:t>
        </w:r>
      </w:hyperlink>
      <w:r w:rsidRPr="007E442E">
        <w:rPr>
          <w:color w:val="000000" w:themeColor="text1"/>
          <w:sz w:val="24"/>
          <w:lang w:val="lt-LT"/>
        </w:rPr>
        <w:t>);</w:t>
      </w:r>
    </w:p>
    <w:p w14:paraId="66506A98" w14:textId="471163CA" w:rsidR="00306C9F" w:rsidRPr="007E442E" w:rsidRDefault="00306C9F" w:rsidP="004D49B6">
      <w:pPr>
        <w:pStyle w:val="FootnoteText"/>
        <w:ind w:left="1134" w:hanging="567"/>
        <w:rPr>
          <w:sz w:val="24"/>
          <w:vertAlign w:val="superscript"/>
          <w:lang w:val="lt-LT"/>
        </w:rPr>
      </w:pPr>
      <w:r w:rsidRPr="007E442E">
        <w:rPr>
          <w:color w:val="000000" w:themeColor="text1"/>
          <w:sz w:val="24"/>
          <w:lang w:val="lt-LT"/>
        </w:rPr>
        <w:t>–</w:t>
      </w:r>
      <w:r w:rsidRPr="007E442E">
        <w:rPr>
          <w:color w:val="000000" w:themeColor="text1"/>
          <w:sz w:val="24"/>
          <w:lang w:val="lt-LT"/>
        </w:rPr>
        <w:tab/>
      </w:r>
      <w:r w:rsidRPr="007E442E">
        <w:rPr>
          <w:sz w:val="24"/>
          <w:lang w:val="lt-LT"/>
        </w:rPr>
        <w:t xml:space="preserve">2025 m. vasario 12 d. Europos Parlamento rezoliuciją dėl Komisijos įgyvendinimo sprendimo, kuriuo pagal Europos Parlamento ir Tarybos reglamentą (EB) Nr. 1829/2003 leidžiama pateikti rinkai produktus, kurių sudėtyje yra genetiškai modifikuotų kukurūzų DP910521, kurie iš jų sudaryti arba kurie iš jų pagaminti, projekto (OL C, C/2025/2246, 2025 4 29, ELI: </w:t>
      </w:r>
      <w:hyperlink r:id="rId12" w:tooltip="Gives access to this document through its ELI URI." w:history="1">
        <w:r w:rsidRPr="007E442E">
          <w:rPr>
            <w:rStyle w:val="Hyperlink"/>
            <w:sz w:val="24"/>
            <w:lang w:val="lt-LT"/>
          </w:rPr>
          <w:t>http://data.europa.eu/eli/C/2025/2246/oj</w:t>
        </w:r>
      </w:hyperlink>
      <w:r w:rsidRPr="007E442E">
        <w:rPr>
          <w:sz w:val="24"/>
          <w:lang w:val="lt-LT"/>
        </w:rPr>
        <w:t>);</w:t>
      </w:r>
    </w:p>
    <w:p w14:paraId="36163EDB" w14:textId="012E2104" w:rsidR="00306C9F" w:rsidRPr="007E442E" w:rsidRDefault="00306C9F" w:rsidP="004D49B6">
      <w:pPr>
        <w:pStyle w:val="FootnoteText"/>
        <w:ind w:left="1134" w:hanging="567"/>
        <w:rPr>
          <w:sz w:val="24"/>
          <w:vertAlign w:val="superscript"/>
          <w:lang w:val="lt-LT"/>
        </w:rPr>
      </w:pPr>
      <w:r w:rsidRPr="007E442E">
        <w:rPr>
          <w:sz w:val="24"/>
          <w:lang w:val="lt-LT"/>
        </w:rPr>
        <w:t>–</w:t>
      </w:r>
      <w:r w:rsidRPr="007E442E">
        <w:rPr>
          <w:sz w:val="24"/>
          <w:lang w:val="lt-LT"/>
        </w:rPr>
        <w:tab/>
        <w:t xml:space="preserve">2025 m. vasario 12 d. Europos Parlamento rezoliuciją dėl Komisijos įgyvendinimo sprendimo, kuriuo pagal Europos Parlamento ir Tarybos reglamentą (EB) Nr. 1829/2003 leidžiama pateikti rinkai produktus, kurių sudėtyje yra genetiškai modifikuotų kukurūzų MON 95275, kurie iš jų sudaryti arba kurie iš jų pagaminti, projekto (OL C, C/2025/2247, 2025 4 29, ELI: </w:t>
      </w:r>
      <w:hyperlink r:id="rId13" w:tooltip="Gives access to this document through its ELI URI." w:history="1">
        <w:r w:rsidRPr="007E442E">
          <w:rPr>
            <w:rStyle w:val="Hyperlink"/>
            <w:sz w:val="24"/>
            <w:lang w:val="lt-LT"/>
          </w:rPr>
          <w:t>http://data.europa.eu/eli/C/2025/2247/oj</w:t>
        </w:r>
      </w:hyperlink>
      <w:r w:rsidRPr="007E442E">
        <w:rPr>
          <w:sz w:val="24"/>
          <w:lang w:val="lt-LT"/>
        </w:rPr>
        <w:t>);</w:t>
      </w:r>
    </w:p>
    <w:p w14:paraId="0E763825" w14:textId="61B547C1" w:rsidR="00306C9F" w:rsidRPr="007E442E" w:rsidRDefault="00306C9F" w:rsidP="004D49B6">
      <w:pPr>
        <w:pStyle w:val="FootnoteText"/>
        <w:ind w:left="1134" w:hanging="567"/>
        <w:rPr>
          <w:sz w:val="24"/>
          <w:vertAlign w:val="superscript"/>
          <w:lang w:val="lt-LT"/>
        </w:rPr>
      </w:pPr>
      <w:r w:rsidRPr="007E442E">
        <w:rPr>
          <w:sz w:val="24"/>
          <w:lang w:val="lt-LT"/>
        </w:rPr>
        <w:t>–</w:t>
      </w:r>
      <w:r w:rsidRPr="007E442E">
        <w:rPr>
          <w:sz w:val="24"/>
          <w:lang w:val="lt-LT"/>
        </w:rPr>
        <w:tab/>
        <w:t>2025 m. gegužės 8 d. Europos Parlamento rezoliuciją dėl Komisijos įgyvendinimo sprendimo, kuriuo pagal Europos Parlamento ir Tarybos reglamentą (EB) Nr. 1829/2003 leidžiama pateikti rinkai produktus, kurių sudėtyje yra genetiškai modifikuotų sojų MON 87705 × MON 87708 × MON 89788, kurie iš jų sudaryti arba kurie iš jų pagaminti, projekto (P10_TA(2025)0106);</w:t>
      </w:r>
    </w:p>
    <w:p w14:paraId="68549C16" w14:textId="3D248565" w:rsidR="00306C9F" w:rsidRPr="007E442E" w:rsidRDefault="00306C9F" w:rsidP="004D49B6">
      <w:pPr>
        <w:pStyle w:val="FootnoteText"/>
        <w:ind w:left="1134" w:hanging="567"/>
        <w:rPr>
          <w:sz w:val="24"/>
          <w:vertAlign w:val="superscript"/>
          <w:lang w:val="lt-LT"/>
        </w:rPr>
      </w:pPr>
      <w:r w:rsidRPr="007E442E">
        <w:rPr>
          <w:sz w:val="24"/>
          <w:lang w:val="lt-LT"/>
        </w:rPr>
        <w:t>–</w:t>
      </w:r>
      <w:r w:rsidRPr="007E442E">
        <w:rPr>
          <w:sz w:val="24"/>
          <w:lang w:val="lt-LT"/>
        </w:rPr>
        <w:tab/>
        <w:t xml:space="preserve">2025 m. spalio 8 d. </w:t>
      </w:r>
      <w:r w:rsidRPr="007E442E">
        <w:rPr>
          <w:sz w:val="24"/>
          <w:lang w:val="lt-LT"/>
        </w:rPr>
        <w:t>Europos Parlamento rezoliuciją dėl 2025 m</w:t>
      </w:r>
      <w:r w:rsidR="00910190">
        <w:rPr>
          <w:sz w:val="24"/>
          <w:lang w:val="lt-LT"/>
        </w:rPr>
        <w:t>.</w:t>
      </w:r>
      <w:r w:rsidRPr="007E442E">
        <w:rPr>
          <w:sz w:val="24"/>
          <w:lang w:val="lt-LT"/>
        </w:rPr>
        <w:t xml:space="preserve"> rugsėjo 22 d. Komisijos įgyvendinimo sprendimo (ES) 2025/1898, kuriuo pagal Europos Parlamento ir Tarybos reglamentą (EB) Nr. 1829/2003 leidžiama pateikti rinkai produktus, kurių sudėtyje yra genetiškai modifikuotų kukurūzų DP51291, kurie iš jų sudaryti arba kurie iš jų pagaminti (P10_TA(2025)0222);</w:t>
      </w:r>
    </w:p>
    <w:p w14:paraId="10F4DE1F" w14:textId="35585B60" w:rsidR="00306C9F" w:rsidRPr="007E442E" w:rsidRDefault="00306C9F" w:rsidP="004D49B6">
      <w:pPr>
        <w:pStyle w:val="FootnoteText"/>
        <w:ind w:left="1134" w:hanging="567"/>
        <w:rPr>
          <w:sz w:val="24"/>
          <w:vertAlign w:val="superscript"/>
          <w:lang w:val="lt-LT"/>
        </w:rPr>
      </w:pPr>
      <w:bookmarkStart w:id="7" w:name="_Hlk215330280"/>
      <w:r w:rsidRPr="007E442E">
        <w:rPr>
          <w:sz w:val="24"/>
          <w:lang w:val="lt-LT"/>
        </w:rPr>
        <w:t>–</w:t>
      </w:r>
      <w:r w:rsidRPr="007E442E">
        <w:rPr>
          <w:sz w:val="24"/>
          <w:lang w:val="lt-LT"/>
        </w:rPr>
        <w:tab/>
        <w:t>2025 m. lapkričio 25 d. Europos Parlamento rezoliuciją dėl Komisijos įgyvendinimo sprendimo, kuriuo pagal Europos Parlamento ir Tarybos reglamentą (EB) Nr. 1829/2003 leidžiama pateikti rinkai produktus, kurių sudėtyje yra genetiškai modifikuotų kukurūzų DAS1131, kurie iš jų sudaryti arba kurie iš jų pagaminti, projekto (P10_TA(2025)0288);</w:t>
      </w:r>
    </w:p>
    <w:p w14:paraId="1CFA14D8" w14:textId="19B65396" w:rsidR="00306C9F" w:rsidRPr="007E442E" w:rsidRDefault="00306C9F" w:rsidP="004D49B6">
      <w:pPr>
        <w:pStyle w:val="FootnoteText"/>
        <w:ind w:left="1134" w:hanging="567"/>
        <w:rPr>
          <w:sz w:val="24"/>
          <w:vertAlign w:val="superscript"/>
          <w:lang w:val="lt-LT"/>
        </w:rPr>
      </w:pPr>
      <w:r w:rsidRPr="007E442E">
        <w:rPr>
          <w:sz w:val="24"/>
          <w:lang w:val="lt-LT"/>
        </w:rPr>
        <w:t>–</w:t>
      </w:r>
      <w:r w:rsidRPr="007E442E">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modifikuotos medvilnės MON 88913 (MON-88913-8), kurie iš jos sudaryti arba kurie iš jo pagaminti, projekto (P10_TA(2025)0289);</w:t>
      </w:r>
    </w:p>
    <w:p w14:paraId="40FE642E" w14:textId="02B16695" w:rsidR="00306C9F" w:rsidRPr="007E442E" w:rsidRDefault="00306C9F" w:rsidP="004D49B6">
      <w:pPr>
        <w:pStyle w:val="FootnoteText"/>
        <w:ind w:left="1134" w:hanging="567"/>
        <w:rPr>
          <w:sz w:val="24"/>
          <w:vertAlign w:val="superscript"/>
          <w:lang w:val="lt-LT"/>
        </w:rPr>
      </w:pPr>
      <w:r w:rsidRPr="007E442E">
        <w:rPr>
          <w:sz w:val="24"/>
          <w:lang w:val="lt-LT"/>
        </w:rPr>
        <w:t>–</w:t>
      </w:r>
      <w:r w:rsidRPr="007E442E">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modifikuotų aliejinių rapsų MON 88302, kurie iš jų sudaryti arba kurie iš jų pagaminti, projekto (P10_TA(2025)0290);</w:t>
      </w:r>
    </w:p>
    <w:p w14:paraId="7A561E03" w14:textId="6AB9015F" w:rsidR="00306C9F" w:rsidRPr="007E442E" w:rsidRDefault="00306C9F" w:rsidP="004D49B6">
      <w:pPr>
        <w:pStyle w:val="FootnoteText"/>
        <w:ind w:left="1134" w:hanging="567"/>
        <w:rPr>
          <w:sz w:val="24"/>
          <w:vertAlign w:val="superscript"/>
          <w:lang w:val="lt-LT"/>
        </w:rPr>
      </w:pPr>
      <w:r w:rsidRPr="007E442E">
        <w:rPr>
          <w:sz w:val="24"/>
          <w:lang w:val="lt-LT"/>
        </w:rPr>
        <w:t>–</w:t>
      </w:r>
      <w:r w:rsidRPr="007E442E">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modifikuotų sojų MON 87708, kurie iš jų sudaryti arba kurie iš jų pagaminti (P10_TA(2025)0291);</w:t>
      </w:r>
    </w:p>
    <w:p w14:paraId="54CA491B" w14:textId="56768FE6" w:rsidR="00306C9F" w:rsidRPr="007E442E" w:rsidRDefault="00306C9F" w:rsidP="004D49B6">
      <w:pPr>
        <w:pStyle w:val="FootnoteText"/>
        <w:ind w:left="1134" w:hanging="567"/>
        <w:rPr>
          <w:sz w:val="24"/>
          <w:lang w:val="lt-LT"/>
        </w:rPr>
      </w:pPr>
      <w:r w:rsidRPr="007E442E">
        <w:rPr>
          <w:sz w:val="24"/>
          <w:lang w:val="lt-LT"/>
        </w:rPr>
        <w:t>–</w:t>
      </w:r>
      <w:r w:rsidRPr="007E442E">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modifikuotų kukurūzų MON 87427, kurie iš jų sudaryti arba kurie iš jų pagaminti, projekto (P10_TA(2025)0292).</w:t>
      </w:r>
      <w:bookmarkEnd w:id="7"/>
    </w:p>
  </w:footnote>
  <w:footnote w:id="5">
    <w:p w14:paraId="6F637FED" w14:textId="720C8A22" w:rsidR="00306C9F" w:rsidRPr="007E442E" w:rsidRDefault="00306C9F" w:rsidP="007E442E">
      <w:pPr>
        <w:pStyle w:val="FootnoteText"/>
        <w:ind w:left="567" w:hanging="567"/>
        <w:rPr>
          <w:sz w:val="24"/>
          <w:lang w:val="lt-LT"/>
        </w:rPr>
      </w:pPr>
      <w:r w:rsidRPr="007E442E">
        <w:rPr>
          <w:rStyle w:val="FootnoteReference"/>
          <w:sz w:val="24"/>
          <w:lang w:val="lt-LT"/>
        </w:rPr>
        <w:footnoteRef/>
      </w:r>
      <w:r w:rsidR="007E442E" w:rsidRPr="007E442E">
        <w:rPr>
          <w:sz w:val="24"/>
          <w:lang w:val="lt-LT"/>
        </w:rPr>
        <w:t xml:space="preserve"> </w:t>
      </w:r>
      <w:r w:rsidR="007E442E" w:rsidRPr="007E442E">
        <w:rPr>
          <w:sz w:val="24"/>
          <w:lang w:val="lt-LT"/>
        </w:rPr>
        <w:tab/>
      </w:r>
      <w:r w:rsidRPr="007E442E">
        <w:rPr>
          <w:sz w:val="24"/>
          <w:lang w:val="lt-LT"/>
        </w:rPr>
        <w:t>2015 m. balandžio 24 d. Komisijos įgyvendinimo sprendimas (ES) 2015/684, kuriuo pagal Europos Parlamento ir Tarybos reglamentą (EB) Nr. 1829/2003 leidžiama pateikti rinkai genetiškai modifikuotus kukurūzus NK603 (MON-ØØ6Ø3-6) ir atnaujinti esamą kukurūzų NK603 (MON-ØØ6Ø3-6) produktų leidimą (OL L 112, 2015 4 30, p. 6, ELI: </w:t>
      </w:r>
      <w:hyperlink r:id="rId14" w:tooltip="Gives access to this document through its ELI URI." w:history="1">
        <w:r w:rsidRPr="007E442E">
          <w:rPr>
            <w:rStyle w:val="Hyperlink"/>
            <w:sz w:val="24"/>
            <w:lang w:val="lt-LT"/>
          </w:rPr>
          <w:t>http://data.europa.eu/eli/dec_impl/2015/684/oj</w:t>
        </w:r>
      </w:hyperlink>
      <w:r w:rsidRPr="007E442E">
        <w:rPr>
          <w:sz w:val="24"/>
          <w:lang w:val="lt-LT"/>
        </w:rPr>
        <w:t>).</w:t>
      </w:r>
    </w:p>
  </w:footnote>
  <w:footnote w:id="6">
    <w:p w14:paraId="572F8F3F" w14:textId="5FC37C29" w:rsidR="00306C9F" w:rsidRPr="005362DB" w:rsidRDefault="00306C9F" w:rsidP="007E442E">
      <w:pPr>
        <w:pStyle w:val="FootnoteText"/>
        <w:ind w:left="567" w:hanging="567"/>
        <w:rPr>
          <w:sz w:val="24"/>
          <w:lang w:val="lt-LT"/>
        </w:rPr>
      </w:pPr>
      <w:r w:rsidRPr="005362DB">
        <w:rPr>
          <w:rStyle w:val="FootnoteReference"/>
          <w:sz w:val="24"/>
          <w:lang w:val="lt-LT"/>
        </w:rPr>
        <w:footnoteRef/>
      </w:r>
      <w:r w:rsidR="007E442E" w:rsidRPr="004D49B6">
        <w:rPr>
          <w:rStyle w:val="Hyperlink"/>
          <w:color w:val="auto"/>
          <w:sz w:val="24"/>
          <w:u w:val="none"/>
          <w:lang w:val="lt-LT"/>
        </w:rPr>
        <w:t xml:space="preserve"> </w:t>
      </w:r>
      <w:r w:rsidR="007E442E" w:rsidRPr="004D49B6">
        <w:rPr>
          <w:rStyle w:val="Hyperlink"/>
          <w:color w:val="auto"/>
          <w:sz w:val="24"/>
          <w:u w:val="none"/>
          <w:lang w:val="lt-LT"/>
        </w:rPr>
        <w:tab/>
      </w:r>
      <w:r w:rsidRPr="004D49B6">
        <w:rPr>
          <w:rStyle w:val="Hyperlink"/>
          <w:color w:val="auto"/>
          <w:sz w:val="24"/>
          <w:u w:val="none"/>
          <w:lang w:val="lt-LT"/>
        </w:rPr>
        <w:t xml:space="preserve">EFSA GMO specialistų grupė, 2009 m., </w:t>
      </w:r>
      <w:r w:rsidRPr="004D49B6">
        <w:rPr>
          <w:rStyle w:val="Hyperlink"/>
          <w:noProof/>
          <w:color w:val="auto"/>
          <w:sz w:val="24"/>
          <w:u w:val="none"/>
          <w:lang w:val="lt-LT"/>
        </w:rPr>
        <w:t xml:space="preserve">„Scientific Opinion of the Panel on Genetically Modified Organisms on applications (EFSA-GMO-NL-2005-22 and EFSA-GMO-RX-NK603) for the placing on the market of the genetically modified glyphosate tolerant maize NK603 for cultivation, food and feed uses and import and processing, and for renewal of the authorisation of maize NK603 as existing product“. </w:t>
      </w:r>
      <w:r w:rsidRPr="004D49B6">
        <w:rPr>
          <w:rStyle w:val="Hyperlink"/>
          <w:i/>
          <w:noProof/>
          <w:color w:val="auto"/>
          <w:sz w:val="24"/>
          <w:u w:val="none"/>
          <w:lang w:val="lt-LT"/>
        </w:rPr>
        <w:t>EFSA Journal</w:t>
      </w:r>
      <w:r w:rsidRPr="004D49B6">
        <w:rPr>
          <w:rStyle w:val="Hyperlink"/>
          <w:noProof/>
          <w:color w:val="auto"/>
          <w:sz w:val="24"/>
          <w:u w:val="none"/>
          <w:lang w:val="lt-LT"/>
        </w:rPr>
        <w:t xml:space="preserve">, 7(6), 1137, </w:t>
      </w:r>
      <w:hyperlink r:id="rId15" w:history="1">
        <w:r w:rsidRPr="004D49B6">
          <w:rPr>
            <w:rStyle w:val="Hyperlink"/>
            <w:noProof/>
            <w:color w:val="auto"/>
            <w:sz w:val="24"/>
            <w:u w:val="none"/>
            <w:lang w:val="lt-LT"/>
          </w:rPr>
          <w:t>https://doi.org/10.2903/j.efsa.2009.1137</w:t>
        </w:r>
      </w:hyperlink>
      <w:r w:rsidRPr="004D49B6">
        <w:rPr>
          <w:rStyle w:val="Hyperlink"/>
          <w:noProof/>
          <w:color w:val="auto"/>
          <w:sz w:val="24"/>
          <w:u w:val="none"/>
          <w:lang w:val="lt-LT"/>
        </w:rPr>
        <w:t>.</w:t>
      </w:r>
    </w:p>
  </w:footnote>
  <w:footnote w:id="7">
    <w:p w14:paraId="5697504F" w14:textId="056AB4ED" w:rsidR="00306C9F" w:rsidRPr="007E442E" w:rsidRDefault="00306C9F" w:rsidP="007E442E">
      <w:pPr>
        <w:pStyle w:val="FootnoteText"/>
        <w:ind w:left="567" w:hanging="567"/>
        <w:rPr>
          <w:sz w:val="24"/>
          <w:lang w:val="lt-LT"/>
        </w:rPr>
      </w:pPr>
      <w:r w:rsidRPr="007E442E">
        <w:rPr>
          <w:rStyle w:val="FootnoteReference"/>
          <w:sz w:val="24"/>
          <w:lang w:val="lt-LT"/>
        </w:rPr>
        <w:footnoteRef/>
      </w:r>
      <w:r w:rsidR="007E442E" w:rsidRPr="007E442E">
        <w:rPr>
          <w:sz w:val="24"/>
          <w:shd w:val="clear" w:color="auto" w:fill="FFFFFF"/>
          <w:lang w:val="lt-LT"/>
        </w:rPr>
        <w:t xml:space="preserve"> </w:t>
      </w:r>
      <w:r w:rsidR="007E442E" w:rsidRPr="007E442E">
        <w:rPr>
          <w:sz w:val="24"/>
          <w:shd w:val="clear" w:color="auto" w:fill="FFFFFF"/>
          <w:lang w:val="lt-LT"/>
        </w:rPr>
        <w:tab/>
      </w:r>
      <w:r w:rsidRPr="007E442E">
        <w:rPr>
          <w:sz w:val="24"/>
          <w:shd w:val="clear" w:color="auto" w:fill="FFFFFF"/>
          <w:lang w:val="lt-LT"/>
        </w:rPr>
        <w:t xml:space="preserve">Žr., pvz., </w:t>
      </w:r>
      <w:proofErr w:type="spellStart"/>
      <w:r w:rsidRPr="007E442E">
        <w:rPr>
          <w:sz w:val="24"/>
          <w:shd w:val="clear" w:color="auto" w:fill="FFFFFF"/>
          <w:lang w:val="lt-LT"/>
        </w:rPr>
        <w:t>Bonny</w:t>
      </w:r>
      <w:proofErr w:type="spellEnd"/>
      <w:r w:rsidRPr="007E442E">
        <w:rPr>
          <w:sz w:val="24"/>
          <w:shd w:val="clear" w:color="auto" w:fill="FFFFFF"/>
          <w:lang w:val="lt-LT"/>
        </w:rPr>
        <w:t>, S., „</w:t>
      </w:r>
      <w:proofErr w:type="spellStart"/>
      <w:r w:rsidRPr="007E442E">
        <w:rPr>
          <w:sz w:val="24"/>
          <w:shd w:val="clear" w:color="auto" w:fill="FFFFFF"/>
          <w:lang w:val="lt-LT"/>
        </w:rPr>
        <w:t>Genetically</w:t>
      </w:r>
      <w:proofErr w:type="spellEnd"/>
      <w:r w:rsidRPr="007E442E">
        <w:rPr>
          <w:sz w:val="24"/>
          <w:shd w:val="clear" w:color="auto" w:fill="FFFFFF"/>
          <w:lang w:val="lt-LT"/>
        </w:rPr>
        <w:t xml:space="preserve"> </w:t>
      </w:r>
      <w:proofErr w:type="spellStart"/>
      <w:r w:rsidRPr="007E442E">
        <w:rPr>
          <w:sz w:val="24"/>
          <w:shd w:val="clear" w:color="auto" w:fill="FFFFFF"/>
          <w:lang w:val="lt-LT"/>
        </w:rPr>
        <w:t>Modified</w:t>
      </w:r>
      <w:proofErr w:type="spellEnd"/>
      <w:r w:rsidRPr="007E442E">
        <w:rPr>
          <w:sz w:val="24"/>
          <w:shd w:val="clear" w:color="auto" w:fill="FFFFFF"/>
          <w:lang w:val="lt-LT"/>
        </w:rPr>
        <w:t xml:space="preserve"> Herbicide-</w:t>
      </w:r>
      <w:proofErr w:type="spellStart"/>
      <w:r w:rsidRPr="007E442E">
        <w:rPr>
          <w:sz w:val="24"/>
          <w:shd w:val="clear" w:color="auto" w:fill="FFFFFF"/>
          <w:lang w:val="lt-LT"/>
        </w:rPr>
        <w:t>Tolerant</w:t>
      </w:r>
      <w:proofErr w:type="spellEnd"/>
      <w:r w:rsidRPr="007E442E">
        <w:rPr>
          <w:sz w:val="24"/>
          <w:shd w:val="clear" w:color="auto" w:fill="FFFFFF"/>
          <w:lang w:val="lt-LT"/>
        </w:rPr>
        <w:t xml:space="preserve"> </w:t>
      </w:r>
      <w:proofErr w:type="spellStart"/>
      <w:r w:rsidRPr="007E442E">
        <w:rPr>
          <w:sz w:val="24"/>
          <w:shd w:val="clear" w:color="auto" w:fill="FFFFFF"/>
          <w:lang w:val="lt-LT"/>
        </w:rPr>
        <w:t>Crops</w:t>
      </w:r>
      <w:proofErr w:type="spellEnd"/>
      <w:r w:rsidRPr="007E442E">
        <w:rPr>
          <w:sz w:val="24"/>
          <w:shd w:val="clear" w:color="auto" w:fill="FFFFFF"/>
          <w:lang w:val="lt-LT"/>
        </w:rPr>
        <w:t xml:space="preserve">, </w:t>
      </w:r>
      <w:proofErr w:type="spellStart"/>
      <w:r w:rsidRPr="007E442E">
        <w:rPr>
          <w:sz w:val="24"/>
          <w:shd w:val="clear" w:color="auto" w:fill="FFFFFF"/>
          <w:lang w:val="lt-LT"/>
        </w:rPr>
        <w:t>Weeds</w:t>
      </w:r>
      <w:proofErr w:type="spellEnd"/>
      <w:r w:rsidRPr="007E442E">
        <w:rPr>
          <w:sz w:val="24"/>
          <w:shd w:val="clear" w:color="auto" w:fill="FFFFFF"/>
          <w:lang w:val="lt-LT"/>
        </w:rPr>
        <w:t xml:space="preserve">, </w:t>
      </w:r>
      <w:proofErr w:type="spellStart"/>
      <w:r w:rsidRPr="007E442E">
        <w:rPr>
          <w:sz w:val="24"/>
          <w:shd w:val="clear" w:color="auto" w:fill="FFFFFF"/>
          <w:lang w:val="lt-LT"/>
        </w:rPr>
        <w:t>and</w:t>
      </w:r>
      <w:proofErr w:type="spellEnd"/>
      <w:r w:rsidRPr="007E442E">
        <w:rPr>
          <w:sz w:val="24"/>
          <w:shd w:val="clear" w:color="auto" w:fill="FFFFFF"/>
          <w:lang w:val="lt-LT"/>
        </w:rPr>
        <w:t xml:space="preserve"> </w:t>
      </w:r>
      <w:proofErr w:type="spellStart"/>
      <w:r w:rsidRPr="007E442E">
        <w:rPr>
          <w:sz w:val="24"/>
          <w:shd w:val="clear" w:color="auto" w:fill="FFFFFF"/>
          <w:lang w:val="lt-LT"/>
        </w:rPr>
        <w:t>Herbicides</w:t>
      </w:r>
      <w:proofErr w:type="spellEnd"/>
      <w:r w:rsidRPr="007E442E">
        <w:rPr>
          <w:sz w:val="24"/>
          <w:shd w:val="clear" w:color="auto" w:fill="FFFFFF"/>
          <w:lang w:val="lt-LT"/>
        </w:rPr>
        <w:t xml:space="preserve">: </w:t>
      </w:r>
      <w:proofErr w:type="spellStart"/>
      <w:r w:rsidRPr="007E442E">
        <w:rPr>
          <w:sz w:val="24"/>
          <w:shd w:val="clear" w:color="auto" w:fill="FFFFFF"/>
          <w:lang w:val="lt-LT"/>
        </w:rPr>
        <w:t>Overview</w:t>
      </w:r>
      <w:proofErr w:type="spellEnd"/>
      <w:r w:rsidRPr="007E442E">
        <w:rPr>
          <w:sz w:val="24"/>
          <w:shd w:val="clear" w:color="auto" w:fill="FFFFFF"/>
          <w:lang w:val="lt-LT"/>
        </w:rPr>
        <w:t xml:space="preserve"> </w:t>
      </w:r>
      <w:proofErr w:type="spellStart"/>
      <w:r w:rsidRPr="007E442E">
        <w:rPr>
          <w:sz w:val="24"/>
          <w:shd w:val="clear" w:color="auto" w:fill="FFFFFF"/>
          <w:lang w:val="lt-LT"/>
        </w:rPr>
        <w:t>and</w:t>
      </w:r>
      <w:proofErr w:type="spellEnd"/>
      <w:r w:rsidRPr="007E442E">
        <w:rPr>
          <w:sz w:val="24"/>
          <w:shd w:val="clear" w:color="auto" w:fill="FFFFFF"/>
          <w:lang w:val="lt-LT"/>
        </w:rPr>
        <w:t xml:space="preserve"> </w:t>
      </w:r>
      <w:proofErr w:type="spellStart"/>
      <w:r w:rsidRPr="007E442E">
        <w:rPr>
          <w:sz w:val="24"/>
          <w:shd w:val="clear" w:color="auto" w:fill="FFFFFF"/>
          <w:lang w:val="lt-LT"/>
        </w:rPr>
        <w:t>Impact</w:t>
      </w:r>
      <w:proofErr w:type="spellEnd"/>
      <w:r w:rsidRPr="007E442E">
        <w:rPr>
          <w:sz w:val="24"/>
          <w:shd w:val="clear" w:color="auto" w:fill="FFFFFF"/>
          <w:lang w:val="lt-LT"/>
        </w:rPr>
        <w:t xml:space="preserve">“, </w:t>
      </w:r>
      <w:proofErr w:type="spellStart"/>
      <w:r w:rsidRPr="007E442E">
        <w:rPr>
          <w:i/>
          <w:sz w:val="24"/>
          <w:shd w:val="clear" w:color="auto" w:fill="FFFFFF"/>
          <w:lang w:val="lt-LT"/>
        </w:rPr>
        <w:t>Environmental</w:t>
      </w:r>
      <w:proofErr w:type="spellEnd"/>
      <w:r w:rsidRPr="007E442E">
        <w:rPr>
          <w:i/>
          <w:sz w:val="24"/>
          <w:shd w:val="clear" w:color="auto" w:fill="FFFFFF"/>
          <w:lang w:val="lt-LT"/>
        </w:rPr>
        <w:t xml:space="preserve"> </w:t>
      </w:r>
      <w:proofErr w:type="spellStart"/>
      <w:r w:rsidRPr="007E442E">
        <w:rPr>
          <w:i/>
          <w:sz w:val="24"/>
          <w:shd w:val="clear" w:color="auto" w:fill="FFFFFF"/>
          <w:lang w:val="lt-LT"/>
        </w:rPr>
        <w:t>Management</w:t>
      </w:r>
      <w:proofErr w:type="spellEnd"/>
      <w:r w:rsidRPr="007E442E">
        <w:rPr>
          <w:sz w:val="24"/>
          <w:shd w:val="clear" w:color="auto" w:fill="FFFFFF"/>
          <w:lang w:val="lt-LT"/>
        </w:rPr>
        <w:t xml:space="preserve">, 2016 m. sausio mėn., 57(1), p. 31–48, </w:t>
      </w:r>
      <w:hyperlink r:id="rId16" w:history="1">
        <w:r w:rsidRPr="007E442E">
          <w:rPr>
            <w:rStyle w:val="Hyperlink"/>
            <w:sz w:val="24"/>
            <w:shd w:val="clear" w:color="auto" w:fill="FFFFFF"/>
            <w:lang w:val="lt-LT"/>
          </w:rPr>
          <w:t>https://doi.org/10.1007/s00267-015-0589-7</w:t>
        </w:r>
      </w:hyperlink>
      <w:r w:rsidRPr="007E442E">
        <w:rPr>
          <w:sz w:val="24"/>
          <w:shd w:val="clear" w:color="auto" w:fill="FFFFFF"/>
          <w:lang w:val="lt-LT"/>
        </w:rPr>
        <w:t xml:space="preserve"> ir </w:t>
      </w:r>
      <w:proofErr w:type="spellStart"/>
      <w:r w:rsidRPr="007E442E">
        <w:rPr>
          <w:sz w:val="24"/>
          <w:shd w:val="clear" w:color="auto" w:fill="FFFFFF"/>
          <w:lang w:val="lt-LT"/>
        </w:rPr>
        <w:t>Benbrook</w:t>
      </w:r>
      <w:proofErr w:type="spellEnd"/>
      <w:r w:rsidRPr="007E442E">
        <w:rPr>
          <w:sz w:val="24"/>
          <w:shd w:val="clear" w:color="auto" w:fill="FFFFFF"/>
          <w:lang w:val="lt-LT"/>
        </w:rPr>
        <w:t>, C. M., „</w:t>
      </w:r>
      <w:proofErr w:type="spellStart"/>
      <w:r w:rsidRPr="007E442E">
        <w:rPr>
          <w:sz w:val="24"/>
          <w:shd w:val="clear" w:color="auto" w:fill="FFFFFF"/>
          <w:lang w:val="lt-LT"/>
        </w:rPr>
        <w:t>Impacts</w:t>
      </w:r>
      <w:proofErr w:type="spellEnd"/>
      <w:r w:rsidRPr="007E442E">
        <w:rPr>
          <w:sz w:val="24"/>
          <w:shd w:val="clear" w:color="auto" w:fill="FFFFFF"/>
          <w:lang w:val="lt-LT"/>
        </w:rPr>
        <w:t xml:space="preserve"> </w:t>
      </w:r>
      <w:proofErr w:type="spellStart"/>
      <w:r w:rsidRPr="007E442E">
        <w:rPr>
          <w:sz w:val="24"/>
          <w:shd w:val="clear" w:color="auto" w:fill="FFFFFF"/>
          <w:lang w:val="lt-LT"/>
        </w:rPr>
        <w:t>of</w:t>
      </w:r>
      <w:proofErr w:type="spellEnd"/>
      <w:r w:rsidRPr="007E442E">
        <w:rPr>
          <w:sz w:val="24"/>
          <w:shd w:val="clear" w:color="auto" w:fill="FFFFFF"/>
          <w:lang w:val="lt-LT"/>
        </w:rPr>
        <w:t xml:space="preserve"> </w:t>
      </w:r>
      <w:proofErr w:type="spellStart"/>
      <w:r w:rsidRPr="007E442E">
        <w:rPr>
          <w:sz w:val="24"/>
          <w:shd w:val="clear" w:color="auto" w:fill="FFFFFF"/>
          <w:lang w:val="lt-LT"/>
        </w:rPr>
        <w:t>genetically</w:t>
      </w:r>
      <w:proofErr w:type="spellEnd"/>
      <w:r w:rsidRPr="007E442E">
        <w:rPr>
          <w:sz w:val="24"/>
          <w:shd w:val="clear" w:color="auto" w:fill="FFFFFF"/>
          <w:lang w:val="lt-LT"/>
        </w:rPr>
        <w:t xml:space="preserve"> </w:t>
      </w:r>
      <w:proofErr w:type="spellStart"/>
      <w:r w:rsidRPr="007E442E">
        <w:rPr>
          <w:sz w:val="24"/>
          <w:shd w:val="clear" w:color="auto" w:fill="FFFFFF"/>
          <w:lang w:val="lt-LT"/>
        </w:rPr>
        <w:t>engineered</w:t>
      </w:r>
      <w:proofErr w:type="spellEnd"/>
      <w:r w:rsidRPr="007E442E">
        <w:rPr>
          <w:sz w:val="24"/>
          <w:shd w:val="clear" w:color="auto" w:fill="FFFFFF"/>
          <w:lang w:val="lt-LT"/>
        </w:rPr>
        <w:t xml:space="preserve"> </w:t>
      </w:r>
      <w:proofErr w:type="spellStart"/>
      <w:r w:rsidRPr="007E442E">
        <w:rPr>
          <w:sz w:val="24"/>
          <w:shd w:val="clear" w:color="auto" w:fill="FFFFFF"/>
          <w:lang w:val="lt-LT"/>
        </w:rPr>
        <w:t>crops</w:t>
      </w:r>
      <w:proofErr w:type="spellEnd"/>
      <w:r w:rsidRPr="007E442E">
        <w:rPr>
          <w:sz w:val="24"/>
          <w:shd w:val="clear" w:color="auto" w:fill="FFFFFF"/>
          <w:lang w:val="lt-LT"/>
        </w:rPr>
        <w:t xml:space="preserve"> </w:t>
      </w:r>
      <w:proofErr w:type="spellStart"/>
      <w:r w:rsidRPr="007E442E">
        <w:rPr>
          <w:sz w:val="24"/>
          <w:shd w:val="clear" w:color="auto" w:fill="FFFFFF"/>
          <w:lang w:val="lt-LT"/>
        </w:rPr>
        <w:t>on</w:t>
      </w:r>
      <w:proofErr w:type="spellEnd"/>
      <w:r w:rsidRPr="007E442E">
        <w:rPr>
          <w:sz w:val="24"/>
          <w:shd w:val="clear" w:color="auto" w:fill="FFFFFF"/>
          <w:lang w:val="lt-LT"/>
        </w:rPr>
        <w:t xml:space="preserve"> pesticide </w:t>
      </w:r>
      <w:proofErr w:type="spellStart"/>
      <w:r w:rsidRPr="007E442E">
        <w:rPr>
          <w:sz w:val="24"/>
          <w:shd w:val="clear" w:color="auto" w:fill="FFFFFF"/>
          <w:lang w:val="lt-LT"/>
        </w:rPr>
        <w:t>use</w:t>
      </w:r>
      <w:proofErr w:type="spellEnd"/>
      <w:r w:rsidRPr="007E442E">
        <w:rPr>
          <w:sz w:val="24"/>
          <w:shd w:val="clear" w:color="auto" w:fill="FFFFFF"/>
          <w:lang w:val="lt-LT"/>
        </w:rPr>
        <w:t xml:space="preserve"> </w:t>
      </w:r>
      <w:proofErr w:type="spellStart"/>
      <w:r w:rsidRPr="007E442E">
        <w:rPr>
          <w:sz w:val="24"/>
          <w:shd w:val="clear" w:color="auto" w:fill="FFFFFF"/>
          <w:lang w:val="lt-LT"/>
        </w:rPr>
        <w:t>in</w:t>
      </w:r>
      <w:proofErr w:type="spellEnd"/>
      <w:r w:rsidRPr="007E442E">
        <w:rPr>
          <w:sz w:val="24"/>
          <w:shd w:val="clear" w:color="auto" w:fill="FFFFFF"/>
          <w:lang w:val="lt-LT"/>
        </w:rPr>
        <w:t xml:space="preserve"> </w:t>
      </w:r>
      <w:proofErr w:type="spellStart"/>
      <w:r w:rsidRPr="007E442E">
        <w:rPr>
          <w:sz w:val="24"/>
          <w:shd w:val="clear" w:color="auto" w:fill="FFFFFF"/>
          <w:lang w:val="lt-LT"/>
        </w:rPr>
        <w:t>the</w:t>
      </w:r>
      <w:proofErr w:type="spellEnd"/>
      <w:r w:rsidRPr="007E442E">
        <w:rPr>
          <w:sz w:val="24"/>
          <w:shd w:val="clear" w:color="auto" w:fill="FFFFFF"/>
          <w:lang w:val="lt-LT"/>
        </w:rPr>
        <w:t xml:space="preserve"> U.S. – </w:t>
      </w:r>
      <w:proofErr w:type="spellStart"/>
      <w:r w:rsidRPr="007E442E">
        <w:rPr>
          <w:sz w:val="24"/>
          <w:shd w:val="clear" w:color="auto" w:fill="FFFFFF"/>
          <w:lang w:val="lt-LT"/>
        </w:rPr>
        <w:t>the</w:t>
      </w:r>
      <w:proofErr w:type="spellEnd"/>
      <w:r w:rsidRPr="007E442E">
        <w:rPr>
          <w:sz w:val="24"/>
          <w:shd w:val="clear" w:color="auto" w:fill="FFFFFF"/>
          <w:lang w:val="lt-LT"/>
        </w:rPr>
        <w:t xml:space="preserve"> </w:t>
      </w:r>
      <w:proofErr w:type="spellStart"/>
      <w:r w:rsidRPr="007E442E">
        <w:rPr>
          <w:sz w:val="24"/>
          <w:shd w:val="clear" w:color="auto" w:fill="FFFFFF"/>
          <w:lang w:val="lt-LT"/>
        </w:rPr>
        <w:t>first</w:t>
      </w:r>
      <w:proofErr w:type="spellEnd"/>
      <w:r w:rsidRPr="007E442E">
        <w:rPr>
          <w:sz w:val="24"/>
          <w:shd w:val="clear" w:color="auto" w:fill="FFFFFF"/>
          <w:lang w:val="lt-LT"/>
        </w:rPr>
        <w:t xml:space="preserve"> </w:t>
      </w:r>
      <w:proofErr w:type="spellStart"/>
      <w:r w:rsidRPr="007E442E">
        <w:rPr>
          <w:sz w:val="24"/>
          <w:shd w:val="clear" w:color="auto" w:fill="FFFFFF"/>
          <w:lang w:val="lt-LT"/>
        </w:rPr>
        <w:t>sixteen</w:t>
      </w:r>
      <w:proofErr w:type="spellEnd"/>
      <w:r w:rsidRPr="007E442E">
        <w:rPr>
          <w:sz w:val="24"/>
          <w:shd w:val="clear" w:color="auto" w:fill="FFFFFF"/>
          <w:lang w:val="lt-LT"/>
        </w:rPr>
        <w:t xml:space="preserve"> </w:t>
      </w:r>
      <w:proofErr w:type="spellStart"/>
      <w:r w:rsidRPr="007E442E">
        <w:rPr>
          <w:sz w:val="24"/>
          <w:shd w:val="clear" w:color="auto" w:fill="FFFFFF"/>
          <w:lang w:val="lt-LT"/>
        </w:rPr>
        <w:t>years</w:t>
      </w:r>
      <w:proofErr w:type="spellEnd"/>
      <w:r w:rsidRPr="007E442E">
        <w:rPr>
          <w:sz w:val="24"/>
          <w:shd w:val="clear" w:color="auto" w:fill="FFFFFF"/>
          <w:lang w:val="lt-LT"/>
        </w:rPr>
        <w:t xml:space="preserve">“, </w:t>
      </w:r>
      <w:proofErr w:type="spellStart"/>
      <w:r w:rsidRPr="007E442E">
        <w:rPr>
          <w:i/>
          <w:sz w:val="24"/>
          <w:shd w:val="clear" w:color="auto" w:fill="FFFFFF"/>
          <w:lang w:val="lt-LT"/>
        </w:rPr>
        <w:t>Environmental</w:t>
      </w:r>
      <w:proofErr w:type="spellEnd"/>
      <w:r w:rsidRPr="007E442E">
        <w:rPr>
          <w:i/>
          <w:sz w:val="24"/>
          <w:shd w:val="clear" w:color="auto" w:fill="FFFFFF"/>
          <w:lang w:val="lt-LT"/>
        </w:rPr>
        <w:t xml:space="preserve"> </w:t>
      </w:r>
      <w:proofErr w:type="spellStart"/>
      <w:r w:rsidRPr="007E442E">
        <w:rPr>
          <w:i/>
          <w:sz w:val="24"/>
          <w:shd w:val="clear" w:color="auto" w:fill="FFFFFF"/>
          <w:lang w:val="lt-LT"/>
        </w:rPr>
        <w:t>Sciences</w:t>
      </w:r>
      <w:proofErr w:type="spellEnd"/>
      <w:r w:rsidRPr="007E442E">
        <w:rPr>
          <w:i/>
          <w:sz w:val="24"/>
          <w:shd w:val="clear" w:color="auto" w:fill="FFFFFF"/>
          <w:lang w:val="lt-LT"/>
        </w:rPr>
        <w:t xml:space="preserve"> </w:t>
      </w:r>
      <w:proofErr w:type="spellStart"/>
      <w:r w:rsidRPr="007E442E">
        <w:rPr>
          <w:i/>
          <w:sz w:val="24"/>
          <w:shd w:val="clear" w:color="auto" w:fill="FFFFFF"/>
          <w:lang w:val="lt-LT"/>
        </w:rPr>
        <w:t>Europe</w:t>
      </w:r>
      <w:proofErr w:type="spellEnd"/>
      <w:r w:rsidRPr="007E442E">
        <w:rPr>
          <w:sz w:val="24"/>
          <w:shd w:val="clear" w:color="auto" w:fill="FFFFFF"/>
          <w:lang w:val="lt-LT"/>
        </w:rPr>
        <w:t xml:space="preserve">, 2012 m. rugsėjo 28 d., </w:t>
      </w:r>
      <w:proofErr w:type="spellStart"/>
      <w:r w:rsidRPr="007E442E">
        <w:rPr>
          <w:sz w:val="24"/>
          <w:shd w:val="clear" w:color="auto" w:fill="FFFFFF"/>
          <w:lang w:val="lt-LT"/>
        </w:rPr>
        <w:t>Vol</w:t>
      </w:r>
      <w:proofErr w:type="spellEnd"/>
      <w:r w:rsidRPr="007E442E">
        <w:rPr>
          <w:sz w:val="24"/>
          <w:shd w:val="clear" w:color="auto" w:fill="FFFFFF"/>
          <w:lang w:val="lt-LT"/>
        </w:rPr>
        <w:t xml:space="preserve">. 24(1), </w:t>
      </w:r>
      <w:hyperlink r:id="rId17" w:history="1">
        <w:r w:rsidRPr="007E442E">
          <w:rPr>
            <w:rStyle w:val="Hyperlink"/>
            <w:sz w:val="24"/>
            <w:shd w:val="clear" w:color="auto" w:fill="FFFFFF"/>
            <w:lang w:val="lt-LT"/>
          </w:rPr>
          <w:t>https://doi.org/10.1186/2190-4715-24-24</w:t>
        </w:r>
      </w:hyperlink>
      <w:r w:rsidRPr="007E442E">
        <w:rPr>
          <w:sz w:val="24"/>
          <w:shd w:val="clear" w:color="auto" w:fill="FFFFFF"/>
          <w:lang w:val="lt-LT"/>
        </w:rPr>
        <w:t>.</w:t>
      </w:r>
    </w:p>
  </w:footnote>
  <w:footnote w:id="8">
    <w:p w14:paraId="79967284" w14:textId="46DB3666" w:rsidR="00306C9F" w:rsidRPr="007E442E" w:rsidRDefault="00306C9F" w:rsidP="007E442E">
      <w:pPr>
        <w:pStyle w:val="FootnoteText"/>
        <w:ind w:left="567" w:hanging="567"/>
        <w:rPr>
          <w:sz w:val="24"/>
          <w:lang w:val="lt-LT"/>
        </w:rPr>
      </w:pPr>
      <w:r w:rsidRPr="007E442E">
        <w:rPr>
          <w:rStyle w:val="FootnoteReference"/>
          <w:sz w:val="24"/>
          <w:lang w:val="lt-LT"/>
        </w:rPr>
        <w:footnoteRef/>
      </w:r>
      <w:r w:rsidR="007E442E" w:rsidRPr="007E442E">
        <w:rPr>
          <w:sz w:val="24"/>
          <w:lang w:val="lt-LT"/>
        </w:rPr>
        <w:t xml:space="preserve"> </w:t>
      </w:r>
      <w:r w:rsidR="007E442E" w:rsidRPr="007E442E">
        <w:rPr>
          <w:sz w:val="24"/>
          <w:lang w:val="lt-LT"/>
        </w:rPr>
        <w:tab/>
      </w:r>
      <w:r w:rsidRPr="007E442E">
        <w:rPr>
          <w:sz w:val="24"/>
          <w:lang w:val="lt-LT"/>
        </w:rPr>
        <w:t xml:space="preserve">Žr., pavyzdžiui: </w:t>
      </w:r>
      <w:r w:rsidR="0008662E" w:rsidRPr="007E442E">
        <w:rPr>
          <w:sz w:val="24"/>
          <w:lang w:val="lt-LT"/>
        </w:rPr>
        <w:br/>
      </w:r>
      <w:hyperlink r:id="rId18" w:history="1">
        <w:r w:rsidRPr="007E442E">
          <w:rPr>
            <w:rStyle w:val="Hyperlink"/>
            <w:sz w:val="24"/>
            <w:lang w:val="lt-LT"/>
          </w:rPr>
          <w:t>https://doi.org/10.1002/ps.8105</w:t>
        </w:r>
      </w:hyperlink>
      <w:r w:rsidRPr="007E442E">
        <w:rPr>
          <w:sz w:val="24"/>
          <w:lang w:val="lt-LT"/>
        </w:rPr>
        <w:t>,</w:t>
      </w:r>
      <w:r w:rsidR="0008662E" w:rsidRPr="007E442E">
        <w:rPr>
          <w:sz w:val="24"/>
          <w:lang w:val="lt-LT"/>
        </w:rPr>
        <w:br/>
      </w:r>
      <w:hyperlink r:id="rId19" w:tgtFrame="_blank" w:tooltip="Persistent link using digital object identifier" w:history="1">
        <w:r w:rsidRPr="007E442E">
          <w:rPr>
            <w:rStyle w:val="Hyperlink"/>
            <w:sz w:val="24"/>
            <w:lang w:val="lt-LT"/>
          </w:rPr>
          <w:t>https://doi.org/10.1016/j.geoforum.2009.03.009</w:t>
        </w:r>
      </w:hyperlink>
      <w:r w:rsidRPr="007E442E">
        <w:rPr>
          <w:sz w:val="24"/>
          <w:lang w:val="lt-LT"/>
        </w:rPr>
        <w:t>.</w:t>
      </w:r>
    </w:p>
  </w:footnote>
  <w:footnote w:id="9">
    <w:p w14:paraId="1BB42D10" w14:textId="1F703AFD" w:rsidR="00306C9F" w:rsidRPr="007E442E" w:rsidRDefault="00306C9F" w:rsidP="007E442E">
      <w:pPr>
        <w:pStyle w:val="FootnoteText"/>
        <w:ind w:left="567" w:hanging="567"/>
        <w:rPr>
          <w:sz w:val="24"/>
          <w:lang w:val="lt-LT"/>
        </w:rPr>
      </w:pPr>
      <w:r w:rsidRPr="007E442E">
        <w:rPr>
          <w:rStyle w:val="FootnoteReference"/>
          <w:sz w:val="24"/>
          <w:lang w:val="lt-LT"/>
        </w:rPr>
        <w:footnoteRef/>
      </w:r>
      <w:r w:rsidR="007E442E" w:rsidRPr="007E442E">
        <w:rPr>
          <w:sz w:val="24"/>
          <w:lang w:val="lt-LT"/>
        </w:rPr>
        <w:t xml:space="preserve"> </w:t>
      </w:r>
      <w:r w:rsidR="007E442E" w:rsidRPr="007E442E">
        <w:rPr>
          <w:sz w:val="24"/>
          <w:lang w:val="lt-LT"/>
        </w:rPr>
        <w:tab/>
      </w:r>
      <w:r w:rsidRPr="007E442E">
        <w:rPr>
          <w:sz w:val="24"/>
          <w:lang w:val="lt-LT"/>
        </w:rPr>
        <w:t>Žr., pavyzdžiui:</w:t>
      </w:r>
      <w:r w:rsidRPr="007E442E">
        <w:rPr>
          <w:sz w:val="24"/>
          <w:lang w:val="lt-LT"/>
        </w:rPr>
        <w:br/>
      </w:r>
      <w:hyperlink r:id="rId20" w:tgtFrame="_blank" w:tooltip="Persistent link using digital object identifier" w:history="1">
        <w:r w:rsidRPr="007E442E">
          <w:rPr>
            <w:rStyle w:val="Hyperlink"/>
            <w:sz w:val="24"/>
            <w:lang w:val="lt-LT"/>
          </w:rPr>
          <w:t>https://doi.org/10.1016/j.mrrev.2019.02.001</w:t>
        </w:r>
      </w:hyperlink>
      <w:r w:rsidRPr="007E442E">
        <w:rPr>
          <w:sz w:val="24"/>
          <w:lang w:val="lt-LT"/>
        </w:rPr>
        <w:t>,</w:t>
      </w:r>
      <w:r w:rsidRPr="007E442E">
        <w:rPr>
          <w:sz w:val="24"/>
          <w:lang w:val="lt-LT"/>
        </w:rPr>
        <w:br/>
      </w:r>
      <w:hyperlink r:id="rId21" w:history="1">
        <w:r w:rsidRPr="007E442E">
          <w:rPr>
            <w:rStyle w:val="Hyperlink"/>
            <w:sz w:val="24"/>
            <w:lang w:val="lt-LT"/>
          </w:rPr>
          <w:t>https://doi.org/10.1093/ije/dyz017</w:t>
        </w:r>
      </w:hyperlink>
      <w:r w:rsidRPr="007E442E">
        <w:rPr>
          <w:sz w:val="24"/>
          <w:lang w:val="lt-LT"/>
        </w:rPr>
        <w:t>,</w:t>
      </w:r>
      <w:r w:rsidRPr="007E442E">
        <w:rPr>
          <w:sz w:val="24"/>
          <w:lang w:val="lt-LT"/>
        </w:rPr>
        <w:br/>
      </w:r>
      <w:hyperlink r:id="rId22" w:history="1">
        <w:r w:rsidRPr="007E442E">
          <w:rPr>
            <w:rStyle w:val="Hyperlink"/>
            <w:sz w:val="24"/>
            <w:lang w:val="lt-LT"/>
          </w:rPr>
          <w:t>https://doi.org/10.1371/journal.pone.0219610</w:t>
        </w:r>
      </w:hyperlink>
      <w:r w:rsidRPr="007E442E">
        <w:rPr>
          <w:sz w:val="24"/>
          <w:lang w:val="lt-LT"/>
        </w:rPr>
        <w:t xml:space="preserve"> ir</w:t>
      </w:r>
      <w:r w:rsidRPr="007E442E">
        <w:rPr>
          <w:sz w:val="24"/>
          <w:lang w:val="lt-LT"/>
        </w:rPr>
        <w:br/>
      </w:r>
      <w:hyperlink r:id="rId23" w:history="1">
        <w:r w:rsidRPr="007E442E">
          <w:rPr>
            <w:rStyle w:val="Hyperlink"/>
            <w:sz w:val="24"/>
            <w:lang w:val="lt-LT"/>
          </w:rPr>
          <w:t>https://doi.org/10.1186/s13045-019-0767-9</w:t>
        </w:r>
      </w:hyperlink>
      <w:r w:rsidRPr="007E442E">
        <w:rPr>
          <w:sz w:val="24"/>
          <w:lang w:val="lt-LT"/>
        </w:rPr>
        <w:t>.</w:t>
      </w:r>
    </w:p>
  </w:footnote>
  <w:footnote w:id="10">
    <w:p w14:paraId="6A318312" w14:textId="7CB2FDC5" w:rsidR="00306C9F" w:rsidRPr="007E442E" w:rsidRDefault="00306C9F" w:rsidP="007E442E">
      <w:pPr>
        <w:pStyle w:val="FootnoteText"/>
        <w:ind w:left="567" w:hanging="567"/>
        <w:rPr>
          <w:sz w:val="24"/>
          <w:lang w:val="lt-LT"/>
        </w:rPr>
      </w:pPr>
      <w:r w:rsidRPr="007E442E">
        <w:rPr>
          <w:rStyle w:val="FootnoteReference"/>
          <w:sz w:val="24"/>
          <w:lang w:val="lt-LT"/>
        </w:rPr>
        <w:footnoteRef/>
      </w:r>
      <w:r w:rsidR="007E442E" w:rsidRPr="007E442E">
        <w:rPr>
          <w:color w:val="000000" w:themeColor="text1"/>
          <w:sz w:val="24"/>
          <w:lang w:val="lt-LT"/>
        </w:rPr>
        <w:t xml:space="preserve"> </w:t>
      </w:r>
      <w:r w:rsidR="007E442E" w:rsidRPr="007E442E">
        <w:rPr>
          <w:color w:val="000000" w:themeColor="text1"/>
          <w:sz w:val="24"/>
          <w:lang w:val="lt-LT"/>
        </w:rPr>
        <w:tab/>
      </w:r>
      <w:r w:rsidRPr="007E442E">
        <w:rPr>
          <w:color w:val="000000" w:themeColor="text1"/>
          <w:sz w:val="24"/>
          <w:lang w:val="lt-LT"/>
        </w:rPr>
        <w:t>2022 m. gruodžio mėn. Jungtinių Tautų biologinės įvairovės konvencijos COP15 metu susitarta dėl pasaulinės biologinės įvairovės strategijos, į kurią įtrauktas pasaulinis tikslas iki 2030 m. bent</w:t>
      </w:r>
      <w:r w:rsidRPr="007E442E">
        <w:rPr>
          <w:sz w:val="24"/>
          <w:lang w:val="lt-LT"/>
        </w:rPr>
        <w:t> </w:t>
      </w:r>
      <w:r w:rsidRPr="007E442E">
        <w:rPr>
          <w:color w:val="000000" w:themeColor="text1"/>
          <w:sz w:val="24"/>
          <w:lang w:val="lt-LT"/>
        </w:rPr>
        <w:t xml:space="preserve">50 proc. sumažinti pesticidų keliamą riziką (žr. </w:t>
      </w:r>
      <w:hyperlink r:id="rId24" w:history="1">
        <w:r w:rsidRPr="007E442E">
          <w:rPr>
            <w:rStyle w:val="Hyperlink"/>
            <w:sz w:val="24"/>
            <w:lang w:val="lt-LT"/>
          </w:rPr>
          <w:t>https://ec.europa.eu/commission/presscorner/detail/lt/ip_22_7834</w:t>
        </w:r>
      </w:hyperlink>
      <w:r w:rsidRPr="007E442E">
        <w:rPr>
          <w:sz w:val="24"/>
          <w:lang w:val="lt-LT"/>
        </w:rPr>
        <w:t>).</w:t>
      </w:r>
    </w:p>
  </w:footnote>
  <w:footnote w:id="11">
    <w:p w14:paraId="087E3597" w14:textId="76D77B16" w:rsidR="00306C9F" w:rsidRPr="007E442E" w:rsidRDefault="00306C9F" w:rsidP="007E442E">
      <w:pPr>
        <w:pStyle w:val="FootnoteText"/>
        <w:ind w:left="567" w:hanging="567"/>
        <w:rPr>
          <w:sz w:val="24"/>
          <w:lang w:val="lt-LT"/>
        </w:rPr>
      </w:pPr>
      <w:r w:rsidRPr="007E442E">
        <w:rPr>
          <w:rStyle w:val="FootnoteReference"/>
          <w:sz w:val="24"/>
          <w:lang w:val="lt-LT"/>
        </w:rPr>
        <w:footnoteRef/>
      </w:r>
      <w:r w:rsidR="007E442E" w:rsidRPr="007E442E">
        <w:rPr>
          <w:sz w:val="24"/>
          <w:lang w:val="lt-LT"/>
        </w:rPr>
        <w:t xml:space="preserve"> </w:t>
      </w:r>
      <w:r w:rsidR="007E442E" w:rsidRPr="007E442E">
        <w:rPr>
          <w:sz w:val="24"/>
          <w:lang w:val="lt-LT"/>
        </w:rPr>
        <w:tab/>
      </w:r>
      <w:hyperlink r:id="rId25" w:history="1">
        <w:r w:rsidRPr="007E442E">
          <w:rPr>
            <w:rStyle w:val="Hyperlink"/>
            <w:sz w:val="24"/>
            <w:lang w:val="lt-LT"/>
          </w:rPr>
          <w:t>https://commission.europa.eu/topics/agriculture-and-rural-development/strategic-dialogue-future-eu-agriculture_lt</w:t>
        </w:r>
      </w:hyperlink>
      <w:r w:rsidRPr="007E442E">
        <w:rPr>
          <w:rStyle w:val="Hyperlink"/>
          <w:sz w:val="24"/>
          <w:lang w:val="lt-LT"/>
        </w:rPr>
        <w:t>.</w:t>
      </w:r>
      <w:r w:rsidRPr="007E442E">
        <w:rPr>
          <w:sz w:val="24"/>
          <w:lang w:val="lt-LT"/>
        </w:rPr>
        <w:t xml:space="preserve"> </w:t>
      </w:r>
    </w:p>
  </w:footnote>
  <w:footnote w:id="12">
    <w:p w14:paraId="6CDA927B" w14:textId="533B7B5B" w:rsidR="00306C9F" w:rsidRPr="007E442E" w:rsidRDefault="00306C9F" w:rsidP="007E442E">
      <w:pPr>
        <w:pStyle w:val="FootnoteText"/>
        <w:ind w:left="567" w:hanging="567"/>
        <w:rPr>
          <w:sz w:val="24"/>
          <w:lang w:val="lt-LT"/>
        </w:rPr>
      </w:pPr>
      <w:r w:rsidRPr="007E442E">
        <w:rPr>
          <w:rStyle w:val="FootnoteReference"/>
          <w:sz w:val="24"/>
          <w:lang w:val="lt-LT"/>
        </w:rPr>
        <w:footnoteRef/>
      </w:r>
      <w:r w:rsidR="007E442E" w:rsidRPr="007E442E">
        <w:rPr>
          <w:sz w:val="24"/>
          <w:lang w:val="lt-LT"/>
        </w:rPr>
        <w:t xml:space="preserve"> </w:t>
      </w:r>
      <w:r w:rsidR="007E442E" w:rsidRPr="007E442E">
        <w:rPr>
          <w:sz w:val="24"/>
          <w:lang w:val="lt-LT"/>
        </w:rPr>
        <w:tab/>
      </w:r>
      <w:r w:rsidRPr="007E442E">
        <w:rPr>
          <w:sz w:val="24"/>
          <w:lang w:val="lt-LT"/>
        </w:rPr>
        <w:t>2002 m. sausio 28 d. Europos Parlamento ir Tarybos reglamentas (EB) Nr. 178/2002, nustatantis maistui skirtų teisės aktų bendruosius principus ir reikalavimus, įsteigiantis Europos maisto saugos tarnybą ir nustatantis su maisto saugos klausimais susijusias procedūras, (OL L 31, 2002 2 1, p. 1, ELI: </w:t>
      </w:r>
      <w:hyperlink r:id="rId26" w:tgtFrame="Gives%20access%20to%20this%20document%20through%20its%20ELI%20URI." w:history="1">
        <w:r w:rsidRPr="007E442E">
          <w:rPr>
            <w:rStyle w:val="Hyperlink"/>
            <w:sz w:val="24"/>
            <w:lang w:val="lt-LT"/>
          </w:rPr>
          <w:t>http://data.europa.eu/eli/reg/2002/178/oj</w:t>
        </w:r>
      </w:hyperlink>
      <w:r w:rsidRPr="007E442E">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4669720">
    <w:abstractNumId w:val="9"/>
  </w:num>
  <w:num w:numId="2" w16cid:durableId="354431450">
    <w:abstractNumId w:val="9"/>
  </w:num>
  <w:num w:numId="3" w16cid:durableId="2108428657">
    <w:abstractNumId w:val="7"/>
  </w:num>
  <w:num w:numId="4" w16cid:durableId="1701473096">
    <w:abstractNumId w:val="7"/>
  </w:num>
  <w:num w:numId="5" w16cid:durableId="1103454500">
    <w:abstractNumId w:val="6"/>
  </w:num>
  <w:num w:numId="6" w16cid:durableId="1785880293">
    <w:abstractNumId w:val="6"/>
  </w:num>
  <w:num w:numId="7" w16cid:durableId="1818523427">
    <w:abstractNumId w:val="5"/>
  </w:num>
  <w:num w:numId="8" w16cid:durableId="1074939137">
    <w:abstractNumId w:val="5"/>
  </w:num>
  <w:num w:numId="9" w16cid:durableId="191889668">
    <w:abstractNumId w:val="4"/>
  </w:num>
  <w:num w:numId="10" w16cid:durableId="389307487">
    <w:abstractNumId w:val="4"/>
  </w:num>
  <w:num w:numId="11" w16cid:durableId="1953441245">
    <w:abstractNumId w:val="8"/>
  </w:num>
  <w:num w:numId="12" w16cid:durableId="46031334">
    <w:abstractNumId w:val="8"/>
  </w:num>
  <w:num w:numId="13" w16cid:durableId="2030253022">
    <w:abstractNumId w:val="3"/>
  </w:num>
  <w:num w:numId="14" w16cid:durableId="773063378">
    <w:abstractNumId w:val="3"/>
  </w:num>
  <w:num w:numId="15" w16cid:durableId="1938246318">
    <w:abstractNumId w:val="2"/>
  </w:num>
  <w:num w:numId="16" w16cid:durableId="331178711">
    <w:abstractNumId w:val="2"/>
  </w:num>
  <w:num w:numId="17" w16cid:durableId="801339488">
    <w:abstractNumId w:val="1"/>
  </w:num>
  <w:num w:numId="18" w16cid:durableId="1924147173">
    <w:abstractNumId w:val="1"/>
  </w:num>
  <w:num w:numId="19" w16cid:durableId="1057821473">
    <w:abstractNumId w:val="0"/>
  </w:num>
  <w:num w:numId="20" w16cid:durableId="1529414867">
    <w:abstractNumId w:val="0"/>
  </w:num>
  <w:num w:numId="21" w16cid:durableId="1906529298">
    <w:abstractNumId w:val="9"/>
  </w:num>
  <w:num w:numId="22" w16cid:durableId="64424109">
    <w:abstractNumId w:val="7"/>
  </w:num>
  <w:num w:numId="23" w16cid:durableId="1229000046">
    <w:abstractNumId w:val="6"/>
  </w:num>
  <w:num w:numId="24" w16cid:durableId="603465852">
    <w:abstractNumId w:val="5"/>
  </w:num>
  <w:num w:numId="25" w16cid:durableId="1200509107">
    <w:abstractNumId w:val="4"/>
  </w:num>
  <w:num w:numId="26" w16cid:durableId="1989241416">
    <w:abstractNumId w:val="8"/>
  </w:num>
  <w:num w:numId="27" w16cid:durableId="1316299245">
    <w:abstractNumId w:val="3"/>
  </w:num>
  <w:num w:numId="28" w16cid:durableId="993725386">
    <w:abstractNumId w:val="2"/>
  </w:num>
  <w:num w:numId="29" w16cid:durableId="1359357277">
    <w:abstractNumId w:val="1"/>
  </w:num>
  <w:num w:numId="30" w16cid:durableId="1893805843">
    <w:abstractNumId w:val="0"/>
  </w:num>
  <w:num w:numId="31" w16cid:durableId="714936148">
    <w:abstractNumId w:val="9"/>
  </w:num>
  <w:num w:numId="32" w16cid:durableId="292248998">
    <w:abstractNumId w:val="7"/>
  </w:num>
  <w:num w:numId="33" w16cid:durableId="572816091">
    <w:abstractNumId w:val="6"/>
  </w:num>
  <w:num w:numId="34" w16cid:durableId="1501502314">
    <w:abstractNumId w:val="5"/>
  </w:num>
  <w:num w:numId="35" w16cid:durableId="1059401088">
    <w:abstractNumId w:val="4"/>
  </w:num>
  <w:num w:numId="36" w16cid:durableId="1188569120">
    <w:abstractNumId w:val="8"/>
  </w:num>
  <w:num w:numId="37" w16cid:durableId="541097945">
    <w:abstractNumId w:val="3"/>
  </w:num>
  <w:num w:numId="38" w16cid:durableId="1952860970">
    <w:abstractNumId w:val="2"/>
  </w:num>
  <w:num w:numId="39" w16cid:durableId="165637195">
    <w:abstractNumId w:val="1"/>
  </w:num>
  <w:num w:numId="40" w16cid:durableId="1594392467">
    <w:abstractNumId w:val="0"/>
  </w:num>
  <w:num w:numId="41" w16cid:durableId="1805389348">
    <w:abstractNumId w:val="10"/>
  </w:num>
  <w:num w:numId="42" w16cid:durableId="168910885">
    <w:abstractNumId w:val="10"/>
  </w:num>
  <w:num w:numId="43" w16cid:durableId="1447430559">
    <w:abstractNumId w:val="10"/>
  </w:num>
  <w:num w:numId="44" w16cid:durableId="3563933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2/2025"/>
    <w:docVar w:name="dvlangue" w:val="LT"/>
    <w:docVar w:name="dvnumam" w:val="0"/>
    <w:docVar w:name="dvpe" w:val="779.397"/>
    <w:docVar w:name="dvtitre" w:val="Europos Parlamento rezoliucija dėl Komisijos įgyvendinimo sprendimo, kuriuo pagal Europos Parlamento ir Tarybos reglamentą (EB) Nr. 1829/2003 atnaujinamas leidimas pateikti rinkai produktus, kurių sudėtyje yra genetiškai modifikuotų kukurūzų NK603, kurie iš jų sudaryti arba kurie iš jų pagaminti, projekto(D110123/02 – 2025/2958(RSP))"/>
  </w:docVars>
  <w:rsids>
    <w:rsidRoot w:val="009D26F1"/>
    <w:rsid w:val="00002272"/>
    <w:rsid w:val="00064002"/>
    <w:rsid w:val="000677B9"/>
    <w:rsid w:val="000831BA"/>
    <w:rsid w:val="0008662E"/>
    <w:rsid w:val="000A42CC"/>
    <w:rsid w:val="000E7DD9"/>
    <w:rsid w:val="0010095E"/>
    <w:rsid w:val="00125B37"/>
    <w:rsid w:val="00187494"/>
    <w:rsid w:val="001F32AE"/>
    <w:rsid w:val="002767FF"/>
    <w:rsid w:val="002B18FE"/>
    <w:rsid w:val="002B5493"/>
    <w:rsid w:val="00306C9F"/>
    <w:rsid w:val="00343214"/>
    <w:rsid w:val="00361C00"/>
    <w:rsid w:val="00395FA1"/>
    <w:rsid w:val="003E15D4"/>
    <w:rsid w:val="00411CCE"/>
    <w:rsid w:val="0041666E"/>
    <w:rsid w:val="00421060"/>
    <w:rsid w:val="00471C19"/>
    <w:rsid w:val="004867E3"/>
    <w:rsid w:val="00494A28"/>
    <w:rsid w:val="004C0004"/>
    <w:rsid w:val="004C5D52"/>
    <w:rsid w:val="004D15FE"/>
    <w:rsid w:val="004D49B6"/>
    <w:rsid w:val="0050519A"/>
    <w:rsid w:val="005072A1"/>
    <w:rsid w:val="005144D6"/>
    <w:rsid w:val="00514517"/>
    <w:rsid w:val="005362DB"/>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442E"/>
    <w:rsid w:val="00817416"/>
    <w:rsid w:val="00842779"/>
    <w:rsid w:val="00865F67"/>
    <w:rsid w:val="00881A7B"/>
    <w:rsid w:val="008840E5"/>
    <w:rsid w:val="00887B3E"/>
    <w:rsid w:val="008C2AC6"/>
    <w:rsid w:val="00910190"/>
    <w:rsid w:val="00930C23"/>
    <w:rsid w:val="0093193B"/>
    <w:rsid w:val="009509D8"/>
    <w:rsid w:val="00950B64"/>
    <w:rsid w:val="00981893"/>
    <w:rsid w:val="009D26F1"/>
    <w:rsid w:val="00A1687D"/>
    <w:rsid w:val="00A43E52"/>
    <w:rsid w:val="00A4678D"/>
    <w:rsid w:val="00A778C7"/>
    <w:rsid w:val="00AB441E"/>
    <w:rsid w:val="00AB6293"/>
    <w:rsid w:val="00AE0928"/>
    <w:rsid w:val="00AF3B82"/>
    <w:rsid w:val="00B12E95"/>
    <w:rsid w:val="00B22876"/>
    <w:rsid w:val="00B558F0"/>
    <w:rsid w:val="00BB3DFF"/>
    <w:rsid w:val="00BD48FE"/>
    <w:rsid w:val="00BD7BD8"/>
    <w:rsid w:val="00BE6ADC"/>
    <w:rsid w:val="00C05BFE"/>
    <w:rsid w:val="00C23CD4"/>
    <w:rsid w:val="00C61C0C"/>
    <w:rsid w:val="00C941CB"/>
    <w:rsid w:val="00CC2357"/>
    <w:rsid w:val="00CF071A"/>
    <w:rsid w:val="00D058B8"/>
    <w:rsid w:val="00D25DC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64F08B"/>
  <w15:chartTrackingRefBased/>
  <w15:docId w15:val="{D5F2C4BF-BC76-4C19-BF99-AAD008D29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306C9F"/>
    <w:pPr>
      <w:spacing w:before="480" w:after="240"/>
    </w:pPr>
  </w:style>
  <w:style w:type="paragraph" w:customStyle="1" w:styleId="NormalHanging12a">
    <w:name w:val="NormalHanging12a"/>
    <w:basedOn w:val="Normal"/>
    <w:uiPriority w:val="99"/>
    <w:qFormat/>
    <w:rsid w:val="00306C9F"/>
    <w:pPr>
      <w:spacing w:after="240"/>
      <w:ind w:left="567" w:hanging="567"/>
    </w:pPr>
  </w:style>
  <w:style w:type="character" w:styleId="Hyperlink">
    <w:name w:val="Hyperlink"/>
    <w:basedOn w:val="DefaultParagraphFont"/>
    <w:uiPriority w:val="99"/>
    <w:rsid w:val="00306C9F"/>
    <w:rPr>
      <w:color w:val="0563C1" w:themeColor="hyperlink"/>
      <w:u w:val="single"/>
    </w:rPr>
  </w:style>
  <w:style w:type="paragraph" w:styleId="NormalWeb">
    <w:name w:val="Normal (Web)"/>
    <w:basedOn w:val="Normal"/>
    <w:uiPriority w:val="99"/>
    <w:unhideWhenUsed/>
    <w:rsid w:val="00306C9F"/>
    <w:pPr>
      <w:widowControl/>
      <w:spacing w:before="100" w:beforeAutospacing="1" w:after="100" w:afterAutospacing="1"/>
    </w:pPr>
    <w:rPr>
      <w:szCs w:val="24"/>
    </w:rPr>
  </w:style>
  <w:style w:type="paragraph" w:styleId="Revision">
    <w:name w:val="Revision"/>
    <w:hidden/>
    <w:uiPriority w:val="99"/>
    <w:semiHidden/>
    <w:rsid w:val="0008662E"/>
    <w:rPr>
      <w:sz w:val="24"/>
      <w:lang w:val="lt-LT"/>
    </w:rPr>
  </w:style>
  <w:style w:type="character" w:styleId="FollowedHyperlink">
    <w:name w:val="FollowedHyperlink"/>
    <w:basedOn w:val="DefaultParagraphFont"/>
    <w:rsid w:val="004D49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5"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commission.europa.eu/topics/agriculture-and-rural-development/strategic-dialogue-future-eu-agriculture_lt"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lt/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09.1137"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geoforum.2009.03.009"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4/oj" TargetMode="External"/><Relationship Id="rId22" Type="http://schemas.openxmlformats.org/officeDocument/2006/relationships/hyperlink" Target="https://doi.org/10.1371/journal.pone.02196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1305</Words>
  <Characters>9044</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PUODŽIUKYNAITĖ Justė</cp:lastModifiedBy>
  <cp:revision>2</cp:revision>
  <cp:lastPrinted>2004-11-19T15:42:00Z</cp:lastPrinted>
  <dcterms:created xsi:type="dcterms:W3CDTF">2026-01-28T11:10:00Z</dcterms:created>
  <dcterms:modified xsi:type="dcterms:W3CDTF">2026-01-28T11:10:00Z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B10-0562/2025</vt:lpwstr>
  </property>
  <property fmtid="{D5CDD505-2E9C-101B-9397-08002B2CF9AE}" pid="4" name="&lt;Type&gt;">
    <vt:lpwstr>RR</vt:lpwstr>
  </property>
</Properties>
</file>