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2037" w14:paraId="158FD7A1" w14:textId="77777777" w:rsidTr="0010095E">
        <w:trPr>
          <w:trHeight w:hRule="exact" w:val="1418"/>
        </w:trPr>
        <w:tc>
          <w:tcPr>
            <w:tcW w:w="6804" w:type="dxa"/>
            <w:shd w:val="clear" w:color="auto" w:fill="auto"/>
            <w:vAlign w:val="center"/>
          </w:tcPr>
          <w:p w14:paraId="758B3329" w14:textId="77777777" w:rsidR="00751A4A" w:rsidRPr="00CE2037" w:rsidRDefault="000D1185" w:rsidP="0010095E">
            <w:pPr>
              <w:pStyle w:val="EPName"/>
            </w:pPr>
            <w:r w:rsidRPr="00CE2037">
              <w:t>Európsky parlament</w:t>
            </w:r>
          </w:p>
          <w:p w14:paraId="7836976A" w14:textId="77777777" w:rsidR="00751A4A" w:rsidRPr="00CE2037" w:rsidRDefault="005F1B17" w:rsidP="005F1B17">
            <w:pPr>
              <w:pStyle w:val="EPTerm"/>
              <w:rPr>
                <w:rStyle w:val="HideTWBExt"/>
                <w:noProof w:val="0"/>
                <w:vanish w:val="0"/>
                <w:color w:val="auto"/>
              </w:rPr>
            </w:pPr>
            <w:r w:rsidRPr="00CE2037">
              <w:t>2024</w:t>
            </w:r>
            <w:r w:rsidR="00817416" w:rsidRPr="00CE2037">
              <w:t>-202</w:t>
            </w:r>
            <w:r w:rsidRPr="00CE2037">
              <w:t>9</w:t>
            </w:r>
          </w:p>
        </w:tc>
        <w:tc>
          <w:tcPr>
            <w:tcW w:w="2268" w:type="dxa"/>
            <w:shd w:val="clear" w:color="auto" w:fill="auto"/>
          </w:tcPr>
          <w:p w14:paraId="615BB085" w14:textId="77777777" w:rsidR="00751A4A" w:rsidRPr="00CE2037" w:rsidRDefault="00187494" w:rsidP="0010095E">
            <w:pPr>
              <w:pStyle w:val="EPLogo"/>
            </w:pPr>
            <w:r w:rsidRPr="00CE2037">
              <w:rPr>
                <w:noProof/>
                <w:lang w:eastAsia="ja-JP"/>
              </w:rPr>
              <w:drawing>
                <wp:inline distT="0" distB="0" distL="0" distR="0" wp14:anchorId="018528A1" wp14:editId="6C7463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4FF1E3" w14:textId="77777777" w:rsidR="00D058B8" w:rsidRPr="00CE2037" w:rsidRDefault="00D058B8" w:rsidP="004C5D52">
      <w:pPr>
        <w:pStyle w:val="LineTop"/>
      </w:pPr>
    </w:p>
    <w:p w14:paraId="77FF665B" w14:textId="77777777" w:rsidR="00680577" w:rsidRPr="00CE2037" w:rsidRDefault="000D1185" w:rsidP="00680577">
      <w:pPr>
        <w:pStyle w:val="EPBodyTA1"/>
      </w:pPr>
      <w:r w:rsidRPr="00CE2037">
        <w:t>PRIJATÉ TEXTY</w:t>
      </w:r>
    </w:p>
    <w:p w14:paraId="1C06A98C" w14:textId="77777777" w:rsidR="00D058B8" w:rsidRPr="00CE2037" w:rsidRDefault="00D058B8" w:rsidP="00D058B8">
      <w:pPr>
        <w:pStyle w:val="LineBottom"/>
      </w:pPr>
    </w:p>
    <w:p w14:paraId="46A31655" w14:textId="7B67CCCB" w:rsidR="000D1185" w:rsidRPr="00CE2037" w:rsidRDefault="000D1185" w:rsidP="000D1185">
      <w:pPr>
        <w:pStyle w:val="ATHeading1"/>
      </w:pPr>
      <w:bookmarkStart w:id="0" w:name="TANumber"/>
      <w:r w:rsidRPr="00CE2037">
        <w:t>P10_TA(2025)0</w:t>
      </w:r>
      <w:r w:rsidR="0018183A" w:rsidRPr="00CE2037">
        <w:t>327</w:t>
      </w:r>
      <w:bookmarkEnd w:id="0"/>
    </w:p>
    <w:p w14:paraId="799C96BD" w14:textId="1CD4E603" w:rsidR="000D1185" w:rsidRPr="00CE2037" w:rsidRDefault="00F64F9C" w:rsidP="000D1185">
      <w:pPr>
        <w:pStyle w:val="ATHeading2"/>
      </w:pPr>
      <w:bookmarkStart w:id="1" w:name="title"/>
      <w:r w:rsidRPr="00CE2037">
        <w:t>G</w:t>
      </w:r>
      <w:r w:rsidR="000D1185" w:rsidRPr="00CE2037">
        <w:t>eneticky modifikovaná kukurica NK603</w:t>
      </w:r>
      <w:bookmarkEnd w:id="1"/>
    </w:p>
    <w:p w14:paraId="074FC507" w14:textId="77777777" w:rsidR="000D1185" w:rsidRPr="00CE2037" w:rsidRDefault="000D1185" w:rsidP="000D1185">
      <w:pPr>
        <w:rPr>
          <w:i/>
          <w:vanish/>
        </w:rPr>
      </w:pPr>
      <w:r w:rsidRPr="00CE2037">
        <w:rPr>
          <w:i/>
        </w:rPr>
        <w:fldChar w:fldCharType="begin"/>
      </w:r>
      <w:r w:rsidRPr="00CE2037">
        <w:rPr>
          <w:i/>
        </w:rPr>
        <w:instrText xml:space="preserve"> TC"(</w:instrText>
      </w:r>
      <w:bookmarkStart w:id="2" w:name="DocNumber"/>
      <w:r w:rsidRPr="00CE2037">
        <w:rPr>
          <w:i/>
        </w:rPr>
        <w:instrText>B10-0562/2025</w:instrText>
      </w:r>
      <w:bookmarkEnd w:id="2"/>
      <w:r w:rsidRPr="00CE2037">
        <w:rPr>
          <w:i/>
        </w:rPr>
        <w:instrText xml:space="preserve">)"\l3 \n&gt; \* MERGEFORMAT </w:instrText>
      </w:r>
      <w:r w:rsidRPr="00CE2037">
        <w:rPr>
          <w:i/>
        </w:rPr>
        <w:fldChar w:fldCharType="end"/>
      </w:r>
    </w:p>
    <w:p w14:paraId="1A465478" w14:textId="77777777" w:rsidR="000D1185" w:rsidRPr="00CE2037" w:rsidRDefault="000D1185" w:rsidP="000D1185">
      <w:pPr>
        <w:rPr>
          <w:vanish/>
        </w:rPr>
      </w:pPr>
      <w:bookmarkStart w:id="3" w:name="PE"/>
      <w:r w:rsidRPr="00CE2037">
        <w:rPr>
          <w:vanish/>
        </w:rPr>
        <w:t>PE779.397</w:t>
      </w:r>
      <w:bookmarkEnd w:id="3"/>
    </w:p>
    <w:p w14:paraId="1723388B" w14:textId="4F5E0B56" w:rsidR="000D1185" w:rsidRPr="00CE2037" w:rsidRDefault="000D1185" w:rsidP="000D1185">
      <w:pPr>
        <w:pStyle w:val="ATHeading3"/>
      </w:pPr>
      <w:bookmarkStart w:id="4" w:name="Sujet"/>
      <w:r w:rsidRPr="00CE2037">
        <w:t>Uznesenie Európskeho parlamentu z</w:t>
      </w:r>
      <w:r w:rsidR="00F64F9C" w:rsidRPr="00CE2037">
        <w:t>o</w:t>
      </w:r>
      <w:r w:rsidRPr="00CE2037">
        <w:t xml:space="preserve"> </w:t>
      </w:r>
      <w:r w:rsidR="00F64F9C" w:rsidRPr="00CE2037">
        <w:t>16</w:t>
      </w:r>
      <w:r w:rsidRPr="00CE2037">
        <w:t>. decembra 2025 o návrhu vykonávacieho rozhodnutia Komisie, ktorým sa podľa nariadenia Európskeho parlamentu a Rady (ES) č. 1829/2003 obnovuje povolenie umiestniť na trh produkty, ktoré obsahujú geneticky modifikovanú kukuricu NK603, sú z nej zložené alebo vyrobené</w:t>
      </w:r>
      <w:bookmarkEnd w:id="4"/>
      <w:r w:rsidRPr="00CE2037">
        <w:t xml:space="preserve"> </w:t>
      </w:r>
      <w:bookmarkStart w:id="5" w:name="References"/>
      <w:r w:rsidRPr="00CE2037">
        <w:t>(D110123/02 – 2025/2958(RSP))</w:t>
      </w:r>
      <w:bookmarkEnd w:id="5"/>
    </w:p>
    <w:p w14:paraId="3FE70192" w14:textId="77777777" w:rsidR="00133E0F" w:rsidRPr="00CE2037" w:rsidRDefault="00133E0F" w:rsidP="00133E0F">
      <w:pPr>
        <w:pStyle w:val="EPComma"/>
      </w:pPr>
      <w:bookmarkStart w:id="6" w:name="TextBodyBegin"/>
      <w:bookmarkEnd w:id="6"/>
      <w:r w:rsidRPr="00CE2037">
        <w:rPr>
          <w:i/>
          <w:iCs/>
        </w:rPr>
        <w:t>Európsky parlament</w:t>
      </w:r>
      <w:r w:rsidRPr="00CE2037">
        <w:t>,</w:t>
      </w:r>
    </w:p>
    <w:p w14:paraId="1C340EE4" w14:textId="77777777" w:rsidR="00133E0F" w:rsidRPr="00CE2037" w:rsidRDefault="00133E0F" w:rsidP="00133E0F">
      <w:pPr>
        <w:pStyle w:val="NormalHanging12a"/>
      </w:pPr>
      <w:r w:rsidRPr="00CE2037">
        <w:t>–</w:t>
      </w:r>
      <w:r w:rsidRPr="00CE2037">
        <w:tab/>
        <w:t>so zreteľom na návrh vykonávacieho rozhodnutia Komisie, ktorým sa podľa nariadenia Európskeho parlamentu a Rady (ES) č. 1829/2003 obnovuje povolenie umiestniť na trh produkty, ktoré obsahujú geneticky modifikovanú kukuricu NK603, sú z nej zložené alebo vyrobené (D110123/02),</w:t>
      </w:r>
    </w:p>
    <w:p w14:paraId="142BF3EF" w14:textId="77777777" w:rsidR="00133E0F" w:rsidRPr="00CE2037" w:rsidRDefault="00133E0F" w:rsidP="00133E0F">
      <w:pPr>
        <w:pStyle w:val="NormalHanging12a"/>
      </w:pPr>
      <w:r w:rsidRPr="00CE2037">
        <w:t>–</w:t>
      </w:r>
      <w:r w:rsidRPr="00CE2037">
        <w:tab/>
        <w:t>so zreteľom na nariadenie Európskeho parlamentu a Rady (ES) č. 1829/2003 z 22. septembra 2003 o geneticky modifikovaných potravinách a krmivách</w:t>
      </w:r>
      <w:r w:rsidRPr="00CE2037">
        <w:rPr>
          <w:vertAlign w:val="superscript"/>
        </w:rPr>
        <w:footnoteReference w:id="1"/>
      </w:r>
      <w:r w:rsidRPr="00CE2037">
        <w:t>, a najmä na jeho článok 11 ods. 3 a článok 22 ods. 3,</w:t>
      </w:r>
    </w:p>
    <w:p w14:paraId="7539C6A7" w14:textId="32C048FB" w:rsidR="00133E0F" w:rsidRPr="00CE2037" w:rsidRDefault="00133E0F" w:rsidP="00133E0F">
      <w:pPr>
        <w:pStyle w:val="NormalHanging12a"/>
      </w:pPr>
      <w:r w:rsidRPr="00CE2037">
        <w:t>–</w:t>
      </w:r>
      <w:r w:rsidRPr="00CE2037">
        <w:tab/>
        <w:t>so zreteľom na hlasovanie Stáleho výboru pre rastliny, zvieratá, potraviny a krmivá podľa článku 35 nariadenia (ES) č. 1829/2003, ktoré sa konalo 14. októbra 2025 a na ktorom sa rozhodlo, že sa nevydá žiadne stanovisko</w:t>
      </w:r>
      <w:r w:rsidR="00F64F9C" w:rsidRPr="00CE2037">
        <w:t>, a na hlasovanie odvolacieho výboru z 28. novembra 2025, počas ktorého opätovne nebolo prijaté žiadne stanovisko</w:t>
      </w:r>
      <w:r w:rsidRPr="00CE2037">
        <w:t>,</w:t>
      </w:r>
    </w:p>
    <w:p w14:paraId="4486E2AA" w14:textId="77777777" w:rsidR="00133E0F" w:rsidRPr="00CE2037" w:rsidRDefault="00133E0F" w:rsidP="00133E0F">
      <w:pPr>
        <w:pStyle w:val="NormalHanging12a"/>
        <w:widowControl/>
        <w:rPr>
          <w:szCs w:val="24"/>
        </w:rPr>
      </w:pPr>
      <w:r w:rsidRPr="00CE2037">
        <w:t>–</w:t>
      </w:r>
      <w:r w:rsidRPr="00CE2037">
        <w:tab/>
        <w:t>so zreteľom na článok 11 nariadenia Európskeho parlamentu a Rady (EÚ) č. 182/2011 zo 16. februára 2011, ktorým sa ustanovujú pravidlá a všeobecné zásady mechanizmu, na základe ktorého členské štáty kontrolujú vykonávanie vykonávacích právomocí Komisie</w:t>
      </w:r>
      <w:r w:rsidRPr="00CE2037">
        <w:rPr>
          <w:rStyle w:val="FootnoteReference"/>
          <w:szCs w:val="24"/>
        </w:rPr>
        <w:footnoteReference w:id="2"/>
      </w:r>
      <w:r w:rsidRPr="00CE2037">
        <w:t>,</w:t>
      </w:r>
    </w:p>
    <w:p w14:paraId="05B2601D" w14:textId="77777777" w:rsidR="00133E0F" w:rsidRPr="00CE2037" w:rsidRDefault="00133E0F" w:rsidP="00133E0F">
      <w:pPr>
        <w:pStyle w:val="NormalHanging12a"/>
      </w:pPr>
      <w:r w:rsidRPr="00CE2037">
        <w:t>–</w:t>
      </w:r>
      <w:r w:rsidRPr="00CE2037">
        <w:tab/>
        <w:t xml:space="preserve">so zreteľom na stanovisko, ktoré prijal Európsky úrad pre bezpečnosť potravín (EFSA) </w:t>
      </w:r>
      <w:r w:rsidRPr="00CE2037">
        <w:lastRenderedPageBreak/>
        <w:t>22. mája 2025 a ktoré bolo uverejnené 20. júna 2025</w:t>
      </w:r>
      <w:r w:rsidRPr="00CE2037">
        <w:rPr>
          <w:rStyle w:val="FootnoteReference"/>
        </w:rPr>
        <w:footnoteReference w:id="3"/>
      </w:r>
      <w:r w:rsidRPr="00CE2037">
        <w:t>,</w:t>
      </w:r>
    </w:p>
    <w:p w14:paraId="271DEF89" w14:textId="77777777" w:rsidR="00133E0F" w:rsidRPr="00CE2037" w:rsidRDefault="00133E0F" w:rsidP="00133E0F">
      <w:pPr>
        <w:pStyle w:val="NormalHanging12a"/>
      </w:pPr>
      <w:r w:rsidRPr="00CE2037">
        <w:t>–</w:t>
      </w:r>
      <w:r w:rsidRPr="00CE2037">
        <w:tab/>
        <w:t>so zreteľom na svoje predchádzajúce uznesenia, v ktorých namieta proti povoľovaniu geneticky modifikovaných organizmov (ďalej len „GMO“)</w:t>
      </w:r>
      <w:r w:rsidRPr="00CE2037">
        <w:rPr>
          <w:rStyle w:val="FootnoteReference"/>
        </w:rPr>
        <w:footnoteReference w:id="4"/>
      </w:r>
      <w:r w:rsidRPr="00CE2037">
        <w:t>,</w:t>
      </w:r>
    </w:p>
    <w:p w14:paraId="427B1AAF" w14:textId="77777777" w:rsidR="00133E0F" w:rsidRPr="00CE2037" w:rsidRDefault="00133E0F" w:rsidP="00133E0F">
      <w:pPr>
        <w:pStyle w:val="NormalHanging12a"/>
      </w:pPr>
      <w:r w:rsidRPr="00CE2037">
        <w:lastRenderedPageBreak/>
        <w:t>–</w:t>
      </w:r>
      <w:r w:rsidRPr="00CE2037">
        <w:tab/>
        <w:t>so zreteľom na článok 115 ods. 2 a 3 rokovacieho poriadku,</w:t>
      </w:r>
    </w:p>
    <w:p w14:paraId="07BB8318" w14:textId="77777777" w:rsidR="00133E0F" w:rsidRPr="00CE2037" w:rsidRDefault="00133E0F" w:rsidP="00133E0F">
      <w:pPr>
        <w:pStyle w:val="NormalHanging12a"/>
      </w:pPr>
      <w:r w:rsidRPr="00CE2037">
        <w:t>–</w:t>
      </w:r>
      <w:r w:rsidRPr="00CE2037">
        <w:tab/>
        <w:t>so zreteľom na návrh uznesenia Výboru pre životné prostredie, klímu a bezpečnosť potravín,</w:t>
      </w:r>
    </w:p>
    <w:p w14:paraId="3FA0E930" w14:textId="77777777" w:rsidR="00133E0F" w:rsidRPr="00CE2037" w:rsidRDefault="00133E0F" w:rsidP="00133E0F">
      <w:pPr>
        <w:pStyle w:val="NormalHanging12a"/>
      </w:pPr>
      <w:r w:rsidRPr="00CE2037">
        <w:t>A.</w:t>
      </w:r>
      <w:r w:rsidRPr="00CE2037">
        <w:tab/>
        <w:t>keďže vykonávacím rozhodnutím Komisie (EÚ) 2015/684</w:t>
      </w:r>
      <w:r w:rsidRPr="00CE2037">
        <w:rPr>
          <w:rStyle w:val="FootnoteReference"/>
        </w:rPr>
        <w:footnoteReference w:id="5"/>
      </w:r>
      <w:r w:rsidRPr="00CE2037">
        <w:t xml:space="preserve"> sa povolilo umiestňovať na trh potraviny a krmivá, ktoré obsahujú geneticky modifikovanú kukuricu NK603 (ďalej len „geneticky modifikovaná kukurica“), sú z nej zložené alebo vyrobené; keďže rozsah pôsobnosti uvedeného povolenia sa vzťahuje aj na umiestňovanie na trh iných výrobkov, ako sú potraviny a krmivá, ktoré obsahujú geneticky modifikovanú kukuricu NK603 alebo sú z nej zložené, na účely rovnakého používania ako akákoľvek iná kukurica, s výnimkou pestovania;</w:t>
      </w:r>
    </w:p>
    <w:p w14:paraId="1B1EBC7E" w14:textId="77777777" w:rsidR="00133E0F" w:rsidRPr="00CE2037" w:rsidRDefault="00133E0F" w:rsidP="00133E0F">
      <w:pPr>
        <w:pStyle w:val="NormalHanging12a"/>
      </w:pPr>
      <w:r w:rsidRPr="00CE2037">
        <w:t>B.</w:t>
      </w:r>
      <w:r w:rsidRPr="00CE2037">
        <w:tab/>
        <w:t xml:space="preserve">keďže spoločnosť Bayer </w:t>
      </w:r>
      <w:proofErr w:type="spellStart"/>
      <w:r w:rsidRPr="00CE2037">
        <w:t>Agriculture</w:t>
      </w:r>
      <w:proofErr w:type="spellEnd"/>
      <w:r w:rsidRPr="00CE2037">
        <w:t xml:space="preserve"> B.V. so sídlom v Belgicku predložila Komisii 11. marca 2024 v mene spoločnosti Bayer </w:t>
      </w:r>
      <w:proofErr w:type="spellStart"/>
      <w:r w:rsidRPr="00CE2037">
        <w:t>CropScience</w:t>
      </w:r>
      <w:proofErr w:type="spellEnd"/>
      <w:r w:rsidRPr="00CE2037">
        <w:t xml:space="preserve"> LP so sídlom v Spojených štátoch amerických v súlade s článkami 11 a 23 nariadenia (ES) č. 1829/2003 žiadosť o obnovenie uvedeného povolenia;</w:t>
      </w:r>
    </w:p>
    <w:p w14:paraId="0531F063" w14:textId="77777777" w:rsidR="00133E0F" w:rsidRPr="00CE2037" w:rsidRDefault="00133E0F" w:rsidP="00133E0F">
      <w:pPr>
        <w:pStyle w:val="NormalHanging12a"/>
      </w:pPr>
      <w:r w:rsidRPr="00CE2037">
        <w:rPr>
          <w:color w:val="000000"/>
        </w:rPr>
        <w:t>C.</w:t>
      </w:r>
      <w:r w:rsidRPr="00CE2037">
        <w:rPr>
          <w:color w:val="000000"/>
        </w:rPr>
        <w:tab/>
      </w:r>
      <w:r w:rsidRPr="00CE2037">
        <w:t>keďže 20. júna 2025 vydal EFSA v súlade s článkami 6 a 18 nariadenia (ES) č. 1829/2003 priaznivé stanovisko ku geneticky modifikovanej kukurici, v ktorom dospel k záveru, že žiadosť o obnovenie neobsahovala dôkazy svedčiace o akýchkoľvek nových rizikách, o zmene expozície ani o vedeckých pochybnostiach, ktoré by viedli k zmene záverov pôvodného posúdenia rizika týkajúceho sa geneticky modifikovanej kukurice, ktoré prijal EFSA v roku 2009</w:t>
      </w:r>
      <w:r w:rsidRPr="00CE2037">
        <w:rPr>
          <w:rStyle w:val="FootnoteReference"/>
          <w:szCs w:val="24"/>
        </w:rPr>
        <w:footnoteReference w:id="6"/>
      </w:r>
      <w:r w:rsidRPr="00CE2037">
        <w:t>; keďže uvedené stanoviská sa nezaoberali viacerými širšími environmentálnymi, sociálno-ekonomickými a kumulatívnymi vplyvmi, ktoré podľa EFSA nepatria do jeho právomoci;</w:t>
      </w:r>
    </w:p>
    <w:p w14:paraId="67DFCBCC" w14:textId="77777777" w:rsidR="00133E0F" w:rsidRPr="00CE2037" w:rsidRDefault="00133E0F" w:rsidP="00133E0F">
      <w:pPr>
        <w:pStyle w:val="NormalHanging12a"/>
      </w:pPr>
      <w:r w:rsidRPr="00CE2037">
        <w:t>D.</w:t>
      </w:r>
      <w:r w:rsidRPr="00CE2037">
        <w:tab/>
        <w:t xml:space="preserve">keďže geneticky modifikovaná kukurica bola vyvinutá tak, aby poskytovala toleranciu voči </w:t>
      </w:r>
      <w:proofErr w:type="spellStart"/>
      <w:r w:rsidRPr="00CE2037">
        <w:t>glyfozátu</w:t>
      </w:r>
      <w:proofErr w:type="spellEnd"/>
      <w:r w:rsidRPr="00CE2037">
        <w:t xml:space="preserve">; </w:t>
      </w:r>
    </w:p>
    <w:p w14:paraId="0F9A360B" w14:textId="77777777" w:rsidR="00133E0F" w:rsidRPr="00CE2037" w:rsidRDefault="00133E0F" w:rsidP="00133E0F">
      <w:pPr>
        <w:pStyle w:val="NormalHanging12a"/>
      </w:pPr>
      <w:r w:rsidRPr="00CE2037">
        <w:lastRenderedPageBreak/>
        <w:t>E.</w:t>
      </w:r>
      <w:r w:rsidRPr="00CE2037">
        <w:tab/>
        <w:t>keďže posúdenia rizika, ktoré vykonal EFSA, nezahŕňalo dlhodobé toxikologické štúdie ani podrobnú analýzu kumulatívnych a kombinovaných účinkov vrátane možných interakcií s rezíduami pesticídov bežne používaných pri pestovaní kukurice;</w:t>
      </w:r>
    </w:p>
    <w:p w14:paraId="2A17EAD0" w14:textId="77777777" w:rsidR="00133E0F" w:rsidRPr="00CE2037" w:rsidRDefault="00133E0F" w:rsidP="00133E0F">
      <w:pPr>
        <w:pStyle w:val="NormalHanging12a"/>
        <w:rPr>
          <w:color w:val="000000" w:themeColor="text1"/>
          <w:szCs w:val="24"/>
        </w:rPr>
      </w:pPr>
      <w:r w:rsidRPr="00CE2037">
        <w:rPr>
          <w:color w:val="000000" w:themeColor="text1"/>
        </w:rPr>
        <w:t>F.</w:t>
      </w:r>
      <w:r w:rsidRPr="00CE2037">
        <w:rPr>
          <w:color w:val="000000" w:themeColor="text1"/>
        </w:rPr>
        <w:tab/>
      </w:r>
      <w:r w:rsidRPr="00CE2037">
        <w:t xml:space="preserve">keďže veľká väčšina geneticky modifikovaných plodín vrátane geneticky modifikovanej kukurice je geneticky modifikovaná tak, aby dané plodiny boli odolné voči jednému alebo viacerým „doplnkovým“ herbicídom, ktoré sa môžu používať počas pestovania geneticky modifikovanej plodiny bez toho, aby uhynula, ako by to bolo v prípade plodiny, ktorá nie je odolná voči herbicídom; </w:t>
      </w:r>
      <w:r w:rsidRPr="00CE2037">
        <w:rPr>
          <w:color w:val="000000" w:themeColor="text1"/>
        </w:rPr>
        <w:t>keďže viaceré štúdie preukázali, že geneticky modifikované plodiny odolné voči herbicídom vedú k vyššiemu používaniu doplnkových herbicídov, čo je z veľkej časti spôsobené výskytom buriny odolnej voči herbicídom</w:t>
      </w:r>
      <w:r w:rsidRPr="00CE2037">
        <w:rPr>
          <w:rStyle w:val="FootnoteReference"/>
          <w:color w:val="000000" w:themeColor="text1"/>
          <w:szCs w:val="24"/>
        </w:rPr>
        <w:footnoteReference w:id="7"/>
      </w:r>
      <w:r w:rsidRPr="00CE2037">
        <w:rPr>
          <w:color w:val="000000" w:themeColor="text1"/>
        </w:rPr>
        <w:t>;</w:t>
      </w:r>
    </w:p>
    <w:p w14:paraId="7297E47B" w14:textId="77777777" w:rsidR="00133E0F" w:rsidRPr="00CE2037" w:rsidRDefault="00133E0F" w:rsidP="00133E0F">
      <w:pPr>
        <w:spacing w:after="240"/>
        <w:ind w:left="567" w:hanging="567"/>
        <w:rPr>
          <w:szCs w:val="24"/>
        </w:rPr>
      </w:pPr>
      <w:r w:rsidRPr="00CE2037">
        <w:t>G.</w:t>
      </w:r>
      <w:r w:rsidRPr="00CE2037">
        <w:tab/>
        <w:t xml:space="preserve">keďže </w:t>
      </w:r>
      <w:r w:rsidRPr="00CE2037">
        <w:rPr>
          <w:color w:val="000000" w:themeColor="text1"/>
        </w:rPr>
        <w:t>geneticky modifikované plodiny odolné voči herbicídom nútia poľnohospodárov používať systém ochrany proti burinám, ktorý je vo veľkej miere alebo úplne závislý od herbicídov, a to tak, že za geneticky modifikované osivo sa účtuje príplatok, ktorý môže byť odôvodnený len vtedy, ak poľnohospodári kupujúci takéto osivo používajú aj postrek doplnkovými herbicídmi; keďže zvýšená závislosť od doplnkových herbicídov v poľnohospodárskych podnikoch, v ktorých sa sadí geneticky modifikovaná kukurica, urýchli vznik a šírenie buriny rezistentnej voči týmto herbicídom, čo vyvoláva potrebu ešte väčšieho používania herbicídov, čo je začarovaný kruh neustáleho používania čoraz väčšieho množstva herbicídov; keďže nepriaznivé vplyvy vyplývajúce z nadmerného používania herbicídov následne zhoršujú zdravie pôdy, kvalitu vody a biodiverzitu nad zemou a pod ňou a vedú k zvýšenej expozícii ľudí a zvierat herbicídom, a to potenciálne aj prostredníctvom zvýšeného množstva rezíduí herbicídov v potravinách a krmivách</w:t>
      </w:r>
      <w:r w:rsidRPr="00CE2037">
        <w:rPr>
          <w:rStyle w:val="FootnoteReference"/>
          <w:color w:val="000000" w:themeColor="text1"/>
          <w:szCs w:val="24"/>
        </w:rPr>
        <w:footnoteReference w:id="8"/>
      </w:r>
      <w:r w:rsidRPr="00CE2037">
        <w:rPr>
          <w:color w:val="000000" w:themeColor="text1"/>
        </w:rPr>
        <w:t>;</w:t>
      </w:r>
    </w:p>
    <w:p w14:paraId="4825485B" w14:textId="77777777" w:rsidR="00133E0F" w:rsidRPr="00CE2037" w:rsidRDefault="00133E0F" w:rsidP="00133E0F">
      <w:pPr>
        <w:pStyle w:val="NormalHanging12a"/>
      </w:pPr>
      <w:r w:rsidRPr="00CE2037">
        <w:t>H.</w:t>
      </w:r>
      <w:r w:rsidRPr="00CE2037">
        <w:tab/>
        <w:t xml:space="preserve">keďže naďalej pretrvávajú závažné otázky v súvislosti s karcinogenitou </w:t>
      </w:r>
      <w:proofErr w:type="spellStart"/>
      <w:r w:rsidRPr="00CE2037">
        <w:t>glyfozátu</w:t>
      </w:r>
      <w:proofErr w:type="spellEnd"/>
      <w:r w:rsidRPr="00CE2037">
        <w:t xml:space="preserve">; keďže EFSA v novembri 2015 dospel k záveru, že </w:t>
      </w:r>
      <w:proofErr w:type="spellStart"/>
      <w:r w:rsidRPr="00CE2037">
        <w:t>glyfozát</w:t>
      </w:r>
      <w:proofErr w:type="spellEnd"/>
      <w:r w:rsidRPr="00CE2037">
        <w:t xml:space="preserve"> pravdepodobne nie je karcinogénny, a Európska chemická agentúra v marci 2017 dospela k záveru, že klasifikácia nie je odôvodnená; keďže Medzinárodná agentúra pre výskum rakoviny, špecializovaná agentúra Svetovej zdravotníckej organizácie pre rakovinu, v roku 2015 klasifikovala </w:t>
      </w:r>
      <w:proofErr w:type="spellStart"/>
      <w:r w:rsidRPr="00CE2037">
        <w:t>glyfozát</w:t>
      </w:r>
      <w:proofErr w:type="spellEnd"/>
      <w:r w:rsidRPr="00CE2037">
        <w:t xml:space="preserve"> ako pravdepodobný karcinogén pre ľudí; keďže viaceré nedávne vedecké recenzované štúdie potvrdzujú karcinogénny potenciál </w:t>
      </w:r>
      <w:proofErr w:type="spellStart"/>
      <w:r w:rsidRPr="00CE2037">
        <w:t>glyfozátu</w:t>
      </w:r>
      <w:proofErr w:type="spellEnd"/>
      <w:r w:rsidRPr="00CE2037">
        <w:rPr>
          <w:rStyle w:val="FootnoteReference"/>
        </w:rPr>
        <w:footnoteReference w:id="9"/>
      </w:r>
      <w:r w:rsidRPr="00CE2037">
        <w:t>;</w:t>
      </w:r>
    </w:p>
    <w:p w14:paraId="5955A6B2" w14:textId="77777777" w:rsidR="00133E0F" w:rsidRPr="00CE2037" w:rsidRDefault="00133E0F" w:rsidP="00133E0F">
      <w:pPr>
        <w:pStyle w:val="NormalHanging12a"/>
      </w:pPr>
      <w:r w:rsidRPr="00CE2037">
        <w:t>I.</w:t>
      </w:r>
      <w:r w:rsidRPr="00CE2037">
        <w:tab/>
        <w:t xml:space="preserve">keďže riziko génového toku z kukurice do voľne žijúcich príbuzných, ako je </w:t>
      </w:r>
      <w:proofErr w:type="spellStart"/>
      <w:r w:rsidRPr="00CE2037">
        <w:t>Euchlaena</w:t>
      </w:r>
      <w:proofErr w:type="spellEnd"/>
      <w:r w:rsidRPr="00CE2037">
        <w:t xml:space="preserve"> </w:t>
      </w:r>
      <w:proofErr w:type="spellStart"/>
      <w:r w:rsidRPr="00CE2037">
        <w:lastRenderedPageBreak/>
        <w:t>mexicana</w:t>
      </w:r>
      <w:proofErr w:type="spellEnd"/>
      <w:r w:rsidRPr="00CE2037">
        <w:t xml:space="preserve">, nahlásené v Španielsku a vo Francúzsku, vyvoláva obavy týkajúce sa </w:t>
      </w:r>
      <w:proofErr w:type="spellStart"/>
      <w:r w:rsidRPr="00CE2037">
        <w:t>perzistencie</w:t>
      </w:r>
      <w:proofErr w:type="spellEnd"/>
      <w:r w:rsidRPr="00CE2037">
        <w:t xml:space="preserve"> </w:t>
      </w:r>
      <w:proofErr w:type="spellStart"/>
      <w:r w:rsidRPr="00CE2037">
        <w:t>transgénov</w:t>
      </w:r>
      <w:proofErr w:type="spellEnd"/>
      <w:r w:rsidRPr="00CE2037">
        <w:t xml:space="preserve"> a vplyvov na životné prostredie;</w:t>
      </w:r>
    </w:p>
    <w:p w14:paraId="45E8DA1F" w14:textId="77777777" w:rsidR="00133E0F" w:rsidRPr="00CE2037" w:rsidRDefault="00133E0F" w:rsidP="00133E0F">
      <w:pPr>
        <w:pStyle w:val="NormalHanging12a"/>
      </w:pPr>
      <w:r w:rsidRPr="00CE2037">
        <w:t>J.</w:t>
      </w:r>
      <w:r w:rsidRPr="00CE2037">
        <w:tab/>
        <w:t>keďže nie je dostatočne zaručené nezávislé monitorovanie možných nepriaznivých účinkov na biodiverzitu, zdravie pôdy, opeľovače a necieľové organizmy a dohľad nad nimi;</w:t>
      </w:r>
    </w:p>
    <w:p w14:paraId="1104C0D7" w14:textId="77777777" w:rsidR="00133E0F" w:rsidRPr="00CE2037" w:rsidRDefault="00133E0F" w:rsidP="00133E0F">
      <w:pPr>
        <w:spacing w:after="240"/>
        <w:ind w:left="567" w:hanging="567"/>
      </w:pPr>
      <w:r w:rsidRPr="00CE2037">
        <w:t>K.</w:t>
      </w:r>
      <w:r w:rsidRPr="00CE2037">
        <w:tab/>
        <w:t>keďže v prípadoch vedeckej neistoty by sa mala uplatňovať zásada predbežnej opatrnosti ustanovená v článku 191 Zmluvy o fungovaní Európskej únie;</w:t>
      </w:r>
    </w:p>
    <w:p w14:paraId="7E66A8F5" w14:textId="77777777" w:rsidR="00133E0F" w:rsidRPr="00CE2037" w:rsidRDefault="00133E0F" w:rsidP="00133E0F">
      <w:pPr>
        <w:spacing w:after="240"/>
        <w:ind w:left="567" w:hanging="567"/>
      </w:pPr>
      <w:r w:rsidRPr="00CE2037">
        <w:t>L.</w:t>
      </w:r>
      <w:r w:rsidRPr="00CE2037">
        <w:tab/>
        <w:t>keďže podľa nariadenia (ES) č. 1829/2003 sa vyžaduje, že geneticky modifikované potraviny a krmivá nesmú mať nepriaznivé účinky na ľudské zdravie, zdravie zvierat alebo na životné prostredie;</w:t>
      </w:r>
    </w:p>
    <w:p w14:paraId="436CA954" w14:textId="77777777" w:rsidR="00133E0F" w:rsidRPr="00CE2037" w:rsidRDefault="00133E0F" w:rsidP="00133E0F">
      <w:pPr>
        <w:pStyle w:val="NormalWeb"/>
        <w:widowControl w:val="0"/>
        <w:spacing w:before="0" w:beforeAutospacing="0" w:after="240" w:afterAutospacing="0"/>
        <w:ind w:left="567" w:hanging="567"/>
      </w:pPr>
      <w:r w:rsidRPr="00CE2037">
        <w:t>M.</w:t>
      </w:r>
      <w:r w:rsidRPr="00CE2037">
        <w:tab/>
        <w:t>keďže obnovenie povolenia geneticky modifikovanej kukurice v Únii by nebolo v súlade s medzinárodnými záväzkami v oblasti znižovania pesticídov</w:t>
      </w:r>
      <w:r w:rsidRPr="00CE2037">
        <w:rPr>
          <w:vertAlign w:val="superscript"/>
        </w:rPr>
        <w:footnoteReference w:id="10"/>
      </w:r>
      <w:r w:rsidRPr="00CE2037">
        <w:t xml:space="preserve"> vzhľadom na zvýšenú expozíciu ľudí, zvierat a životného prostredia </w:t>
      </w:r>
      <w:proofErr w:type="spellStart"/>
      <w:r w:rsidRPr="00CE2037">
        <w:t>glyfozátu</w:t>
      </w:r>
      <w:proofErr w:type="spellEnd"/>
      <w:r w:rsidRPr="00CE2037">
        <w:t xml:space="preserve">, </w:t>
      </w:r>
      <w:proofErr w:type="spellStart"/>
      <w:r w:rsidRPr="00CE2037">
        <w:t>dikambe</w:t>
      </w:r>
      <w:proofErr w:type="spellEnd"/>
      <w:r w:rsidRPr="00CE2037">
        <w:t xml:space="preserve"> a </w:t>
      </w:r>
      <w:proofErr w:type="spellStart"/>
      <w:r w:rsidRPr="00CE2037">
        <w:t>glufosinátu</w:t>
      </w:r>
      <w:proofErr w:type="spellEnd"/>
      <w:r w:rsidRPr="00CE2037">
        <w:t xml:space="preserve"> v krajinách, v ktorých sa pestuje táto geneticky modifikovaná plodina tolerantná voči herbicídom, spolu s potenciálne závažnými súvisiacimi zdravotnými výsledkami;</w:t>
      </w:r>
    </w:p>
    <w:p w14:paraId="3AA8CBC4" w14:textId="77777777" w:rsidR="00133E0F" w:rsidRPr="00CE2037" w:rsidRDefault="00133E0F" w:rsidP="00133E0F">
      <w:pPr>
        <w:spacing w:after="240"/>
        <w:ind w:left="567" w:hanging="567"/>
      </w:pPr>
      <w:r w:rsidRPr="00CE2037">
        <w:t>N.</w:t>
      </w:r>
      <w:r w:rsidRPr="00CE2037">
        <w:tab/>
        <w:t>keďže vykonávacím rozhodnutím Komisie by sa naďalej umožnil dovoz do Únie, ktorý nie je v súlade s normami, ktoré dodržiavajú poľnohospodári Únie, čím by sa dostali do konkurenčnej nevýhody;</w:t>
      </w:r>
    </w:p>
    <w:p w14:paraId="789DE648" w14:textId="77777777" w:rsidR="00133E0F" w:rsidRPr="00CE2037" w:rsidRDefault="00133E0F" w:rsidP="00133E0F">
      <w:pPr>
        <w:spacing w:after="240"/>
        <w:ind w:left="567" w:hanging="567"/>
      </w:pPr>
      <w:r w:rsidRPr="00CE2037">
        <w:t>O.</w:t>
      </w:r>
      <w:r w:rsidRPr="00CE2037">
        <w:tab/>
        <w:t>keďže v záveroch strategického dialógu o budúcnosti poľnohospodárstva EÚ</w:t>
      </w:r>
      <w:r w:rsidRPr="00CE2037">
        <w:rPr>
          <w:rStyle w:val="FootnoteReference"/>
        </w:rPr>
        <w:footnoteReference w:id="11"/>
      </w:r>
      <w:r w:rsidRPr="00CE2037">
        <w:t xml:space="preserve"> sa Komisia vyzýva, aby prehodnotila svoj prístup k prístupu na trh pre </w:t>
      </w:r>
      <w:proofErr w:type="spellStart"/>
      <w:r w:rsidRPr="00CE2037">
        <w:t>agropotravinový</w:t>
      </w:r>
      <w:proofErr w:type="spellEnd"/>
      <w:r w:rsidRPr="00CE2037">
        <w:t xml:space="preserve"> dovoz a vývoz vzhľadom na rozdiely medzi normami Únie a jej obchodných partnerov; keďže spravodlivejšie obchodné vzťahy na celosvetovej úrovni, ktoré sú v súlade s cieľmi zdravého životného prostredia, boli jednou z hlavných požiadaviek poľnohospodárov počas demonštrácií v rokoch 2023 a 2024;</w:t>
      </w:r>
    </w:p>
    <w:p w14:paraId="5C984E51" w14:textId="77777777" w:rsidR="00133E0F" w:rsidRPr="00CE2037" w:rsidRDefault="00133E0F" w:rsidP="00133E0F">
      <w:pPr>
        <w:spacing w:after="240"/>
        <w:ind w:left="567" w:hanging="567"/>
      </w:pPr>
      <w:r w:rsidRPr="00CE2037">
        <w:t>P.</w:t>
      </w:r>
      <w:r w:rsidRPr="00CE2037">
        <w:tab/>
        <w:t>keďže Parlament opakovane zdôraznil, že Komisia by nemala povoľovať GMO v prípadoch, keď členské štáty nedosiahnu kvalifikovanú väčšinu v Stálom výbore pre rastliny, zvieratá, potraviny a krmivá alebo v odvolacom výbore, aby sa vyriešil pretrvávajúci demokratický deficit;</w:t>
      </w:r>
    </w:p>
    <w:p w14:paraId="5A01647F" w14:textId="77777777" w:rsidR="00133E0F" w:rsidRPr="00CE2037" w:rsidRDefault="00133E0F" w:rsidP="00133E0F">
      <w:pPr>
        <w:pStyle w:val="NormalWeb"/>
        <w:widowControl w:val="0"/>
        <w:shd w:val="clear" w:color="auto" w:fill="FFFFFF"/>
        <w:spacing w:before="0" w:beforeAutospacing="0" w:after="240" w:afterAutospacing="0"/>
        <w:ind w:left="567" w:hanging="567"/>
        <w:rPr>
          <w:color w:val="000000" w:themeColor="text1"/>
        </w:rPr>
      </w:pPr>
      <w:r w:rsidRPr="00CE2037">
        <w:rPr>
          <w:color w:val="000000" w:themeColor="text1"/>
        </w:rPr>
        <w:t>Q.</w:t>
      </w:r>
      <w:r w:rsidRPr="00CE2037">
        <w:rPr>
          <w:color w:val="000000" w:themeColor="text1"/>
        </w:rPr>
        <w:tab/>
        <w:t>keďže Komisia naďalej povoľuje GMO, hoci si sama uvedomuje nedostatky z hľadiska demokracie, nízku podporu členských štátov a námietky Európskeho parlamentu;</w:t>
      </w:r>
    </w:p>
    <w:p w14:paraId="02794BA2" w14:textId="77777777" w:rsidR="00133E0F" w:rsidRPr="00CE2037" w:rsidRDefault="00133E0F" w:rsidP="00133E0F">
      <w:pPr>
        <w:spacing w:after="240"/>
        <w:ind w:left="567" w:hanging="567"/>
      </w:pPr>
      <w:r w:rsidRPr="00CE2037">
        <w:t>R.</w:t>
      </w:r>
      <w:r w:rsidRPr="00CE2037">
        <w:tab/>
        <w:t>keďže na základe prístupu „jedno zdravie“ sa vyžaduje, aby sa pri hodnotení dlhodobej udržateľnosti a bezpečnosti GMO zohľadňovala vzájomná závislosť medzi zdravím ľudí, zvierat, rastlín a životného prostredia;</w:t>
      </w:r>
    </w:p>
    <w:p w14:paraId="0257441F" w14:textId="77777777" w:rsidR="00133E0F" w:rsidRPr="00CE2037" w:rsidRDefault="00133E0F" w:rsidP="00133E0F">
      <w:pPr>
        <w:spacing w:after="240"/>
        <w:ind w:left="567" w:hanging="567"/>
      </w:pPr>
      <w:r w:rsidRPr="00CE2037">
        <w:t>1.</w:t>
      </w:r>
      <w:r w:rsidRPr="00CE2037">
        <w:tab/>
        <w:t xml:space="preserve">domnieva sa, že návrh vykonávacieho rozhodnutia Komisie prekračuje rámec </w:t>
      </w:r>
      <w:r w:rsidRPr="00CE2037">
        <w:lastRenderedPageBreak/>
        <w:t>vykonávacích právomocí stanovených v nariadení (ES) č. 1829/2003;</w:t>
      </w:r>
    </w:p>
    <w:p w14:paraId="68DD0A91" w14:textId="77777777" w:rsidR="00133E0F" w:rsidRPr="00CE2037" w:rsidRDefault="00133E0F" w:rsidP="00133E0F">
      <w:pPr>
        <w:spacing w:after="240"/>
        <w:ind w:left="567" w:hanging="567"/>
      </w:pPr>
      <w:r w:rsidRPr="00CE2037">
        <w:t>2.</w:t>
      </w:r>
      <w:r w:rsidRPr="00CE2037">
        <w:tab/>
        <w:t>domnieva sa, že návrh vykonávacieho rozhodnutia Komisie nie je v súlade s právom Únie, pretože nie je zlučiteľný s cieľom nariadenia (ES) č. 1829/2003, ktorým je podľa všeobecných zásad uvedených v nariadení Európskeho parlamentu a Rady (ES) č. 178/2002</w:t>
      </w:r>
      <w:r w:rsidRPr="00CE2037">
        <w:rPr>
          <w:vertAlign w:val="superscript"/>
        </w:rPr>
        <w:footnoteReference w:id="12"/>
      </w:r>
      <w:r w:rsidRPr="00CE2037">
        <w:t xml:space="preserve"> poskytovať základ na zabezpečenie vysokej miery ochrany ľudského života a zdravia, zdravia a dobrých životných podmienok zvierat, životného prostredia a záujmov spotrebiteľov v súvislosti s geneticky modifikovanými potravinami a krmivami a súčasne zabezpečovať efektívne fungovanie vnútorného trhu;</w:t>
      </w:r>
    </w:p>
    <w:p w14:paraId="02EB3B16" w14:textId="77777777" w:rsidR="00133E0F" w:rsidRPr="00CE2037" w:rsidRDefault="00133E0F" w:rsidP="00133E0F">
      <w:pPr>
        <w:spacing w:after="240"/>
        <w:ind w:left="567" w:hanging="567"/>
      </w:pPr>
      <w:r w:rsidRPr="00CE2037">
        <w:t>3.</w:t>
      </w:r>
      <w:r w:rsidRPr="00CE2037">
        <w:tab/>
        <w:t>žiada Komisiu, aby stiahla svoje vykonávacieho rozhodnutie;</w:t>
      </w:r>
    </w:p>
    <w:p w14:paraId="154661BC" w14:textId="77777777" w:rsidR="00133E0F" w:rsidRPr="00CE2037" w:rsidRDefault="00133E0F" w:rsidP="00133E0F">
      <w:pPr>
        <w:spacing w:after="240"/>
        <w:ind w:left="567" w:hanging="567"/>
      </w:pPr>
      <w:r w:rsidRPr="00CE2037">
        <w:t>4.</w:t>
      </w:r>
      <w:r w:rsidRPr="00CE2037">
        <w:tab/>
        <w:t>vyzýva Komisiu, aby neobnovila povolenie pre geneticky modifikovanú kukuricu z dôvodu nedostatočných dôkazov o dlhodobom vplyve na biodiverzitu, bezpečnosť potravín, živobytie poľnohospodárov a zdravie zvierat v súlade s prístupom „jedno zdravie“;</w:t>
      </w:r>
    </w:p>
    <w:p w14:paraId="48201941" w14:textId="5569D6E9" w:rsidR="00133E0F" w:rsidRPr="00CE2037" w:rsidRDefault="00133E0F" w:rsidP="00133E0F">
      <w:pPr>
        <w:spacing w:after="240"/>
        <w:ind w:left="567" w:hanging="567"/>
      </w:pPr>
      <w:r w:rsidRPr="00CE2037">
        <w:t>5.</w:t>
      </w:r>
      <w:r w:rsidRPr="00CE2037">
        <w:tab/>
        <w:t xml:space="preserve">vyzýva Komisiu, aby bezodkladne predložila legislatívny návrh na reformu rozhodovacieho postupu v prípade GMO s cieľom reagovať na sústavné námietky </w:t>
      </w:r>
      <w:r w:rsidR="00F64F9C" w:rsidRPr="00CE2037">
        <w:t>Európskeho p</w:t>
      </w:r>
      <w:r w:rsidRPr="00CE2037">
        <w:t>arlamentu a nedostatok podpory kvalifikovanej väčšiny členských štátov;</w:t>
      </w:r>
    </w:p>
    <w:p w14:paraId="1275A6B0" w14:textId="77777777" w:rsidR="00133E0F" w:rsidRPr="00CE2037" w:rsidRDefault="00133E0F" w:rsidP="00133E0F">
      <w:pPr>
        <w:spacing w:after="240"/>
        <w:ind w:left="567" w:hanging="567"/>
      </w:pPr>
      <w:r w:rsidRPr="00CE2037">
        <w:t>6.</w:t>
      </w:r>
      <w:r w:rsidRPr="00CE2037">
        <w:tab/>
        <w:t xml:space="preserve">v tejto súvislosti zdôrazňuje, že povolenie dovozu akejkoľvek geneticky modifikovanej rastliny, ktorá je tolerantná voči herbicídom, ktoré sú v Únii zakázané, ako je </w:t>
      </w:r>
      <w:proofErr w:type="spellStart"/>
      <w:r w:rsidRPr="00CE2037">
        <w:t>glufozinát</w:t>
      </w:r>
      <w:proofErr w:type="spellEnd"/>
      <w:r w:rsidRPr="00CE2037">
        <w:t>, na použitie v potravinách alebo krmivách, je v rozpore s medzinárodnými záväzkami Únie, okrem iného v rámci Dohovoru OSN o biologickej diverzite a cieľov OSN v oblasti udržateľného rozvoja vrátane rámec z </w:t>
      </w:r>
      <w:proofErr w:type="spellStart"/>
      <w:r w:rsidRPr="00CE2037">
        <w:t>Kchun-mingu</w:t>
      </w:r>
      <w:proofErr w:type="spellEnd"/>
      <w:r w:rsidRPr="00CE2037">
        <w:t xml:space="preserve"> a Montrealu, a že vytvára nerovnaké podmienky pre poľnohospodárov v Únii;</w:t>
      </w:r>
    </w:p>
    <w:p w14:paraId="468859C5" w14:textId="07E35A39" w:rsidR="00BE2DF9" w:rsidRPr="00CE2037" w:rsidRDefault="00133E0F" w:rsidP="00BE2DF9">
      <w:pPr>
        <w:spacing w:after="240"/>
        <w:ind w:left="567" w:hanging="567"/>
      </w:pPr>
      <w:r w:rsidRPr="00CE2037">
        <w:t>7.</w:t>
      </w:r>
      <w:r w:rsidRPr="00CE2037">
        <w:tab/>
        <w:t>poveruje svoju predsedníčku, aby postúpila toto uznesenie Rade, Komisii a vládam a parlamentom členských štátov.</w:t>
      </w:r>
    </w:p>
    <w:p w14:paraId="2A5C29C1" w14:textId="0849307F" w:rsidR="00E365E1" w:rsidRPr="00CE2037" w:rsidRDefault="00E365E1" w:rsidP="000D1185"/>
    <w:sectPr w:rsidR="00E365E1" w:rsidRPr="00CE2037" w:rsidSect="00BE2D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EE869" w14:textId="77777777" w:rsidR="000D1185" w:rsidRPr="00BE2DF9" w:rsidRDefault="000D1185">
      <w:r w:rsidRPr="00BE2DF9">
        <w:separator/>
      </w:r>
    </w:p>
  </w:endnote>
  <w:endnote w:type="continuationSeparator" w:id="0">
    <w:p w14:paraId="3D72F910" w14:textId="77777777" w:rsidR="000D1185" w:rsidRPr="00BE2DF9" w:rsidRDefault="000D1185">
      <w:r w:rsidRPr="00BE2D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3B260" w14:textId="77777777" w:rsidR="00064002" w:rsidRPr="00BE2D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E1F26" w14:textId="77777777" w:rsidR="00064002" w:rsidRPr="00BE2D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AE3DC" w14:textId="77777777" w:rsidR="00064002" w:rsidRPr="00BE2D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3B1A3" w14:textId="77777777" w:rsidR="000D1185" w:rsidRPr="00BE2DF9" w:rsidRDefault="000D1185">
      <w:r w:rsidRPr="00BE2DF9">
        <w:separator/>
      </w:r>
    </w:p>
  </w:footnote>
  <w:footnote w:type="continuationSeparator" w:id="0">
    <w:p w14:paraId="7EA1E9AC" w14:textId="77777777" w:rsidR="000D1185" w:rsidRPr="00BE2DF9" w:rsidRDefault="000D1185">
      <w:r w:rsidRPr="00BE2DF9">
        <w:continuationSeparator/>
      </w:r>
    </w:p>
  </w:footnote>
  <w:footnote w:id="1">
    <w:p w14:paraId="36DC1A41" w14:textId="13E82EAC" w:rsidR="00133E0F" w:rsidRPr="00BE2DF9" w:rsidRDefault="00133E0F" w:rsidP="00BE2DF9">
      <w:pPr>
        <w:pStyle w:val="FootnoteText"/>
        <w:suppressAutoHyphens/>
        <w:ind w:left="567" w:hanging="567"/>
        <w:rPr>
          <w:sz w:val="24"/>
          <w:lang w:val="sk-SK"/>
        </w:rPr>
      </w:pPr>
      <w:r w:rsidRPr="00BE2DF9">
        <w:rPr>
          <w:rStyle w:val="FootnoteReference"/>
          <w:sz w:val="24"/>
          <w:lang w:val="sk-SK"/>
        </w:rPr>
        <w:footnoteRef/>
      </w:r>
      <w:r w:rsidR="00BE2DF9" w:rsidRPr="00BE2DF9">
        <w:rPr>
          <w:sz w:val="24"/>
          <w:lang w:val="sk-SK"/>
        </w:rPr>
        <w:t xml:space="preserve"> </w:t>
      </w:r>
      <w:r w:rsidR="00BE2DF9" w:rsidRPr="00BE2DF9">
        <w:rPr>
          <w:sz w:val="24"/>
          <w:lang w:val="sk-SK"/>
        </w:rPr>
        <w:tab/>
      </w:r>
      <w:r w:rsidRPr="00BE2DF9">
        <w:rPr>
          <w:sz w:val="24"/>
          <w:lang w:val="sk-SK"/>
        </w:rPr>
        <w:t>Ú. v. EÚ L 268, 18.10.2003, s. 1, ELI: </w:t>
      </w:r>
      <w:r w:rsidR="00CE2037">
        <w:fldChar w:fldCharType="begin"/>
      </w:r>
      <w:r w:rsidR="00CE2037" w:rsidRPr="00CE2037">
        <w:rPr>
          <w:lang w:val="es-ES"/>
        </w:rPr>
        <w:instrText>HYPERLINK "http://data.europa.eu/eli/reg/2003/1829/oj" \o "Umožňuje prístup k tomuto dokumentu prostredníctvom identifikátora URI používaného v rámci ELI."</w:instrText>
      </w:r>
      <w:r w:rsidR="00CE2037">
        <w:fldChar w:fldCharType="separate"/>
      </w:r>
      <w:r w:rsidRPr="00BE2DF9">
        <w:rPr>
          <w:rStyle w:val="Hyperlink"/>
          <w:sz w:val="24"/>
          <w:lang w:val="sk-SK"/>
        </w:rPr>
        <w:t>http://data.europa.eu/eli/reg/2003/1829/oj</w:t>
      </w:r>
      <w:r w:rsidR="00CE2037">
        <w:rPr>
          <w:rStyle w:val="Hyperlink"/>
          <w:sz w:val="24"/>
          <w:lang w:val="sk-SK"/>
        </w:rPr>
        <w:fldChar w:fldCharType="end"/>
      </w:r>
      <w:r w:rsidRPr="00BE2DF9">
        <w:rPr>
          <w:color w:val="0563C1" w:themeColor="hyperlink"/>
          <w:sz w:val="24"/>
          <w:u w:val="single"/>
          <w:lang w:val="sk-SK"/>
        </w:rPr>
        <w:t>.</w:t>
      </w:r>
    </w:p>
  </w:footnote>
  <w:footnote w:id="2">
    <w:p w14:paraId="34E7FE10" w14:textId="799675F4" w:rsidR="00133E0F" w:rsidRPr="00BE2DF9" w:rsidRDefault="00133E0F" w:rsidP="00BE2DF9">
      <w:pPr>
        <w:pStyle w:val="FootnoteText"/>
        <w:ind w:left="567" w:hanging="567"/>
        <w:rPr>
          <w:sz w:val="24"/>
          <w:lang w:val="sk-SK"/>
        </w:rPr>
      </w:pPr>
      <w:r w:rsidRPr="00BE2DF9">
        <w:rPr>
          <w:rStyle w:val="FootnoteReference"/>
          <w:sz w:val="24"/>
          <w:lang w:val="sk-SK"/>
        </w:rPr>
        <w:footnoteRef/>
      </w:r>
      <w:r w:rsidR="00BE2DF9" w:rsidRPr="00BE2DF9">
        <w:rPr>
          <w:sz w:val="24"/>
          <w:lang w:val="sk-SK"/>
        </w:rPr>
        <w:t xml:space="preserve"> </w:t>
      </w:r>
      <w:r w:rsidR="00BE2DF9" w:rsidRPr="00BE2DF9">
        <w:rPr>
          <w:sz w:val="24"/>
          <w:lang w:val="sk-SK"/>
        </w:rPr>
        <w:tab/>
      </w:r>
      <w:r w:rsidRPr="00BE2DF9">
        <w:rPr>
          <w:sz w:val="24"/>
          <w:lang w:val="sk-SK"/>
        </w:rPr>
        <w:t xml:space="preserve">Ú. v. EÚ L 55, 28.2.2011, s. 13, ELI: </w:t>
      </w:r>
      <w:r w:rsidR="00CE2037">
        <w:fldChar w:fldCharType="begin"/>
      </w:r>
      <w:r w:rsidR="00CE2037" w:rsidRPr="00CE2037">
        <w:rPr>
          <w:lang w:val="fi-FI"/>
        </w:rPr>
        <w:instrText>HYPERLINK "http://data.europa.eu/eli/reg/2011/182/oj"</w:instrText>
      </w:r>
      <w:r w:rsidR="00CE2037">
        <w:fldChar w:fldCharType="separate"/>
      </w:r>
      <w:r w:rsidRPr="00BE2DF9">
        <w:rPr>
          <w:rStyle w:val="Hyperlink"/>
          <w:sz w:val="24"/>
          <w:lang w:val="sk-SK"/>
        </w:rPr>
        <w:t>http://data.europa.eu/eli/reg/2011/182/oj</w:t>
      </w:r>
      <w:r w:rsidR="00CE2037">
        <w:rPr>
          <w:rStyle w:val="Hyperlink"/>
          <w:sz w:val="24"/>
          <w:lang w:val="sk-SK"/>
        </w:rPr>
        <w:fldChar w:fldCharType="end"/>
      </w:r>
      <w:r w:rsidRPr="00BE2DF9">
        <w:rPr>
          <w:sz w:val="24"/>
          <w:lang w:val="sk-SK"/>
        </w:rPr>
        <w:t>.</w:t>
      </w:r>
    </w:p>
  </w:footnote>
  <w:footnote w:id="3">
    <w:p w14:paraId="430A8C78" w14:textId="51D9E11A" w:rsidR="00133E0F" w:rsidRPr="00BE2DF9" w:rsidRDefault="00133E0F" w:rsidP="00BE2DF9">
      <w:pPr>
        <w:pStyle w:val="FootnoteText"/>
        <w:suppressAutoHyphens/>
        <w:ind w:left="567" w:hanging="567"/>
        <w:rPr>
          <w:sz w:val="24"/>
          <w:lang w:val="sk-SK"/>
        </w:rPr>
      </w:pPr>
      <w:r w:rsidRPr="00BE2DF9">
        <w:rPr>
          <w:rStyle w:val="FootnoteReference"/>
          <w:sz w:val="24"/>
          <w:lang w:val="sk-SK"/>
        </w:rPr>
        <w:footnoteRef/>
      </w:r>
      <w:r w:rsidR="00BE2DF9" w:rsidRPr="00BE2DF9">
        <w:rPr>
          <w:sz w:val="24"/>
          <w:lang w:val="sk-SK"/>
        </w:rPr>
        <w:t xml:space="preserve"> </w:t>
      </w:r>
      <w:r w:rsidR="00BE2DF9" w:rsidRPr="00BE2DF9">
        <w:rPr>
          <w:sz w:val="24"/>
          <w:lang w:val="sk-SK"/>
        </w:rPr>
        <w:tab/>
      </w:r>
      <w:r w:rsidRPr="00BE2DF9">
        <w:rPr>
          <w:sz w:val="24"/>
          <w:lang w:val="sk-SK"/>
        </w:rPr>
        <w:t xml:space="preserve">Vedecké stanovisko pracovnej skupiny EFSA pre geneticky modifikované organizmy k posúdeniu geneticky modifikovanej kukurice NK603 na obnovenie povolenia podľa nariadenia (ES) č. 1829/2003 (spis GMFF-2023-21250). Vestník EFSA (EFSA </w:t>
      </w:r>
      <w:proofErr w:type="spellStart"/>
      <w:r w:rsidRPr="00BE2DF9">
        <w:rPr>
          <w:sz w:val="24"/>
          <w:lang w:val="sk-SK"/>
        </w:rPr>
        <w:t>Journal</w:t>
      </w:r>
      <w:proofErr w:type="spellEnd"/>
      <w:r w:rsidRPr="00BE2DF9">
        <w:rPr>
          <w:sz w:val="24"/>
          <w:lang w:val="sk-SK"/>
        </w:rPr>
        <w:t xml:space="preserve">) 2025;23(6):9505; </w:t>
      </w:r>
      <w:r w:rsidR="00CE2037">
        <w:fldChar w:fldCharType="begin"/>
      </w:r>
      <w:r w:rsidR="00CE2037" w:rsidRPr="00CE2037">
        <w:rPr>
          <w:lang w:val="sk-SK"/>
        </w:rPr>
        <w:instrText>HYPERLINK "https://doi.org/10.2903/j.efsa.2025.9505"</w:instrText>
      </w:r>
      <w:r w:rsidR="00CE2037">
        <w:fldChar w:fldCharType="separate"/>
      </w:r>
      <w:r w:rsidRPr="00BE2DF9">
        <w:rPr>
          <w:rStyle w:val="Hyperlink"/>
          <w:sz w:val="24"/>
          <w:lang w:val="sk-SK"/>
        </w:rPr>
        <w:t>https://doi.org/10.2903/j.efsa.2025.9505</w:t>
      </w:r>
      <w:r w:rsidR="00CE2037">
        <w:rPr>
          <w:rStyle w:val="Hyperlink"/>
          <w:sz w:val="24"/>
          <w:lang w:val="sk-SK"/>
        </w:rPr>
        <w:fldChar w:fldCharType="end"/>
      </w:r>
      <w:r w:rsidRPr="00BE2DF9">
        <w:rPr>
          <w:rStyle w:val="Hyperlink"/>
          <w:sz w:val="24"/>
          <w:lang w:val="sk-SK"/>
        </w:rPr>
        <w:t>.</w:t>
      </w:r>
    </w:p>
  </w:footnote>
  <w:footnote w:id="4">
    <w:p w14:paraId="06BBBD93" w14:textId="320FBA5B" w:rsidR="00133E0F" w:rsidRPr="00BE2DF9" w:rsidRDefault="00133E0F" w:rsidP="00BE2DF9">
      <w:pPr>
        <w:pStyle w:val="FootnoteText"/>
        <w:suppressAutoHyphens/>
        <w:ind w:left="567" w:hanging="567"/>
        <w:rPr>
          <w:color w:val="000000" w:themeColor="text1"/>
          <w:sz w:val="24"/>
          <w:vertAlign w:val="superscript"/>
          <w:lang w:val="sk-SK"/>
        </w:rPr>
      </w:pPr>
      <w:r w:rsidRPr="00BE2DF9">
        <w:rPr>
          <w:rStyle w:val="FootnoteReference"/>
          <w:sz w:val="24"/>
          <w:lang w:val="sk-SK"/>
        </w:rPr>
        <w:footnoteRef/>
      </w:r>
      <w:r w:rsidR="00BE2DF9" w:rsidRPr="00BE2DF9">
        <w:rPr>
          <w:color w:val="000000" w:themeColor="text1"/>
          <w:sz w:val="24"/>
          <w:lang w:val="sk-SK"/>
        </w:rPr>
        <w:t xml:space="preserve"> </w:t>
      </w:r>
      <w:r w:rsidR="00BE2DF9" w:rsidRPr="00BE2DF9">
        <w:rPr>
          <w:color w:val="000000" w:themeColor="text1"/>
          <w:sz w:val="24"/>
          <w:lang w:val="sk-SK"/>
        </w:rPr>
        <w:tab/>
      </w:r>
      <w:r w:rsidRPr="00BE2DF9">
        <w:rPr>
          <w:color w:val="000000" w:themeColor="text1"/>
          <w:sz w:val="24"/>
          <w:lang w:val="sk-SK"/>
        </w:rPr>
        <w:t>Európsky parlament prijal vo svojom ôsmom volebnom období 36 uznesení a v deviatom volebnom období 38 uznesení, v ktorých namieta proti povoľovaniu GMO. Okrem toho Európsky parlament počas desiateho volebného obdobia prijal tieto uznesenia:</w:t>
      </w:r>
    </w:p>
    <w:p w14:paraId="6B646C0B" w14:textId="739F5310" w:rsidR="00133E0F" w:rsidRPr="00BE2DF9" w:rsidRDefault="00133E0F" w:rsidP="00F64F9C">
      <w:pPr>
        <w:pStyle w:val="FootnoteText"/>
        <w:suppressAutoHyphens/>
        <w:ind w:left="1134" w:hanging="567"/>
        <w:rPr>
          <w:color w:val="000000" w:themeColor="text1"/>
          <w:sz w:val="24"/>
          <w:vertAlign w:val="superscript"/>
          <w:lang w:val="sk-SK"/>
        </w:rPr>
      </w:pPr>
      <w:r w:rsidRPr="00BE2DF9">
        <w:rPr>
          <w:color w:val="000000" w:themeColor="text1"/>
          <w:sz w:val="24"/>
          <w:lang w:val="sk-SK"/>
        </w:rPr>
        <w:t>–</w:t>
      </w:r>
      <w:r w:rsidRPr="00BE2DF9">
        <w:rPr>
          <w:color w:val="000000" w:themeColor="text1"/>
          <w:sz w:val="24"/>
          <w:lang w:val="sk-SK"/>
        </w:rPr>
        <w:tab/>
        <w:t xml:space="preserve">Uznesenie Európskeho parlamentu z 26. novembra 2024 o vykonávacom rozhodnutí Komisie (EÚ) 2024/2628 o obnovení povolenia umiestniť na trh výrobky, ktoré obsahujú geneticky modifikovanú kukuricu MON 89034 × 1507 × NK603, sú z nej zložené alebo vyrobené, podľa nariadenia Európskeho parlamentu a Rady (ES) č. 1829/2003 (Ú. v. EÚ C, C/2025/1797, 4.4.2025, ELI: </w:t>
      </w:r>
      <w:r w:rsidR="00CE2037">
        <w:fldChar w:fldCharType="begin"/>
      </w:r>
      <w:r w:rsidR="00CE2037" w:rsidRPr="00CE2037">
        <w:rPr>
          <w:lang w:val="sk-SK"/>
        </w:rPr>
        <w:instrText>HYPERLINK "http://data.europa.eu/eli/C/2025/1797/oj"</w:instrText>
      </w:r>
      <w:r w:rsidR="00CE2037">
        <w:fldChar w:fldCharType="separate"/>
      </w:r>
      <w:r w:rsidRPr="00BE2DF9">
        <w:rPr>
          <w:rStyle w:val="Hyperlink"/>
          <w:sz w:val="24"/>
          <w:lang w:val="sk-SK"/>
        </w:rPr>
        <w:t>http://data.europa.eu/eli/C/2025/1797/oj</w:t>
      </w:r>
      <w:r w:rsidR="00CE2037">
        <w:rPr>
          <w:rStyle w:val="Hyperlink"/>
          <w:sz w:val="24"/>
          <w:lang w:val="sk-SK"/>
        </w:rPr>
        <w:fldChar w:fldCharType="end"/>
      </w:r>
      <w:r w:rsidRPr="00BE2DF9">
        <w:rPr>
          <w:color w:val="000000" w:themeColor="text1"/>
          <w:sz w:val="24"/>
          <w:lang w:val="sk-SK"/>
        </w:rPr>
        <w:t>).</w:t>
      </w:r>
    </w:p>
    <w:p w14:paraId="0691D251" w14:textId="42428FA3" w:rsidR="00133E0F" w:rsidRPr="00BE2DF9" w:rsidRDefault="00133E0F" w:rsidP="0018183A">
      <w:pPr>
        <w:pStyle w:val="FootnoteText"/>
        <w:suppressAutoHyphens/>
        <w:ind w:left="1134" w:hanging="567"/>
        <w:rPr>
          <w:color w:val="000000" w:themeColor="text1"/>
          <w:sz w:val="24"/>
          <w:vertAlign w:val="superscript"/>
          <w:lang w:val="sk-SK"/>
        </w:rPr>
      </w:pPr>
      <w:r w:rsidRPr="00BE2DF9">
        <w:rPr>
          <w:color w:val="000000" w:themeColor="text1"/>
          <w:sz w:val="24"/>
          <w:lang w:val="sk-SK"/>
        </w:rPr>
        <w:t>–</w:t>
      </w:r>
      <w:r w:rsidRPr="00BE2DF9">
        <w:rPr>
          <w:color w:val="000000" w:themeColor="text1"/>
          <w:sz w:val="24"/>
          <w:lang w:val="sk-SK"/>
        </w:rPr>
        <w:tab/>
        <w:t xml:space="preserve">Uznesenie Európskeho parlamentu z 26. novembra 2024 o vykonávacom rozhodnutí Komisie (EÚ) 2024/2627, ktorým sa podľa nariadenia Európskeho parlamentu a Rady (ES) č. 1829/2003 povoľuje umiestniť na trh výrobky, ktoré obsahujú geneticky modifikovanú bavlnu COT102, sú z nej zložené alebo vyrobené (Ú. v. EÚ C, C/2025/1798, 4.4.2025, ELI: </w:t>
      </w:r>
      <w:r w:rsidR="00CE2037">
        <w:fldChar w:fldCharType="begin"/>
      </w:r>
      <w:r w:rsidR="00CE2037" w:rsidRPr="00CE2037">
        <w:rPr>
          <w:lang w:val="sk-SK"/>
        </w:rPr>
        <w:instrText>HYPERLINK "http://data.europa.eu/eli/C/2025/1798/oj"</w:instrText>
      </w:r>
      <w:r w:rsidR="00CE2037">
        <w:fldChar w:fldCharType="separate"/>
      </w:r>
      <w:r w:rsidRPr="00BE2DF9">
        <w:rPr>
          <w:rStyle w:val="Hyperlink"/>
          <w:sz w:val="24"/>
          <w:lang w:val="sk-SK"/>
        </w:rPr>
        <w:t>http://data.europa.eu/eli/C/2025/1798/oj</w:t>
      </w:r>
      <w:r w:rsidR="00CE2037">
        <w:rPr>
          <w:rStyle w:val="Hyperlink"/>
          <w:sz w:val="24"/>
          <w:lang w:val="sk-SK"/>
        </w:rPr>
        <w:fldChar w:fldCharType="end"/>
      </w:r>
      <w:r w:rsidRPr="00BE2DF9">
        <w:rPr>
          <w:color w:val="000000" w:themeColor="text1"/>
          <w:sz w:val="24"/>
          <w:lang w:val="sk-SK"/>
        </w:rPr>
        <w:t>).</w:t>
      </w:r>
    </w:p>
    <w:p w14:paraId="233E2BB1" w14:textId="0E8D3FC0" w:rsidR="00133E0F" w:rsidRPr="00BE2DF9" w:rsidRDefault="00133E0F" w:rsidP="0018183A">
      <w:pPr>
        <w:pStyle w:val="FootnoteText"/>
        <w:suppressAutoHyphens/>
        <w:ind w:left="1134" w:hanging="567"/>
        <w:rPr>
          <w:color w:val="000000" w:themeColor="text1"/>
          <w:sz w:val="24"/>
          <w:vertAlign w:val="superscript"/>
          <w:lang w:val="sk-SK"/>
        </w:rPr>
      </w:pPr>
      <w:r w:rsidRPr="00BE2DF9">
        <w:rPr>
          <w:color w:val="000000" w:themeColor="text1"/>
          <w:sz w:val="24"/>
          <w:lang w:val="sk-SK"/>
        </w:rPr>
        <w:t>–</w:t>
      </w:r>
      <w:r w:rsidRPr="00BE2DF9">
        <w:rPr>
          <w:color w:val="000000" w:themeColor="text1"/>
          <w:sz w:val="24"/>
          <w:lang w:val="sk-SK"/>
        </w:rPr>
        <w:tab/>
        <w:t xml:space="preserve">Uznesenie Európskeho parlamentu z 26. novembra 2024 o vykonávacom rozhodnutí Komisie (EÚ) 2024/2629, ktorým sa podľa nariadenia Európskeho parlamentu a Rady (ES) č. 1829/2003 obnovuje povolenie umiestňovať na trh výrobky, ktoré obsahujú geneticky modifikovanú kukuricu MON 89034 × 1507 × MON 88017 × 59122 a osem jej čiastkových kombinácií, sú z nich zložené alebo vyrobené (Ú. v. EÚ C, C/2025/1799, 4.4.2025, ELI: </w:t>
      </w:r>
      <w:r w:rsidR="00CE2037">
        <w:fldChar w:fldCharType="begin"/>
      </w:r>
      <w:r w:rsidR="00CE2037" w:rsidRPr="00CE2037">
        <w:rPr>
          <w:lang w:val="sk-SK"/>
        </w:rPr>
        <w:instrText>HYPERLINK "http://data.europa.eu/eli/C/2025/1799/oj"</w:instrText>
      </w:r>
      <w:r w:rsidR="00CE2037">
        <w:fldChar w:fldCharType="separate"/>
      </w:r>
      <w:r w:rsidRPr="00BE2DF9">
        <w:rPr>
          <w:rStyle w:val="Hyperlink"/>
          <w:sz w:val="24"/>
          <w:lang w:val="sk-SK"/>
        </w:rPr>
        <w:t>http://data.europa.eu/eli/C/2025/1799/oj</w:t>
      </w:r>
      <w:r w:rsidR="00CE2037">
        <w:rPr>
          <w:rStyle w:val="Hyperlink"/>
          <w:sz w:val="24"/>
          <w:lang w:val="sk-SK"/>
        </w:rPr>
        <w:fldChar w:fldCharType="end"/>
      </w:r>
      <w:r w:rsidRPr="00BE2DF9">
        <w:rPr>
          <w:color w:val="000000" w:themeColor="text1"/>
          <w:sz w:val="24"/>
          <w:lang w:val="sk-SK"/>
        </w:rPr>
        <w:t>).</w:t>
      </w:r>
    </w:p>
    <w:p w14:paraId="231EFCF8" w14:textId="5BD372ED" w:rsidR="00133E0F" w:rsidRPr="00BE2DF9" w:rsidRDefault="00133E0F" w:rsidP="0018183A">
      <w:pPr>
        <w:pStyle w:val="FootnoteText"/>
        <w:suppressAutoHyphens/>
        <w:ind w:left="1134" w:hanging="567"/>
        <w:rPr>
          <w:color w:val="000000" w:themeColor="text1"/>
          <w:sz w:val="24"/>
          <w:vertAlign w:val="superscript"/>
          <w:lang w:val="sk-SK"/>
        </w:rPr>
      </w:pPr>
      <w:r w:rsidRPr="00BE2DF9">
        <w:rPr>
          <w:color w:val="000000" w:themeColor="text1"/>
          <w:sz w:val="24"/>
          <w:lang w:val="sk-SK"/>
        </w:rPr>
        <w:t>–</w:t>
      </w:r>
      <w:r w:rsidRPr="00BE2DF9">
        <w:rPr>
          <w:color w:val="000000" w:themeColor="text1"/>
          <w:sz w:val="24"/>
          <w:lang w:val="sk-SK"/>
        </w:rPr>
        <w:tab/>
        <w:t xml:space="preserve">Uznesenie Európskeho parlamentu z 26. novembra 2024 o vykonávacom rozhodnutí Komisie (EÚ) 2024/1828, ktorým sa podľa nariadenia Európskeho parlamentu a Rady (ES) č. 1829/2003 obnovuje povolenie umiestňovať na trh krmivá, ktoré obsahujú geneticky modifikovanú kukuricu MON 810 alebo sú z nej zložené, a potraviny a krmivá vyrobené z geneticky modifikovanej kukurice MON 810 a ktorým sa zrušuje vykonávacie rozhodnutie Komisie (EÚ) 2017/1207 (Ú. v. EÚ C, C/2025/1800, 4.4.2025, ELI: </w:t>
      </w:r>
      <w:r w:rsidR="00CE2037">
        <w:fldChar w:fldCharType="begin"/>
      </w:r>
      <w:r w:rsidR="00CE2037" w:rsidRPr="00CE2037">
        <w:rPr>
          <w:lang w:val="sk-SK"/>
        </w:rPr>
        <w:instrText>HYPERLINK "http://data.europa.eu/eli/C/2025/1800/oj"</w:instrText>
      </w:r>
      <w:r w:rsidR="00CE2037">
        <w:fldChar w:fldCharType="separate"/>
      </w:r>
      <w:r w:rsidRPr="00BE2DF9">
        <w:rPr>
          <w:rStyle w:val="Hyperlink"/>
          <w:sz w:val="24"/>
          <w:lang w:val="sk-SK"/>
        </w:rPr>
        <w:t>http://data.europa.eu/eli/C/2025/1800/oj</w:t>
      </w:r>
      <w:r w:rsidR="00CE2037">
        <w:rPr>
          <w:rStyle w:val="Hyperlink"/>
          <w:sz w:val="24"/>
          <w:lang w:val="sk-SK"/>
        </w:rPr>
        <w:fldChar w:fldCharType="end"/>
      </w:r>
      <w:r w:rsidRPr="00BE2DF9">
        <w:rPr>
          <w:color w:val="000000" w:themeColor="text1"/>
          <w:sz w:val="24"/>
          <w:lang w:val="sk-SK"/>
        </w:rPr>
        <w:t>).</w:t>
      </w:r>
    </w:p>
    <w:p w14:paraId="76DB7D7F" w14:textId="59ECE78E" w:rsidR="00133E0F" w:rsidRPr="00BE2DF9" w:rsidRDefault="00133E0F" w:rsidP="0018183A">
      <w:pPr>
        <w:pStyle w:val="FootnoteText"/>
        <w:suppressAutoHyphens/>
        <w:ind w:left="1134" w:hanging="567"/>
        <w:rPr>
          <w:color w:val="000000" w:themeColor="text1"/>
          <w:sz w:val="24"/>
          <w:vertAlign w:val="superscript"/>
          <w:lang w:val="sk-SK"/>
        </w:rPr>
      </w:pPr>
      <w:r w:rsidRPr="00BE2DF9">
        <w:rPr>
          <w:color w:val="000000" w:themeColor="text1"/>
          <w:sz w:val="24"/>
          <w:lang w:val="sk-SK"/>
        </w:rPr>
        <w:t>–</w:t>
      </w:r>
      <w:r w:rsidRPr="00BE2DF9">
        <w:rPr>
          <w:color w:val="000000" w:themeColor="text1"/>
          <w:sz w:val="24"/>
          <w:lang w:val="sk-SK"/>
        </w:rPr>
        <w:tab/>
        <w:t xml:space="preserve">Uznesenie Európskeho parlamentu z 26. novembra 2024 o vykonávacom rozhodnutí Komisie (EÚ) 2024/1822, ktorým sa podľa nariadenia Európskeho parlamentu a Rady (ES) č. 1829/2003 povoľuje umiestniť na trh výrobky, ktoré obsahujú geneticky modifikovanú kukuricu DP915635, sú z nej zložené alebo vyrobené (Ú. v. EÚ C, C/2025/1801, 4.4.2025, ELI: </w:t>
      </w:r>
      <w:r w:rsidR="00CE2037">
        <w:fldChar w:fldCharType="begin"/>
      </w:r>
      <w:r w:rsidR="00CE2037" w:rsidRPr="00CE2037">
        <w:rPr>
          <w:lang w:val="sk-SK"/>
        </w:rPr>
        <w:instrText>HYPERLINK "http://data.europa.eu/eli/C/2025/1801/oj"</w:instrText>
      </w:r>
      <w:r w:rsidR="00CE2037">
        <w:fldChar w:fldCharType="separate"/>
      </w:r>
      <w:r w:rsidRPr="00BE2DF9">
        <w:rPr>
          <w:rStyle w:val="Hyperlink"/>
          <w:sz w:val="24"/>
          <w:lang w:val="sk-SK"/>
        </w:rPr>
        <w:t>http://data.europa.eu/eli/C/2025/1801/oj</w:t>
      </w:r>
      <w:r w:rsidR="00CE2037">
        <w:rPr>
          <w:rStyle w:val="Hyperlink"/>
          <w:sz w:val="24"/>
          <w:lang w:val="sk-SK"/>
        </w:rPr>
        <w:fldChar w:fldCharType="end"/>
      </w:r>
      <w:r w:rsidRPr="00BE2DF9">
        <w:rPr>
          <w:color w:val="000000" w:themeColor="text1"/>
          <w:sz w:val="24"/>
          <w:lang w:val="sk-SK"/>
        </w:rPr>
        <w:t>).</w:t>
      </w:r>
    </w:p>
    <w:p w14:paraId="5D6A754F" w14:textId="707C1D48" w:rsidR="00133E0F" w:rsidRPr="00BE2DF9" w:rsidRDefault="00133E0F" w:rsidP="0018183A">
      <w:pPr>
        <w:pStyle w:val="FootnoteText"/>
        <w:suppressAutoHyphens/>
        <w:ind w:left="1134" w:hanging="567"/>
        <w:rPr>
          <w:color w:val="000000" w:themeColor="text1"/>
          <w:sz w:val="24"/>
          <w:vertAlign w:val="superscript"/>
          <w:lang w:val="sk-SK"/>
        </w:rPr>
      </w:pPr>
      <w:r w:rsidRPr="00BE2DF9">
        <w:rPr>
          <w:color w:val="000000" w:themeColor="text1"/>
          <w:sz w:val="24"/>
          <w:lang w:val="sk-SK"/>
        </w:rPr>
        <w:t>–</w:t>
      </w:r>
      <w:r w:rsidRPr="00BE2DF9">
        <w:rPr>
          <w:color w:val="000000" w:themeColor="text1"/>
          <w:sz w:val="24"/>
          <w:lang w:val="sk-SK"/>
        </w:rPr>
        <w:tab/>
        <w:t xml:space="preserve">Uznesenie Európskeho parlamentu z 26. novembra 2024 o vykonávacom rozhodnutí Komisie (EÚ) 2024/1826, ktorým sa podľa nariadenia Európskeho parlamentu a Rady (ES) č. 1829/2003 povoľuje umiestniť na trh výrobky, ktoré obsahujú geneticky modifikovanú kukuricu DP23211, sú z nej zložené alebo vyrobené (Ú. v. EÚ C, C/2025/1802, 4.4.2025, ELI: </w:t>
      </w:r>
      <w:r w:rsidR="00CE2037">
        <w:fldChar w:fldCharType="begin"/>
      </w:r>
      <w:r w:rsidR="00CE2037" w:rsidRPr="00CE2037">
        <w:rPr>
          <w:lang w:val="sk-SK"/>
        </w:rPr>
        <w:instrText>HYPERLINK "http://data.europa.eu/eli/C/2025/1802/oj"</w:instrText>
      </w:r>
      <w:r w:rsidR="00CE2037">
        <w:fldChar w:fldCharType="separate"/>
      </w:r>
      <w:r w:rsidRPr="00BE2DF9">
        <w:rPr>
          <w:rStyle w:val="Hyperlink"/>
          <w:sz w:val="24"/>
          <w:lang w:val="sk-SK"/>
        </w:rPr>
        <w:t>http://data.europa.eu/eli/C/2025/1802/oj</w:t>
      </w:r>
      <w:r w:rsidR="00CE2037">
        <w:rPr>
          <w:rStyle w:val="Hyperlink"/>
          <w:sz w:val="24"/>
          <w:lang w:val="sk-SK"/>
        </w:rPr>
        <w:fldChar w:fldCharType="end"/>
      </w:r>
      <w:r w:rsidRPr="00BE2DF9">
        <w:rPr>
          <w:color w:val="000000" w:themeColor="text1"/>
          <w:sz w:val="24"/>
          <w:lang w:val="sk-SK"/>
        </w:rPr>
        <w:t>).</w:t>
      </w:r>
    </w:p>
    <w:p w14:paraId="5823416C" w14:textId="647C462B" w:rsidR="00133E0F" w:rsidRPr="00BE2DF9" w:rsidRDefault="00133E0F" w:rsidP="0018183A">
      <w:pPr>
        <w:pStyle w:val="FootnoteText"/>
        <w:suppressAutoHyphens/>
        <w:ind w:left="1134" w:hanging="567"/>
        <w:rPr>
          <w:color w:val="000000" w:themeColor="text1"/>
          <w:sz w:val="24"/>
          <w:vertAlign w:val="superscript"/>
          <w:lang w:val="sk-SK"/>
        </w:rPr>
      </w:pPr>
      <w:r w:rsidRPr="00BE2DF9">
        <w:rPr>
          <w:color w:val="000000" w:themeColor="text1"/>
          <w:sz w:val="24"/>
          <w:lang w:val="sk-SK"/>
        </w:rPr>
        <w:t>–</w:t>
      </w:r>
      <w:r w:rsidRPr="00BE2DF9">
        <w:rPr>
          <w:color w:val="000000" w:themeColor="text1"/>
          <w:sz w:val="24"/>
          <w:lang w:val="sk-SK"/>
        </w:rPr>
        <w:tab/>
        <w:t xml:space="preserve">Uznesenie Európskeho parlamentu z 26. novembra 2024 o vykonávacom rozhodnutí Komisie (EÚ) 2024/2618, ktorým sa podľa nariadenia Európskeho parlamentu a Rady (ES) č. 1829/2003 povoľuje umiestniť na trh produkty, ktoré obsahujú geneticky modifikovanú kukuricu DP202216, sú z nej zložené alebo vyrobené (Ú. v. EÚ C, C/2025/1803, 4.4.2025, ELI: </w:t>
      </w:r>
      <w:r w:rsidR="00CE2037">
        <w:fldChar w:fldCharType="begin"/>
      </w:r>
      <w:r w:rsidR="00CE2037" w:rsidRPr="00CE2037">
        <w:rPr>
          <w:lang w:val="sk-SK"/>
        </w:rPr>
        <w:instrText>HYPERLINK "http://data.europa.eu/eli/C/2025/1803/oj"</w:instrText>
      </w:r>
      <w:r w:rsidR="00CE2037">
        <w:fldChar w:fldCharType="separate"/>
      </w:r>
      <w:r w:rsidRPr="00BE2DF9">
        <w:rPr>
          <w:rStyle w:val="Hyperlink"/>
          <w:sz w:val="24"/>
          <w:lang w:val="sk-SK"/>
        </w:rPr>
        <w:t>http://data.europa.eu/eli/C/2025/1803/oj</w:t>
      </w:r>
      <w:r w:rsidR="00CE2037">
        <w:rPr>
          <w:rStyle w:val="Hyperlink"/>
          <w:sz w:val="24"/>
          <w:lang w:val="sk-SK"/>
        </w:rPr>
        <w:fldChar w:fldCharType="end"/>
      </w:r>
      <w:r w:rsidRPr="00BE2DF9">
        <w:rPr>
          <w:color w:val="000000" w:themeColor="text1"/>
          <w:sz w:val="24"/>
          <w:lang w:val="sk-SK"/>
        </w:rPr>
        <w:t>).</w:t>
      </w:r>
    </w:p>
    <w:p w14:paraId="5B91B163" w14:textId="0E9CD8EF" w:rsidR="00133E0F" w:rsidRPr="00BE2DF9" w:rsidRDefault="00133E0F" w:rsidP="0018183A">
      <w:pPr>
        <w:pStyle w:val="FootnoteText"/>
        <w:suppressAutoHyphens/>
        <w:ind w:left="1134" w:hanging="567"/>
        <w:rPr>
          <w:color w:val="000000" w:themeColor="text1"/>
          <w:sz w:val="24"/>
          <w:vertAlign w:val="superscript"/>
          <w:lang w:val="sk-SK"/>
        </w:rPr>
      </w:pPr>
      <w:r w:rsidRPr="00BE2DF9">
        <w:rPr>
          <w:color w:val="000000" w:themeColor="text1"/>
          <w:sz w:val="24"/>
          <w:lang w:val="sk-SK"/>
        </w:rPr>
        <w:t>–</w:t>
      </w:r>
      <w:r w:rsidRPr="00BE2DF9">
        <w:rPr>
          <w:color w:val="000000" w:themeColor="text1"/>
          <w:sz w:val="24"/>
          <w:lang w:val="sk-SK"/>
        </w:rPr>
        <w:tab/>
        <w:t xml:space="preserve">Uznesenie Európskeho parlamentu z 26. novembra 2024 o návrhu vykonávacieho rozhodnutia Komisie, ktorým sa podľa nariadenia Európskeho parlamentu a Rady (ES) č. 1829/2003 povoľuje umiestniť na trh produkty, ktoré obsahujú geneticky modifikovanú kukuricu MON 94804, sú z nej zložené alebo vyrobené (Ú. v. EÚ C, C/2025/1804, 4.4.2025, ELI: </w:t>
      </w:r>
      <w:r w:rsidR="00CE2037">
        <w:fldChar w:fldCharType="begin"/>
      </w:r>
      <w:r w:rsidR="00CE2037" w:rsidRPr="00CE2037">
        <w:rPr>
          <w:lang w:val="sk-SK"/>
        </w:rPr>
        <w:instrText>HYPERLINK "http://data.europa.eu/eli/C/2025/1804/oj"</w:instrText>
      </w:r>
      <w:r w:rsidR="00CE2037">
        <w:fldChar w:fldCharType="separate"/>
      </w:r>
      <w:r w:rsidRPr="00BE2DF9">
        <w:rPr>
          <w:rStyle w:val="Hyperlink"/>
          <w:sz w:val="24"/>
          <w:lang w:val="sk-SK"/>
        </w:rPr>
        <w:t>http://data.europa.eu/eli/C/2025/1804/oj</w:t>
      </w:r>
      <w:r w:rsidR="00CE2037">
        <w:rPr>
          <w:rStyle w:val="Hyperlink"/>
          <w:sz w:val="24"/>
          <w:lang w:val="sk-SK"/>
        </w:rPr>
        <w:fldChar w:fldCharType="end"/>
      </w:r>
      <w:r w:rsidRPr="00BE2DF9">
        <w:rPr>
          <w:color w:val="000000" w:themeColor="text1"/>
          <w:sz w:val="24"/>
          <w:lang w:val="sk-SK"/>
        </w:rPr>
        <w:t>).</w:t>
      </w:r>
    </w:p>
    <w:p w14:paraId="7F4F050B" w14:textId="323AFF39" w:rsidR="00133E0F" w:rsidRPr="00BE2DF9" w:rsidRDefault="00133E0F" w:rsidP="0018183A">
      <w:pPr>
        <w:pStyle w:val="FootnoteText"/>
        <w:suppressAutoHyphens/>
        <w:ind w:left="1134" w:hanging="567"/>
        <w:rPr>
          <w:sz w:val="24"/>
          <w:vertAlign w:val="superscript"/>
          <w:lang w:val="sk-SK"/>
        </w:rPr>
      </w:pPr>
      <w:r w:rsidRPr="00BE2DF9">
        <w:rPr>
          <w:color w:val="000000" w:themeColor="text1"/>
          <w:sz w:val="24"/>
          <w:lang w:val="sk-SK"/>
        </w:rPr>
        <w:t>–</w:t>
      </w:r>
      <w:r w:rsidRPr="00BE2DF9">
        <w:rPr>
          <w:color w:val="000000" w:themeColor="text1"/>
          <w:sz w:val="24"/>
          <w:lang w:val="sk-SK"/>
        </w:rPr>
        <w:tab/>
      </w:r>
      <w:r w:rsidRPr="00BE2DF9">
        <w:rPr>
          <w:sz w:val="24"/>
          <w:lang w:val="sk-SK"/>
        </w:rPr>
        <w:t xml:space="preserve">Uznesenie Európskeho parlamentu z 12. februára 2025 o návrhu vykonávacieho rozhodnutia Komisie, ktorým sa podľa nariadenia Európskeho parlamentu a Rady (ES) č. 1829/2003 povoľuje umiestniť na trh produkty, ktoré obsahujú geneticky modifikovanú kukuricu DP910521, sú z nej zložené alebo vyrobené (Ú. v. EÚ C, C/2025/2246, 29.4.2025, ELI: </w:t>
      </w:r>
      <w:r w:rsidR="00CE2037">
        <w:fldChar w:fldCharType="begin"/>
      </w:r>
      <w:r w:rsidR="00CE2037" w:rsidRPr="00CE2037">
        <w:rPr>
          <w:lang w:val="sk-SK"/>
        </w:rPr>
        <w:instrText>HYPERLINK "http://data.europa.eu/eli/C/2025/2246/oj" \o "Umožňuje prístup k tomuto dokumentu prostredníctvom identifikátora URI používaného v rámci ELI."</w:instrText>
      </w:r>
      <w:r w:rsidR="00CE2037">
        <w:fldChar w:fldCharType="separate"/>
      </w:r>
      <w:r w:rsidRPr="00BE2DF9">
        <w:rPr>
          <w:rStyle w:val="Hyperlink"/>
          <w:sz w:val="24"/>
          <w:lang w:val="sk-SK"/>
        </w:rPr>
        <w:t>http://data.europa.eu/eli/C/2025/2246/oj</w:t>
      </w:r>
      <w:r w:rsidR="00CE2037">
        <w:rPr>
          <w:rStyle w:val="Hyperlink"/>
          <w:sz w:val="24"/>
          <w:lang w:val="sk-SK"/>
        </w:rPr>
        <w:fldChar w:fldCharType="end"/>
      </w:r>
      <w:r w:rsidRPr="00BE2DF9">
        <w:rPr>
          <w:sz w:val="24"/>
          <w:lang w:val="sk-SK"/>
        </w:rPr>
        <w:t>).</w:t>
      </w:r>
    </w:p>
    <w:p w14:paraId="15816E49" w14:textId="1C5E029A" w:rsidR="00133E0F" w:rsidRPr="00BE2DF9" w:rsidRDefault="00133E0F" w:rsidP="0018183A">
      <w:pPr>
        <w:pStyle w:val="FootnoteText"/>
        <w:suppressAutoHyphens/>
        <w:ind w:left="1134" w:hanging="567"/>
        <w:rPr>
          <w:sz w:val="24"/>
          <w:vertAlign w:val="superscript"/>
          <w:lang w:val="sk-SK"/>
        </w:rPr>
      </w:pPr>
      <w:r w:rsidRPr="00BE2DF9">
        <w:rPr>
          <w:sz w:val="24"/>
          <w:lang w:val="sk-SK"/>
        </w:rPr>
        <w:t>–</w:t>
      </w:r>
      <w:r w:rsidRPr="00BE2DF9">
        <w:rPr>
          <w:sz w:val="24"/>
          <w:lang w:val="sk-SK"/>
        </w:rPr>
        <w:tab/>
        <w:t xml:space="preserve">Uznesenie Európskeho parlamentu z 12. februára 2025 o návrhu vykonávacieho rozhodnutia Komisie, ktorým sa podľa nariadenia Európskeho parlamentu a Rady (ES) č. 1829/2003 povoľuje umiestniť na trh produkty, ktoré obsahujú geneticky modifikovanú kukuricu MON 95275, sú z nej zložené alebo vyrobené (Ú. v. EÚ C, C/2025/2247, 29.4.2025, ELI: </w:t>
      </w:r>
      <w:r w:rsidR="00CE2037">
        <w:fldChar w:fldCharType="begin"/>
      </w:r>
      <w:r w:rsidR="00CE2037" w:rsidRPr="00CE2037">
        <w:rPr>
          <w:lang w:val="sk-SK"/>
        </w:rPr>
        <w:instrText>HYPERLINK "http://data.europa.eu/eli/C/2025/2247/oj" \o "Umožňuje prístup k tomuto dokumentu prostredníctvom identifikátora URI používaného v rámci ELI."</w:instrText>
      </w:r>
      <w:r w:rsidR="00CE2037">
        <w:fldChar w:fldCharType="separate"/>
      </w:r>
      <w:r w:rsidRPr="00BE2DF9">
        <w:rPr>
          <w:rStyle w:val="Hyperlink"/>
          <w:sz w:val="24"/>
          <w:lang w:val="sk-SK"/>
        </w:rPr>
        <w:t>http://data.europa.eu/eli/C/2025/2247/oj</w:t>
      </w:r>
      <w:r w:rsidR="00CE2037">
        <w:rPr>
          <w:rStyle w:val="Hyperlink"/>
          <w:sz w:val="24"/>
          <w:lang w:val="sk-SK"/>
        </w:rPr>
        <w:fldChar w:fldCharType="end"/>
      </w:r>
      <w:r w:rsidRPr="00BE2DF9">
        <w:rPr>
          <w:sz w:val="24"/>
          <w:lang w:val="sk-SK"/>
        </w:rPr>
        <w:t>).</w:t>
      </w:r>
    </w:p>
    <w:p w14:paraId="2170A097" w14:textId="5D96A011" w:rsidR="00133E0F" w:rsidRPr="00BE2DF9" w:rsidRDefault="00133E0F" w:rsidP="0018183A">
      <w:pPr>
        <w:pStyle w:val="FootnoteText"/>
        <w:suppressAutoHyphens/>
        <w:ind w:left="1134" w:hanging="567"/>
        <w:rPr>
          <w:sz w:val="24"/>
          <w:vertAlign w:val="superscript"/>
          <w:lang w:val="sk-SK"/>
        </w:rPr>
      </w:pPr>
      <w:r w:rsidRPr="00BE2DF9">
        <w:rPr>
          <w:sz w:val="24"/>
          <w:lang w:val="sk-SK"/>
        </w:rPr>
        <w:t>–</w:t>
      </w:r>
      <w:r w:rsidRPr="00BE2DF9">
        <w:rPr>
          <w:sz w:val="24"/>
          <w:lang w:val="sk-SK"/>
        </w:rPr>
        <w:tab/>
      </w:r>
      <w:r w:rsidRPr="0018183A">
        <w:rPr>
          <w:color w:val="000000" w:themeColor="text1"/>
          <w:sz w:val="24"/>
          <w:lang w:val="sk-SK"/>
        </w:rPr>
        <w:t>Uznesenie</w:t>
      </w:r>
      <w:r w:rsidRPr="00BE2DF9">
        <w:rPr>
          <w:sz w:val="24"/>
          <w:lang w:val="sk-SK"/>
        </w:rPr>
        <w:t xml:space="preserve"> Európskeho parlamentu z 8. mája 2025 o návrhu vykonávacieho rozhodnutia Komisie, ktorým sa podľa nariadenia Európskeho parlamentu a Rady (ES) č. 1829/2003 povoľuje umiestniť na trh produkty, ktoré obsahujú geneticky modifikovanú sóju MON 87705 × MON 87708 × MON 89788, sú z nej zložené alebo vyrobené (P10_TA(2025)0106).</w:t>
      </w:r>
    </w:p>
    <w:p w14:paraId="78CD91ED" w14:textId="76878902" w:rsidR="00133E0F" w:rsidRPr="0018183A" w:rsidRDefault="00133E0F" w:rsidP="0018183A">
      <w:pPr>
        <w:pStyle w:val="FootnoteText"/>
        <w:suppressAutoHyphens/>
        <w:ind w:left="1134" w:hanging="567"/>
        <w:rPr>
          <w:color w:val="000000" w:themeColor="text1"/>
          <w:sz w:val="24"/>
          <w:lang w:val="sk-SK"/>
        </w:rPr>
      </w:pPr>
      <w:r w:rsidRPr="00BE2DF9">
        <w:rPr>
          <w:sz w:val="24"/>
          <w:lang w:val="sk-SK"/>
        </w:rPr>
        <w:t>–</w:t>
      </w:r>
      <w:r w:rsidRPr="00BE2DF9">
        <w:rPr>
          <w:sz w:val="24"/>
          <w:lang w:val="sk-SK"/>
        </w:rPr>
        <w:tab/>
        <w:t xml:space="preserve">Uznesenie Európskeho parlamentu z 8. októbra 2025 o vykonávacom rozhodnutí Komisie (EÚ) 2025/1898 z 22. septembra 2025, ktorým sa podľa nariadenia Európskeho parlamentu a Rady (ES) č. 1829/2003 povoľuje umiestniť na trh výrobky, ktoré obsahujú geneticky modifikovanú kukuricu DP51291, sú </w:t>
      </w:r>
      <w:r w:rsidRPr="0018183A">
        <w:rPr>
          <w:color w:val="000000" w:themeColor="text1"/>
          <w:sz w:val="24"/>
          <w:lang w:val="sk-SK"/>
        </w:rPr>
        <w:t>z nej zložené alebo vyrobené (P10_TA(2025)0222).</w:t>
      </w:r>
    </w:p>
    <w:p w14:paraId="01641F79" w14:textId="48A013F4" w:rsidR="00133E0F" w:rsidRPr="00BE2DF9" w:rsidRDefault="00133E0F" w:rsidP="0018183A">
      <w:pPr>
        <w:pStyle w:val="FootnoteText"/>
        <w:suppressAutoHyphens/>
        <w:ind w:left="1134" w:hanging="567"/>
        <w:rPr>
          <w:sz w:val="24"/>
          <w:vertAlign w:val="superscript"/>
          <w:lang w:val="sk-SK"/>
        </w:rPr>
      </w:pPr>
      <w:bookmarkStart w:id="7" w:name="_Hlk215330280"/>
      <w:r w:rsidRPr="00BE2DF9">
        <w:rPr>
          <w:sz w:val="24"/>
          <w:lang w:val="sk-SK"/>
        </w:rPr>
        <w:t>–</w:t>
      </w:r>
      <w:r w:rsidRPr="00BE2DF9">
        <w:rPr>
          <w:sz w:val="24"/>
          <w:lang w:val="sk-SK"/>
        </w:rPr>
        <w:tab/>
        <w:t xml:space="preserve">Uznesenie Európskeho parlamentu z 25. novembra 2025 o návrhu vykonávacieho </w:t>
      </w:r>
      <w:r w:rsidRPr="0018183A">
        <w:rPr>
          <w:color w:val="000000" w:themeColor="text1"/>
          <w:sz w:val="24"/>
          <w:lang w:val="sk-SK"/>
        </w:rPr>
        <w:t>rozhodnutia</w:t>
      </w:r>
      <w:r w:rsidRPr="00BE2DF9">
        <w:rPr>
          <w:sz w:val="24"/>
          <w:lang w:val="sk-SK"/>
        </w:rPr>
        <w:t xml:space="preserve"> Komisie, ktorým sa podľa nariadenia Európskeho parlamentu a Rady (ES) č. 1829/2003 povoľuje umiestniť na trh produkty, ktoré obsahujú geneticky modifikovanú kukuricu DAS1131, sú z nej zložené alebo vyrobené (P10_TA(2025)0288).</w:t>
      </w:r>
    </w:p>
    <w:p w14:paraId="7918077F" w14:textId="402A45CB" w:rsidR="00133E0F" w:rsidRPr="00BE2DF9" w:rsidRDefault="00133E0F" w:rsidP="0018183A">
      <w:pPr>
        <w:pStyle w:val="FootnoteText"/>
        <w:suppressAutoHyphens/>
        <w:ind w:left="1134" w:hanging="567"/>
        <w:rPr>
          <w:sz w:val="24"/>
          <w:vertAlign w:val="superscript"/>
          <w:lang w:val="sk-SK"/>
        </w:rPr>
      </w:pPr>
      <w:r w:rsidRPr="00BE2DF9">
        <w:rPr>
          <w:sz w:val="24"/>
          <w:lang w:val="sk-SK"/>
        </w:rPr>
        <w:t>–</w:t>
      </w:r>
      <w:r w:rsidRPr="00BE2DF9">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bavlnu MON 88913 (MON-88913-8), sú z nej zložené alebo vyrobené (P10_TA(2025)0289).</w:t>
      </w:r>
    </w:p>
    <w:p w14:paraId="29E4893A" w14:textId="30C44188" w:rsidR="00133E0F" w:rsidRPr="00BE2DF9" w:rsidRDefault="00133E0F" w:rsidP="0018183A">
      <w:pPr>
        <w:pStyle w:val="FootnoteText"/>
        <w:suppressAutoHyphens/>
        <w:ind w:left="1134" w:hanging="567"/>
        <w:rPr>
          <w:sz w:val="24"/>
          <w:vertAlign w:val="superscript"/>
          <w:lang w:val="sk-SK"/>
        </w:rPr>
      </w:pPr>
      <w:r w:rsidRPr="00BE2DF9">
        <w:rPr>
          <w:sz w:val="24"/>
          <w:lang w:val="sk-SK"/>
        </w:rPr>
        <w:t>–</w:t>
      </w:r>
      <w:r w:rsidRPr="00BE2DF9">
        <w:rPr>
          <w:sz w:val="24"/>
          <w:lang w:val="sk-SK"/>
        </w:rPr>
        <w:tab/>
        <w:t xml:space="preserve">Uznesenie Európskeho parlamentu z 25. novembra 2025 o návrhu vykonávacieho rozhodnutia Komisie, ktorým sa podľa nariadenia Európskeho parlamentu a Rady (ES) č. 1829/2003 obnovuje povolenie umiestniť na trh produkty, ktoré obsahujú geneticky modifikovanú repku </w:t>
      </w:r>
      <w:proofErr w:type="spellStart"/>
      <w:r w:rsidRPr="00BE2DF9">
        <w:rPr>
          <w:sz w:val="24"/>
          <w:lang w:val="sk-SK"/>
        </w:rPr>
        <w:t>olejku</w:t>
      </w:r>
      <w:proofErr w:type="spellEnd"/>
      <w:r w:rsidRPr="00BE2DF9">
        <w:rPr>
          <w:sz w:val="24"/>
          <w:lang w:val="sk-SK"/>
        </w:rPr>
        <w:t xml:space="preserve"> MON 88302, sú z nej zložené alebo vyrobené (P10_TA(2025)0290).</w:t>
      </w:r>
    </w:p>
    <w:p w14:paraId="3F713F47" w14:textId="7412CE80" w:rsidR="00133E0F" w:rsidRPr="00BE2DF9" w:rsidRDefault="00133E0F" w:rsidP="0018183A">
      <w:pPr>
        <w:pStyle w:val="FootnoteText"/>
        <w:suppressAutoHyphens/>
        <w:ind w:left="1134" w:hanging="567"/>
        <w:rPr>
          <w:sz w:val="24"/>
          <w:vertAlign w:val="superscript"/>
          <w:lang w:val="sk-SK"/>
        </w:rPr>
      </w:pPr>
      <w:r w:rsidRPr="00BE2DF9">
        <w:rPr>
          <w:sz w:val="24"/>
          <w:lang w:val="sk-SK"/>
        </w:rPr>
        <w:t>–</w:t>
      </w:r>
      <w:r w:rsidRPr="00BE2DF9">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sóju MON 87708, sú z nej zložené alebo vyrobené (P10_TA(2025)0291).</w:t>
      </w:r>
    </w:p>
    <w:p w14:paraId="76954C06" w14:textId="10890B60" w:rsidR="00133E0F" w:rsidRPr="00BE2DF9" w:rsidRDefault="00133E0F" w:rsidP="0018183A">
      <w:pPr>
        <w:pStyle w:val="FootnoteText"/>
        <w:suppressAutoHyphens/>
        <w:ind w:left="1134" w:hanging="567"/>
        <w:rPr>
          <w:sz w:val="24"/>
          <w:lang w:val="sk-SK"/>
        </w:rPr>
      </w:pPr>
      <w:r w:rsidRPr="00BE2DF9">
        <w:rPr>
          <w:sz w:val="24"/>
          <w:lang w:val="sk-SK"/>
        </w:rPr>
        <w:t>–</w:t>
      </w:r>
      <w:r w:rsidRPr="00BE2DF9">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kukuricu MON 87427, sú z nej zložené alebo vyrobené (P10_TA(2025)0292).</w:t>
      </w:r>
      <w:bookmarkEnd w:id="7"/>
    </w:p>
  </w:footnote>
  <w:footnote w:id="5">
    <w:p w14:paraId="58927C16" w14:textId="59EE1447" w:rsidR="00133E0F" w:rsidRPr="00BE2DF9" w:rsidRDefault="00133E0F" w:rsidP="00BE2DF9">
      <w:pPr>
        <w:pStyle w:val="FootnoteText"/>
        <w:ind w:left="567" w:hanging="567"/>
        <w:rPr>
          <w:sz w:val="24"/>
          <w:lang w:val="sk-SK"/>
        </w:rPr>
      </w:pPr>
      <w:r w:rsidRPr="00BE2DF9">
        <w:rPr>
          <w:rStyle w:val="FootnoteReference"/>
          <w:sz w:val="24"/>
          <w:lang w:val="sk-SK"/>
        </w:rPr>
        <w:footnoteRef/>
      </w:r>
      <w:r w:rsidR="00BE2DF9" w:rsidRPr="00BE2DF9">
        <w:rPr>
          <w:sz w:val="24"/>
          <w:lang w:val="sk-SK"/>
        </w:rPr>
        <w:t xml:space="preserve"> </w:t>
      </w:r>
      <w:r w:rsidR="00BE2DF9" w:rsidRPr="00BE2DF9">
        <w:rPr>
          <w:sz w:val="24"/>
          <w:lang w:val="sk-SK"/>
        </w:rPr>
        <w:tab/>
      </w:r>
      <w:r w:rsidRPr="00BE2DF9">
        <w:rPr>
          <w:sz w:val="24"/>
          <w:lang w:val="sk-SK"/>
        </w:rPr>
        <w:t>Vykonávacie rozhodnutie Komisie (EÚ) 2015/684 z 24. apríla 2015, ktorým sa podľa nariadenia Európskeho parlamentu a Rady (ES) č. 1829/2003 povoľuje umiestniť na trh geneticky modifikovanú kukuricu NK603 (MON-ØØ6Ø3-6) a ktorým sa obnovuje povolenie na existujúce výrobky z kukurice NK603 (MON-ØØ6Ø3-6) (Ú. v. EÚ L 112, 30.4.2015, s. 6, ELI: </w:t>
      </w:r>
      <w:r w:rsidR="00CE2037">
        <w:fldChar w:fldCharType="begin"/>
      </w:r>
      <w:r w:rsidR="00CE2037" w:rsidRPr="00CE2037">
        <w:rPr>
          <w:lang w:val="sk-SK"/>
        </w:rPr>
        <w:instrText>HYPERLINK "http://data.europa.eu/eli/dec_impl/2015/684/oj" \o "Umožňuje prístup k tomuto dokumentu prostredníctvom identifikátora URI používaného v rámci ELI."</w:instrText>
      </w:r>
      <w:r w:rsidR="00CE2037">
        <w:fldChar w:fldCharType="separate"/>
      </w:r>
      <w:r w:rsidRPr="00BE2DF9">
        <w:rPr>
          <w:rStyle w:val="Hyperlink"/>
          <w:sz w:val="24"/>
          <w:lang w:val="sk-SK"/>
        </w:rPr>
        <w:t>http://data.europa.eu/eli/dec_impl/2015/684/oj</w:t>
      </w:r>
      <w:r w:rsidR="00CE2037">
        <w:rPr>
          <w:rStyle w:val="Hyperlink"/>
          <w:sz w:val="24"/>
          <w:lang w:val="sk-SK"/>
        </w:rPr>
        <w:fldChar w:fldCharType="end"/>
      </w:r>
      <w:r w:rsidRPr="00BE2DF9">
        <w:rPr>
          <w:sz w:val="24"/>
          <w:lang w:val="sk-SK"/>
        </w:rPr>
        <w:t>).</w:t>
      </w:r>
    </w:p>
  </w:footnote>
  <w:footnote w:id="6">
    <w:p w14:paraId="06AF4637" w14:textId="5F86313B" w:rsidR="00133E0F" w:rsidRPr="00BE2DF9" w:rsidRDefault="00133E0F" w:rsidP="00BE2DF9">
      <w:pPr>
        <w:pStyle w:val="FootnoteText"/>
        <w:ind w:left="567" w:hanging="567"/>
        <w:rPr>
          <w:sz w:val="24"/>
          <w:lang w:val="sk-SK"/>
        </w:rPr>
      </w:pPr>
      <w:r w:rsidRPr="009F1680">
        <w:rPr>
          <w:rStyle w:val="FootnoteReference"/>
          <w:sz w:val="24"/>
          <w:lang w:val="sk-SK"/>
        </w:rPr>
        <w:footnoteRef/>
      </w:r>
      <w:r w:rsidR="00BE2DF9" w:rsidRPr="009F1680">
        <w:rPr>
          <w:rStyle w:val="Hyperlink"/>
          <w:sz w:val="24"/>
          <w:u w:val="none"/>
          <w:lang w:val="sk-SK"/>
        </w:rPr>
        <w:t xml:space="preserve"> </w:t>
      </w:r>
      <w:r w:rsidR="00BE2DF9" w:rsidRPr="009F1680">
        <w:rPr>
          <w:rStyle w:val="Hyperlink"/>
          <w:color w:val="000000" w:themeColor="text1"/>
          <w:sz w:val="24"/>
          <w:u w:val="none"/>
          <w:lang w:val="sk-SK"/>
        </w:rPr>
        <w:tab/>
      </w:r>
      <w:r w:rsidRPr="009F1680">
        <w:rPr>
          <w:rStyle w:val="Hyperlink"/>
          <w:color w:val="000000" w:themeColor="text1"/>
          <w:sz w:val="24"/>
          <w:u w:val="none"/>
          <w:lang w:val="sk-SK"/>
        </w:rPr>
        <w:t xml:space="preserve">Vedecká skupina EFSA pre GMO, 2009. </w:t>
      </w:r>
      <w:proofErr w:type="spellStart"/>
      <w:r w:rsidRPr="009F1680">
        <w:rPr>
          <w:rStyle w:val="Hyperlink"/>
          <w:color w:val="000000" w:themeColor="text1"/>
          <w:sz w:val="24"/>
          <w:u w:val="none"/>
          <w:lang w:val="sk-SK"/>
        </w:rPr>
        <w:t>Scientific</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Opinion</w:t>
      </w:r>
      <w:proofErr w:type="spellEnd"/>
      <w:r w:rsidRPr="009F1680">
        <w:rPr>
          <w:rStyle w:val="Hyperlink"/>
          <w:color w:val="000000" w:themeColor="text1"/>
          <w:sz w:val="24"/>
          <w:u w:val="none"/>
          <w:lang w:val="sk-SK"/>
        </w:rPr>
        <w:t xml:space="preserve"> of </w:t>
      </w:r>
      <w:proofErr w:type="spellStart"/>
      <w:r w:rsidRPr="009F1680">
        <w:rPr>
          <w:rStyle w:val="Hyperlink"/>
          <w:color w:val="000000" w:themeColor="text1"/>
          <w:sz w:val="24"/>
          <w:u w:val="none"/>
          <w:lang w:val="sk-SK"/>
        </w:rPr>
        <w:t>the</w:t>
      </w:r>
      <w:proofErr w:type="spellEnd"/>
      <w:r w:rsidRPr="009F1680">
        <w:rPr>
          <w:rStyle w:val="Hyperlink"/>
          <w:color w:val="000000" w:themeColor="text1"/>
          <w:sz w:val="24"/>
          <w:u w:val="none"/>
          <w:lang w:val="sk-SK"/>
        </w:rPr>
        <w:t xml:space="preserve"> Panel on </w:t>
      </w:r>
      <w:proofErr w:type="spellStart"/>
      <w:r w:rsidRPr="009F1680">
        <w:rPr>
          <w:rStyle w:val="Hyperlink"/>
          <w:color w:val="000000" w:themeColor="text1"/>
          <w:sz w:val="24"/>
          <w:u w:val="none"/>
          <w:lang w:val="sk-SK"/>
        </w:rPr>
        <w:t>Genetically</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Modified</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Organisms</w:t>
      </w:r>
      <w:proofErr w:type="spellEnd"/>
      <w:r w:rsidRPr="009F1680">
        <w:rPr>
          <w:rStyle w:val="Hyperlink"/>
          <w:color w:val="000000" w:themeColor="text1"/>
          <w:sz w:val="24"/>
          <w:u w:val="none"/>
          <w:lang w:val="sk-SK"/>
        </w:rPr>
        <w:t xml:space="preserve"> on </w:t>
      </w:r>
      <w:proofErr w:type="spellStart"/>
      <w:r w:rsidRPr="009F1680">
        <w:rPr>
          <w:rStyle w:val="Hyperlink"/>
          <w:color w:val="000000" w:themeColor="text1"/>
          <w:sz w:val="24"/>
          <w:u w:val="none"/>
          <w:lang w:val="sk-SK"/>
        </w:rPr>
        <w:t>applications</w:t>
      </w:r>
      <w:proofErr w:type="spellEnd"/>
      <w:r w:rsidRPr="009F1680">
        <w:rPr>
          <w:rStyle w:val="Hyperlink"/>
          <w:color w:val="000000" w:themeColor="text1"/>
          <w:sz w:val="24"/>
          <w:u w:val="none"/>
          <w:lang w:val="sk-SK"/>
        </w:rPr>
        <w:t xml:space="preserve"> (EFSA-GMO-NL-2005-22 and EFSA-GMO-RX-NK603) </w:t>
      </w:r>
      <w:proofErr w:type="spellStart"/>
      <w:r w:rsidRPr="009F1680">
        <w:rPr>
          <w:rStyle w:val="Hyperlink"/>
          <w:color w:val="000000" w:themeColor="text1"/>
          <w:sz w:val="24"/>
          <w:u w:val="none"/>
          <w:lang w:val="sk-SK"/>
        </w:rPr>
        <w:t>for</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the</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placing</w:t>
      </w:r>
      <w:proofErr w:type="spellEnd"/>
      <w:r w:rsidRPr="009F1680">
        <w:rPr>
          <w:rStyle w:val="Hyperlink"/>
          <w:color w:val="000000" w:themeColor="text1"/>
          <w:sz w:val="24"/>
          <w:u w:val="none"/>
          <w:lang w:val="sk-SK"/>
        </w:rPr>
        <w:t xml:space="preserve"> on </w:t>
      </w:r>
      <w:proofErr w:type="spellStart"/>
      <w:r w:rsidRPr="009F1680">
        <w:rPr>
          <w:rStyle w:val="Hyperlink"/>
          <w:color w:val="000000" w:themeColor="text1"/>
          <w:sz w:val="24"/>
          <w:u w:val="none"/>
          <w:lang w:val="sk-SK"/>
        </w:rPr>
        <w:t>the</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market</w:t>
      </w:r>
      <w:proofErr w:type="spellEnd"/>
      <w:r w:rsidRPr="009F1680">
        <w:rPr>
          <w:rStyle w:val="Hyperlink"/>
          <w:color w:val="000000" w:themeColor="text1"/>
          <w:sz w:val="24"/>
          <w:u w:val="none"/>
          <w:lang w:val="sk-SK"/>
        </w:rPr>
        <w:t xml:space="preserve"> of </w:t>
      </w:r>
      <w:proofErr w:type="spellStart"/>
      <w:r w:rsidRPr="009F1680">
        <w:rPr>
          <w:rStyle w:val="Hyperlink"/>
          <w:color w:val="000000" w:themeColor="text1"/>
          <w:sz w:val="24"/>
          <w:u w:val="none"/>
          <w:lang w:val="sk-SK"/>
        </w:rPr>
        <w:t>the</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genetically</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modified</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glyphosate</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tolerant</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maize</w:t>
      </w:r>
      <w:proofErr w:type="spellEnd"/>
      <w:r w:rsidRPr="009F1680">
        <w:rPr>
          <w:rStyle w:val="Hyperlink"/>
          <w:color w:val="000000" w:themeColor="text1"/>
          <w:sz w:val="24"/>
          <w:u w:val="none"/>
          <w:lang w:val="sk-SK"/>
        </w:rPr>
        <w:t xml:space="preserve"> NK603 </w:t>
      </w:r>
      <w:proofErr w:type="spellStart"/>
      <w:r w:rsidRPr="009F1680">
        <w:rPr>
          <w:rStyle w:val="Hyperlink"/>
          <w:color w:val="000000" w:themeColor="text1"/>
          <w:sz w:val="24"/>
          <w:u w:val="none"/>
          <w:lang w:val="sk-SK"/>
        </w:rPr>
        <w:t>for</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cultivation</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food</w:t>
      </w:r>
      <w:proofErr w:type="spellEnd"/>
      <w:r w:rsidRPr="009F1680">
        <w:rPr>
          <w:rStyle w:val="Hyperlink"/>
          <w:color w:val="000000" w:themeColor="text1"/>
          <w:sz w:val="24"/>
          <w:u w:val="none"/>
          <w:lang w:val="sk-SK"/>
        </w:rPr>
        <w:t xml:space="preserve"> and </w:t>
      </w:r>
      <w:proofErr w:type="spellStart"/>
      <w:r w:rsidRPr="009F1680">
        <w:rPr>
          <w:rStyle w:val="Hyperlink"/>
          <w:color w:val="000000" w:themeColor="text1"/>
          <w:sz w:val="24"/>
          <w:u w:val="none"/>
          <w:lang w:val="sk-SK"/>
        </w:rPr>
        <w:t>feed</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uses</w:t>
      </w:r>
      <w:proofErr w:type="spellEnd"/>
      <w:r w:rsidRPr="009F1680">
        <w:rPr>
          <w:rStyle w:val="Hyperlink"/>
          <w:color w:val="000000" w:themeColor="text1"/>
          <w:sz w:val="24"/>
          <w:u w:val="none"/>
          <w:lang w:val="sk-SK"/>
        </w:rPr>
        <w:t xml:space="preserve"> and import and </w:t>
      </w:r>
      <w:proofErr w:type="spellStart"/>
      <w:r w:rsidRPr="009F1680">
        <w:rPr>
          <w:rStyle w:val="Hyperlink"/>
          <w:color w:val="000000" w:themeColor="text1"/>
          <w:sz w:val="24"/>
          <w:u w:val="none"/>
          <w:lang w:val="sk-SK"/>
        </w:rPr>
        <w:t>processing</w:t>
      </w:r>
      <w:proofErr w:type="spellEnd"/>
      <w:r w:rsidRPr="009F1680">
        <w:rPr>
          <w:rStyle w:val="Hyperlink"/>
          <w:color w:val="000000" w:themeColor="text1"/>
          <w:sz w:val="24"/>
          <w:u w:val="none"/>
          <w:lang w:val="sk-SK"/>
        </w:rPr>
        <w:t xml:space="preserve">, and </w:t>
      </w:r>
      <w:proofErr w:type="spellStart"/>
      <w:r w:rsidRPr="009F1680">
        <w:rPr>
          <w:rStyle w:val="Hyperlink"/>
          <w:color w:val="000000" w:themeColor="text1"/>
          <w:sz w:val="24"/>
          <w:u w:val="none"/>
          <w:lang w:val="sk-SK"/>
        </w:rPr>
        <w:t>for</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renewal</w:t>
      </w:r>
      <w:proofErr w:type="spellEnd"/>
      <w:r w:rsidRPr="009F1680">
        <w:rPr>
          <w:rStyle w:val="Hyperlink"/>
          <w:color w:val="000000" w:themeColor="text1"/>
          <w:sz w:val="24"/>
          <w:u w:val="none"/>
          <w:lang w:val="sk-SK"/>
        </w:rPr>
        <w:t xml:space="preserve"> of </w:t>
      </w:r>
      <w:proofErr w:type="spellStart"/>
      <w:r w:rsidRPr="009F1680">
        <w:rPr>
          <w:rStyle w:val="Hyperlink"/>
          <w:color w:val="000000" w:themeColor="text1"/>
          <w:sz w:val="24"/>
          <w:u w:val="none"/>
          <w:lang w:val="sk-SK"/>
        </w:rPr>
        <w:t>the</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authorisation</w:t>
      </w:r>
      <w:proofErr w:type="spellEnd"/>
      <w:r w:rsidRPr="009F1680">
        <w:rPr>
          <w:rStyle w:val="Hyperlink"/>
          <w:color w:val="000000" w:themeColor="text1"/>
          <w:sz w:val="24"/>
          <w:u w:val="none"/>
          <w:lang w:val="sk-SK"/>
        </w:rPr>
        <w:t xml:space="preserve"> of </w:t>
      </w:r>
      <w:proofErr w:type="spellStart"/>
      <w:r w:rsidRPr="009F1680">
        <w:rPr>
          <w:rStyle w:val="Hyperlink"/>
          <w:color w:val="000000" w:themeColor="text1"/>
          <w:sz w:val="24"/>
          <w:u w:val="none"/>
          <w:lang w:val="sk-SK"/>
        </w:rPr>
        <w:t>maize</w:t>
      </w:r>
      <w:proofErr w:type="spellEnd"/>
      <w:r w:rsidRPr="009F1680">
        <w:rPr>
          <w:rStyle w:val="Hyperlink"/>
          <w:color w:val="000000" w:themeColor="text1"/>
          <w:sz w:val="24"/>
          <w:u w:val="none"/>
          <w:lang w:val="sk-SK"/>
        </w:rPr>
        <w:t xml:space="preserve"> NK603 as </w:t>
      </w:r>
      <w:proofErr w:type="spellStart"/>
      <w:r w:rsidRPr="009F1680">
        <w:rPr>
          <w:rStyle w:val="Hyperlink"/>
          <w:color w:val="000000" w:themeColor="text1"/>
          <w:sz w:val="24"/>
          <w:u w:val="none"/>
          <w:lang w:val="sk-SK"/>
        </w:rPr>
        <w:t>existing</w:t>
      </w:r>
      <w:proofErr w:type="spellEnd"/>
      <w:r w:rsidRPr="009F1680">
        <w:rPr>
          <w:rStyle w:val="Hyperlink"/>
          <w:color w:val="000000" w:themeColor="text1"/>
          <w:sz w:val="24"/>
          <w:u w:val="none"/>
          <w:lang w:val="sk-SK"/>
        </w:rPr>
        <w:t xml:space="preserve"> </w:t>
      </w:r>
      <w:proofErr w:type="spellStart"/>
      <w:r w:rsidRPr="009F1680">
        <w:rPr>
          <w:rStyle w:val="Hyperlink"/>
          <w:color w:val="000000" w:themeColor="text1"/>
          <w:sz w:val="24"/>
          <w:u w:val="none"/>
          <w:lang w:val="sk-SK"/>
        </w:rPr>
        <w:t>product</w:t>
      </w:r>
      <w:proofErr w:type="spellEnd"/>
      <w:r w:rsidRPr="009F1680">
        <w:rPr>
          <w:rStyle w:val="Hyperlink"/>
          <w:color w:val="000000" w:themeColor="text1"/>
          <w:sz w:val="24"/>
          <w:u w:val="none"/>
          <w:lang w:val="sk-SK"/>
        </w:rPr>
        <w:t xml:space="preserve"> [Vedecké stanovisko vedeckej skupiny pre geneticky modifikované organizmy k žiadostiam (EFSA-GMO-NL-2005-22 a EFSA-GMO-RX-NK603) o umiestnenie geneticky modifikovanej kukurice NK603 tolerantnej voči </w:t>
      </w:r>
      <w:proofErr w:type="spellStart"/>
      <w:r w:rsidRPr="009F1680">
        <w:rPr>
          <w:rStyle w:val="Hyperlink"/>
          <w:color w:val="000000" w:themeColor="text1"/>
          <w:sz w:val="24"/>
          <w:u w:val="none"/>
          <w:lang w:val="sk-SK"/>
        </w:rPr>
        <w:t>glyfozátu</w:t>
      </w:r>
      <w:proofErr w:type="spellEnd"/>
      <w:r w:rsidRPr="009F1680">
        <w:rPr>
          <w:rStyle w:val="Hyperlink"/>
          <w:color w:val="000000" w:themeColor="text1"/>
          <w:sz w:val="24"/>
          <w:u w:val="none"/>
          <w:lang w:val="sk-SK"/>
        </w:rPr>
        <w:t xml:space="preserve"> na trh na účely pestovania, použitia v potravinách a krmivách, dovozu a spracovania a o obnovenie povolenia kukurice NK603 ako existujúceho výrobku]. Vestník EFSA (EFSA </w:t>
      </w:r>
      <w:proofErr w:type="spellStart"/>
      <w:r w:rsidRPr="009F1680">
        <w:rPr>
          <w:rStyle w:val="Hyperlink"/>
          <w:color w:val="000000" w:themeColor="text1"/>
          <w:sz w:val="24"/>
          <w:u w:val="none"/>
          <w:lang w:val="sk-SK"/>
        </w:rPr>
        <w:t>Journal</w:t>
      </w:r>
      <w:proofErr w:type="spellEnd"/>
      <w:r w:rsidRPr="009F1680">
        <w:rPr>
          <w:rStyle w:val="Hyperlink"/>
          <w:color w:val="000000" w:themeColor="text1"/>
          <w:sz w:val="24"/>
          <w:u w:val="none"/>
          <w:lang w:val="sk-SK"/>
        </w:rPr>
        <w:t>), 7(6), 1137</w:t>
      </w:r>
      <w:r w:rsidR="00F64F9C" w:rsidRPr="009F1680">
        <w:rPr>
          <w:rStyle w:val="Hyperlink"/>
          <w:color w:val="000000" w:themeColor="text1"/>
          <w:sz w:val="24"/>
          <w:u w:val="none"/>
          <w:lang w:val="sk-SK"/>
        </w:rPr>
        <w:t xml:space="preserve">, </w:t>
      </w:r>
      <w:r w:rsidR="00CE2037">
        <w:fldChar w:fldCharType="begin"/>
      </w:r>
      <w:r w:rsidR="00CE2037" w:rsidRPr="00CE2037">
        <w:rPr>
          <w:lang w:val="sk-SK"/>
        </w:rPr>
        <w:instrText>HYPERLINK "https://doi.org/10.2903/j.efsa.2009.1137"</w:instrText>
      </w:r>
      <w:r w:rsidR="00CE2037">
        <w:fldChar w:fldCharType="separate"/>
      </w:r>
      <w:r w:rsidRPr="009F1680">
        <w:rPr>
          <w:rStyle w:val="Hyperlink"/>
          <w:sz w:val="24"/>
          <w:u w:val="none"/>
          <w:lang w:val="sk-SK"/>
        </w:rPr>
        <w:t>https://doi.org/10.2903/j.efsa.2009.1137</w:t>
      </w:r>
      <w:r w:rsidR="00CE2037">
        <w:rPr>
          <w:rStyle w:val="Hyperlink"/>
          <w:sz w:val="24"/>
          <w:u w:val="none"/>
          <w:lang w:val="sk-SK"/>
        </w:rPr>
        <w:fldChar w:fldCharType="end"/>
      </w:r>
      <w:r w:rsidRPr="009F1680">
        <w:rPr>
          <w:rStyle w:val="Hyperlink"/>
          <w:sz w:val="24"/>
          <w:u w:val="none"/>
          <w:lang w:val="sk-SK"/>
        </w:rPr>
        <w:t>.</w:t>
      </w:r>
    </w:p>
  </w:footnote>
  <w:footnote w:id="7">
    <w:p w14:paraId="0D2566E1" w14:textId="50599A86" w:rsidR="00133E0F" w:rsidRPr="00BE2DF9" w:rsidRDefault="00133E0F" w:rsidP="00BE2DF9">
      <w:pPr>
        <w:pStyle w:val="FootnoteText"/>
        <w:ind w:left="567" w:hanging="567"/>
        <w:rPr>
          <w:sz w:val="24"/>
          <w:lang w:val="sk-SK"/>
        </w:rPr>
      </w:pPr>
      <w:r w:rsidRPr="00BE2DF9">
        <w:rPr>
          <w:rStyle w:val="FootnoteReference"/>
          <w:sz w:val="24"/>
          <w:lang w:val="sk-SK"/>
        </w:rPr>
        <w:footnoteRef/>
      </w:r>
      <w:r w:rsidR="00BE2DF9" w:rsidRPr="00BE2DF9">
        <w:rPr>
          <w:sz w:val="24"/>
          <w:shd w:val="clear" w:color="auto" w:fill="FFFFFF"/>
          <w:lang w:val="sk-SK"/>
        </w:rPr>
        <w:t xml:space="preserve"> </w:t>
      </w:r>
      <w:r w:rsidR="00BE2DF9" w:rsidRPr="00BE2DF9">
        <w:rPr>
          <w:sz w:val="24"/>
          <w:shd w:val="clear" w:color="auto" w:fill="FFFFFF"/>
          <w:lang w:val="sk-SK"/>
        </w:rPr>
        <w:tab/>
      </w:r>
      <w:r w:rsidRPr="00BE2DF9">
        <w:rPr>
          <w:sz w:val="24"/>
          <w:shd w:val="clear" w:color="auto" w:fill="FFFFFF"/>
          <w:lang w:val="sk-SK"/>
        </w:rPr>
        <w:t xml:space="preserve">Pozri napríklad </w:t>
      </w:r>
      <w:proofErr w:type="spellStart"/>
      <w:r w:rsidRPr="00BE2DF9">
        <w:rPr>
          <w:sz w:val="24"/>
          <w:shd w:val="clear" w:color="auto" w:fill="FFFFFF"/>
          <w:lang w:val="sk-SK"/>
        </w:rPr>
        <w:t>Bonny</w:t>
      </w:r>
      <w:proofErr w:type="spellEnd"/>
      <w:r w:rsidRPr="00BE2DF9">
        <w:rPr>
          <w:sz w:val="24"/>
          <w:shd w:val="clear" w:color="auto" w:fill="FFFFFF"/>
          <w:lang w:val="sk-SK"/>
        </w:rPr>
        <w:t xml:space="preserve">, S., </w:t>
      </w:r>
      <w:proofErr w:type="spellStart"/>
      <w:r w:rsidRPr="00BE2DF9">
        <w:rPr>
          <w:sz w:val="24"/>
          <w:shd w:val="clear" w:color="auto" w:fill="FFFFFF"/>
          <w:lang w:val="sk-SK"/>
        </w:rPr>
        <w:t>Genetically</w:t>
      </w:r>
      <w:proofErr w:type="spellEnd"/>
      <w:r w:rsidRPr="00BE2DF9">
        <w:rPr>
          <w:sz w:val="24"/>
          <w:shd w:val="clear" w:color="auto" w:fill="FFFFFF"/>
          <w:lang w:val="sk-SK"/>
        </w:rPr>
        <w:t xml:space="preserve"> </w:t>
      </w:r>
      <w:proofErr w:type="spellStart"/>
      <w:r w:rsidRPr="00BE2DF9">
        <w:rPr>
          <w:sz w:val="24"/>
          <w:shd w:val="clear" w:color="auto" w:fill="FFFFFF"/>
          <w:lang w:val="sk-SK"/>
        </w:rPr>
        <w:t>Modified</w:t>
      </w:r>
      <w:proofErr w:type="spellEnd"/>
      <w:r w:rsidRPr="00BE2DF9">
        <w:rPr>
          <w:sz w:val="24"/>
          <w:shd w:val="clear" w:color="auto" w:fill="FFFFFF"/>
          <w:lang w:val="sk-SK"/>
        </w:rPr>
        <w:t xml:space="preserve"> </w:t>
      </w:r>
      <w:proofErr w:type="spellStart"/>
      <w:r w:rsidRPr="00BE2DF9">
        <w:rPr>
          <w:sz w:val="24"/>
          <w:shd w:val="clear" w:color="auto" w:fill="FFFFFF"/>
          <w:lang w:val="sk-SK"/>
        </w:rPr>
        <w:t>Herbicide-Tolerant</w:t>
      </w:r>
      <w:proofErr w:type="spellEnd"/>
      <w:r w:rsidRPr="00BE2DF9">
        <w:rPr>
          <w:sz w:val="24"/>
          <w:shd w:val="clear" w:color="auto" w:fill="FFFFFF"/>
          <w:lang w:val="sk-SK"/>
        </w:rPr>
        <w:t xml:space="preserve"> </w:t>
      </w:r>
      <w:proofErr w:type="spellStart"/>
      <w:r w:rsidRPr="00BE2DF9">
        <w:rPr>
          <w:sz w:val="24"/>
          <w:shd w:val="clear" w:color="auto" w:fill="FFFFFF"/>
          <w:lang w:val="sk-SK"/>
        </w:rPr>
        <w:t>Crops</w:t>
      </w:r>
      <w:proofErr w:type="spellEnd"/>
      <w:r w:rsidRPr="00BE2DF9">
        <w:rPr>
          <w:sz w:val="24"/>
          <w:shd w:val="clear" w:color="auto" w:fill="FFFFFF"/>
          <w:lang w:val="sk-SK"/>
        </w:rPr>
        <w:t xml:space="preserve">, </w:t>
      </w:r>
      <w:proofErr w:type="spellStart"/>
      <w:r w:rsidRPr="00BE2DF9">
        <w:rPr>
          <w:sz w:val="24"/>
          <w:shd w:val="clear" w:color="auto" w:fill="FFFFFF"/>
          <w:lang w:val="sk-SK"/>
        </w:rPr>
        <w:t>Weeds</w:t>
      </w:r>
      <w:proofErr w:type="spellEnd"/>
      <w:r w:rsidRPr="00BE2DF9">
        <w:rPr>
          <w:sz w:val="24"/>
          <w:shd w:val="clear" w:color="auto" w:fill="FFFFFF"/>
          <w:lang w:val="sk-SK"/>
        </w:rPr>
        <w:t xml:space="preserve">, and </w:t>
      </w:r>
      <w:proofErr w:type="spellStart"/>
      <w:r w:rsidRPr="00BE2DF9">
        <w:rPr>
          <w:sz w:val="24"/>
          <w:shd w:val="clear" w:color="auto" w:fill="FFFFFF"/>
          <w:lang w:val="sk-SK"/>
        </w:rPr>
        <w:t>Herbicides</w:t>
      </w:r>
      <w:proofErr w:type="spellEnd"/>
      <w:r w:rsidRPr="00BE2DF9">
        <w:rPr>
          <w:sz w:val="24"/>
          <w:shd w:val="clear" w:color="auto" w:fill="FFFFFF"/>
          <w:lang w:val="sk-SK"/>
        </w:rPr>
        <w:t xml:space="preserve">: </w:t>
      </w:r>
      <w:proofErr w:type="spellStart"/>
      <w:r w:rsidRPr="00BE2DF9">
        <w:rPr>
          <w:sz w:val="24"/>
          <w:shd w:val="clear" w:color="auto" w:fill="FFFFFF"/>
          <w:lang w:val="sk-SK"/>
        </w:rPr>
        <w:t>Overview</w:t>
      </w:r>
      <w:proofErr w:type="spellEnd"/>
      <w:r w:rsidRPr="00BE2DF9">
        <w:rPr>
          <w:sz w:val="24"/>
          <w:shd w:val="clear" w:color="auto" w:fill="FFFFFF"/>
          <w:lang w:val="sk-SK"/>
        </w:rPr>
        <w:t xml:space="preserve"> and </w:t>
      </w:r>
      <w:proofErr w:type="spellStart"/>
      <w:r w:rsidRPr="00BE2DF9">
        <w:rPr>
          <w:sz w:val="24"/>
          <w:shd w:val="clear" w:color="auto" w:fill="FFFFFF"/>
          <w:lang w:val="sk-SK"/>
        </w:rPr>
        <w:t>Impact</w:t>
      </w:r>
      <w:proofErr w:type="spellEnd"/>
      <w:r w:rsidRPr="00BE2DF9">
        <w:rPr>
          <w:sz w:val="24"/>
          <w:shd w:val="clear" w:color="auto" w:fill="FFFFFF"/>
          <w:lang w:val="sk-SK"/>
        </w:rPr>
        <w:t xml:space="preserve"> (Geneticky modifikované plodiny tolerantné voči herbicídom, burina a herbicídy: prehľad a vplyv), </w:t>
      </w:r>
      <w:proofErr w:type="spellStart"/>
      <w:r w:rsidRPr="00BE2DF9">
        <w:rPr>
          <w:sz w:val="24"/>
          <w:shd w:val="clear" w:color="auto" w:fill="FFFFFF"/>
          <w:lang w:val="sk-SK"/>
        </w:rPr>
        <w:t>Environmental</w:t>
      </w:r>
      <w:proofErr w:type="spellEnd"/>
      <w:r w:rsidRPr="00BE2DF9">
        <w:rPr>
          <w:sz w:val="24"/>
          <w:shd w:val="clear" w:color="auto" w:fill="FFFFFF"/>
          <w:lang w:val="sk-SK"/>
        </w:rPr>
        <w:t xml:space="preserve"> Management, január 2016;57(1), s</w:t>
      </w:r>
      <w:r w:rsidR="00F64F9C">
        <w:rPr>
          <w:sz w:val="24"/>
          <w:shd w:val="clear" w:color="auto" w:fill="FFFFFF"/>
          <w:lang w:val="sk-SK"/>
        </w:rPr>
        <w:t>.</w:t>
      </w:r>
      <w:r w:rsidRPr="00BE2DF9">
        <w:rPr>
          <w:sz w:val="24"/>
          <w:shd w:val="clear" w:color="auto" w:fill="FFFFFF"/>
          <w:lang w:val="sk-SK"/>
        </w:rPr>
        <w:t xml:space="preserve"> 31 – 48, </w:t>
      </w:r>
      <w:r w:rsidR="00CE2037">
        <w:fldChar w:fldCharType="begin"/>
      </w:r>
      <w:r w:rsidR="00CE2037" w:rsidRPr="00CE2037">
        <w:rPr>
          <w:lang w:val="sk-SK"/>
        </w:rPr>
        <w:instrText>HYPERLINK "https://doi.org/10.1007/s00267-015-0589-7"</w:instrText>
      </w:r>
      <w:r w:rsidR="00CE2037">
        <w:fldChar w:fldCharType="separate"/>
      </w:r>
      <w:r w:rsidRPr="00BE2DF9">
        <w:rPr>
          <w:rStyle w:val="Hyperlink"/>
          <w:sz w:val="24"/>
          <w:shd w:val="clear" w:color="auto" w:fill="FFFFFF"/>
          <w:lang w:val="sk-SK"/>
        </w:rPr>
        <w:t>https://doi.org/10.1007/s00267-015-0589-7</w:t>
      </w:r>
      <w:r w:rsidR="00CE2037">
        <w:rPr>
          <w:rStyle w:val="Hyperlink"/>
          <w:sz w:val="24"/>
          <w:shd w:val="clear" w:color="auto" w:fill="FFFFFF"/>
          <w:lang w:val="sk-SK"/>
        </w:rPr>
        <w:fldChar w:fldCharType="end"/>
      </w:r>
      <w:r w:rsidRPr="00BE2DF9">
        <w:rPr>
          <w:sz w:val="24"/>
          <w:shd w:val="clear" w:color="auto" w:fill="FFFFFF"/>
          <w:lang w:val="sk-SK"/>
        </w:rPr>
        <w:t xml:space="preserve">, a </w:t>
      </w:r>
      <w:proofErr w:type="spellStart"/>
      <w:r w:rsidRPr="00BE2DF9">
        <w:rPr>
          <w:sz w:val="24"/>
          <w:shd w:val="clear" w:color="auto" w:fill="FFFFFF"/>
          <w:lang w:val="sk-SK"/>
        </w:rPr>
        <w:t>Benbrook</w:t>
      </w:r>
      <w:proofErr w:type="spellEnd"/>
      <w:r w:rsidRPr="00BE2DF9">
        <w:rPr>
          <w:sz w:val="24"/>
          <w:shd w:val="clear" w:color="auto" w:fill="FFFFFF"/>
          <w:lang w:val="sk-SK"/>
        </w:rPr>
        <w:t xml:space="preserve">, C.M., </w:t>
      </w:r>
      <w:proofErr w:type="spellStart"/>
      <w:r w:rsidRPr="00BE2DF9">
        <w:rPr>
          <w:sz w:val="24"/>
          <w:shd w:val="clear" w:color="auto" w:fill="FFFFFF"/>
          <w:lang w:val="sk-SK"/>
        </w:rPr>
        <w:t>Impacts</w:t>
      </w:r>
      <w:proofErr w:type="spellEnd"/>
      <w:r w:rsidRPr="00BE2DF9">
        <w:rPr>
          <w:sz w:val="24"/>
          <w:shd w:val="clear" w:color="auto" w:fill="FFFFFF"/>
          <w:lang w:val="sk-SK"/>
        </w:rPr>
        <w:t xml:space="preserve"> of </w:t>
      </w:r>
      <w:proofErr w:type="spellStart"/>
      <w:r w:rsidRPr="00BE2DF9">
        <w:rPr>
          <w:sz w:val="24"/>
          <w:shd w:val="clear" w:color="auto" w:fill="FFFFFF"/>
          <w:lang w:val="sk-SK"/>
        </w:rPr>
        <w:t>genetically</w:t>
      </w:r>
      <w:proofErr w:type="spellEnd"/>
      <w:r w:rsidRPr="00BE2DF9">
        <w:rPr>
          <w:sz w:val="24"/>
          <w:shd w:val="clear" w:color="auto" w:fill="FFFFFF"/>
          <w:lang w:val="sk-SK"/>
        </w:rPr>
        <w:t xml:space="preserve"> </w:t>
      </w:r>
      <w:proofErr w:type="spellStart"/>
      <w:r w:rsidRPr="00BE2DF9">
        <w:rPr>
          <w:sz w:val="24"/>
          <w:shd w:val="clear" w:color="auto" w:fill="FFFFFF"/>
          <w:lang w:val="sk-SK"/>
        </w:rPr>
        <w:t>engineered</w:t>
      </w:r>
      <w:proofErr w:type="spellEnd"/>
      <w:r w:rsidRPr="00BE2DF9">
        <w:rPr>
          <w:sz w:val="24"/>
          <w:shd w:val="clear" w:color="auto" w:fill="FFFFFF"/>
          <w:lang w:val="sk-SK"/>
        </w:rPr>
        <w:t xml:space="preserve"> </w:t>
      </w:r>
      <w:proofErr w:type="spellStart"/>
      <w:r w:rsidRPr="00BE2DF9">
        <w:rPr>
          <w:sz w:val="24"/>
          <w:shd w:val="clear" w:color="auto" w:fill="FFFFFF"/>
          <w:lang w:val="sk-SK"/>
        </w:rPr>
        <w:t>crops</w:t>
      </w:r>
      <w:proofErr w:type="spellEnd"/>
      <w:r w:rsidRPr="00BE2DF9">
        <w:rPr>
          <w:sz w:val="24"/>
          <w:shd w:val="clear" w:color="auto" w:fill="FFFFFF"/>
          <w:lang w:val="sk-SK"/>
        </w:rPr>
        <w:t xml:space="preserve"> on </w:t>
      </w:r>
      <w:proofErr w:type="spellStart"/>
      <w:r w:rsidRPr="00BE2DF9">
        <w:rPr>
          <w:sz w:val="24"/>
          <w:shd w:val="clear" w:color="auto" w:fill="FFFFFF"/>
          <w:lang w:val="sk-SK"/>
        </w:rPr>
        <w:t>pesticide</w:t>
      </w:r>
      <w:proofErr w:type="spellEnd"/>
      <w:r w:rsidRPr="00BE2DF9">
        <w:rPr>
          <w:sz w:val="24"/>
          <w:shd w:val="clear" w:color="auto" w:fill="FFFFFF"/>
          <w:lang w:val="sk-SK"/>
        </w:rPr>
        <w:t xml:space="preserve"> </w:t>
      </w:r>
      <w:proofErr w:type="spellStart"/>
      <w:r w:rsidRPr="00BE2DF9">
        <w:rPr>
          <w:sz w:val="24"/>
          <w:shd w:val="clear" w:color="auto" w:fill="FFFFFF"/>
          <w:lang w:val="sk-SK"/>
        </w:rPr>
        <w:t>use</w:t>
      </w:r>
      <w:proofErr w:type="spellEnd"/>
      <w:r w:rsidRPr="00BE2DF9">
        <w:rPr>
          <w:sz w:val="24"/>
          <w:shd w:val="clear" w:color="auto" w:fill="FFFFFF"/>
          <w:lang w:val="sk-SK"/>
        </w:rPr>
        <w:t xml:space="preserve"> in </w:t>
      </w:r>
      <w:proofErr w:type="spellStart"/>
      <w:r w:rsidRPr="00BE2DF9">
        <w:rPr>
          <w:sz w:val="24"/>
          <w:shd w:val="clear" w:color="auto" w:fill="FFFFFF"/>
          <w:lang w:val="sk-SK"/>
        </w:rPr>
        <w:t>the</w:t>
      </w:r>
      <w:proofErr w:type="spellEnd"/>
      <w:r w:rsidRPr="00BE2DF9">
        <w:rPr>
          <w:sz w:val="24"/>
          <w:shd w:val="clear" w:color="auto" w:fill="FFFFFF"/>
          <w:lang w:val="sk-SK"/>
        </w:rPr>
        <w:t xml:space="preserve"> U.S. – </w:t>
      </w:r>
      <w:proofErr w:type="spellStart"/>
      <w:r w:rsidRPr="00BE2DF9">
        <w:rPr>
          <w:sz w:val="24"/>
          <w:shd w:val="clear" w:color="auto" w:fill="FFFFFF"/>
          <w:lang w:val="sk-SK"/>
        </w:rPr>
        <w:t>the</w:t>
      </w:r>
      <w:proofErr w:type="spellEnd"/>
      <w:r w:rsidRPr="00BE2DF9">
        <w:rPr>
          <w:sz w:val="24"/>
          <w:shd w:val="clear" w:color="auto" w:fill="FFFFFF"/>
          <w:lang w:val="sk-SK"/>
        </w:rPr>
        <w:t xml:space="preserve"> </w:t>
      </w:r>
      <w:proofErr w:type="spellStart"/>
      <w:r w:rsidRPr="00BE2DF9">
        <w:rPr>
          <w:sz w:val="24"/>
          <w:shd w:val="clear" w:color="auto" w:fill="FFFFFF"/>
          <w:lang w:val="sk-SK"/>
        </w:rPr>
        <w:t>first</w:t>
      </w:r>
      <w:proofErr w:type="spellEnd"/>
      <w:r w:rsidRPr="00BE2DF9">
        <w:rPr>
          <w:sz w:val="24"/>
          <w:shd w:val="clear" w:color="auto" w:fill="FFFFFF"/>
          <w:lang w:val="sk-SK"/>
        </w:rPr>
        <w:t xml:space="preserve"> </w:t>
      </w:r>
      <w:proofErr w:type="spellStart"/>
      <w:r w:rsidRPr="00BE2DF9">
        <w:rPr>
          <w:sz w:val="24"/>
          <w:shd w:val="clear" w:color="auto" w:fill="FFFFFF"/>
          <w:lang w:val="sk-SK"/>
        </w:rPr>
        <w:t>sixteen</w:t>
      </w:r>
      <w:proofErr w:type="spellEnd"/>
      <w:r w:rsidRPr="00BE2DF9">
        <w:rPr>
          <w:sz w:val="24"/>
          <w:shd w:val="clear" w:color="auto" w:fill="FFFFFF"/>
          <w:lang w:val="sk-SK"/>
        </w:rPr>
        <w:t xml:space="preserve"> </w:t>
      </w:r>
      <w:proofErr w:type="spellStart"/>
      <w:r w:rsidRPr="00BE2DF9">
        <w:rPr>
          <w:sz w:val="24"/>
          <w:shd w:val="clear" w:color="auto" w:fill="FFFFFF"/>
          <w:lang w:val="sk-SK"/>
        </w:rPr>
        <w:t>years</w:t>
      </w:r>
      <w:proofErr w:type="spellEnd"/>
      <w:r w:rsidRPr="00BE2DF9">
        <w:rPr>
          <w:sz w:val="24"/>
          <w:shd w:val="clear" w:color="auto" w:fill="FFFFFF"/>
          <w:lang w:val="sk-SK"/>
        </w:rPr>
        <w:t xml:space="preserve"> (Vplyv geneticky modifikovaných plodín na používanie pesticídov v USA – prvých šestnásť rokov), </w:t>
      </w:r>
      <w:proofErr w:type="spellStart"/>
      <w:r w:rsidRPr="00BE2DF9">
        <w:rPr>
          <w:sz w:val="24"/>
          <w:shd w:val="clear" w:color="auto" w:fill="FFFFFF"/>
          <w:lang w:val="sk-SK"/>
        </w:rPr>
        <w:t>Environmental</w:t>
      </w:r>
      <w:proofErr w:type="spellEnd"/>
      <w:r w:rsidRPr="00BE2DF9">
        <w:rPr>
          <w:sz w:val="24"/>
          <w:shd w:val="clear" w:color="auto" w:fill="FFFFFF"/>
          <w:lang w:val="sk-SK"/>
        </w:rPr>
        <w:t xml:space="preserve"> </w:t>
      </w:r>
      <w:proofErr w:type="spellStart"/>
      <w:r w:rsidRPr="00BE2DF9">
        <w:rPr>
          <w:sz w:val="24"/>
          <w:shd w:val="clear" w:color="auto" w:fill="FFFFFF"/>
          <w:lang w:val="sk-SK"/>
        </w:rPr>
        <w:t>Sciences</w:t>
      </w:r>
      <w:proofErr w:type="spellEnd"/>
      <w:r w:rsidRPr="00BE2DF9">
        <w:rPr>
          <w:sz w:val="24"/>
          <w:shd w:val="clear" w:color="auto" w:fill="FFFFFF"/>
          <w:lang w:val="sk-SK"/>
        </w:rPr>
        <w:t xml:space="preserve"> </w:t>
      </w:r>
      <w:proofErr w:type="spellStart"/>
      <w:r w:rsidRPr="00BE2DF9">
        <w:rPr>
          <w:sz w:val="24"/>
          <w:shd w:val="clear" w:color="auto" w:fill="FFFFFF"/>
          <w:lang w:val="sk-SK"/>
        </w:rPr>
        <w:t>Europe</w:t>
      </w:r>
      <w:proofErr w:type="spellEnd"/>
      <w:r w:rsidRPr="00BE2DF9">
        <w:rPr>
          <w:sz w:val="24"/>
          <w:shd w:val="clear" w:color="auto" w:fill="FFFFFF"/>
          <w:lang w:val="sk-SK"/>
        </w:rPr>
        <w:t xml:space="preserve">; 28. septembra 2012, zv. 24 ods. 1, </w:t>
      </w:r>
      <w:hyperlink r:id="rId1" w:history="1">
        <w:r w:rsidRPr="00BE2DF9">
          <w:rPr>
            <w:rStyle w:val="Hyperlink"/>
            <w:sz w:val="24"/>
            <w:shd w:val="clear" w:color="auto" w:fill="FFFFFF"/>
            <w:lang w:val="sk-SK"/>
          </w:rPr>
          <w:t>https://doi.org/10.1186/2190-4715-24-24</w:t>
        </w:r>
      </w:hyperlink>
      <w:r w:rsidRPr="00BE2DF9">
        <w:rPr>
          <w:sz w:val="24"/>
          <w:shd w:val="clear" w:color="auto" w:fill="FFFFFF"/>
          <w:lang w:val="sk-SK"/>
        </w:rPr>
        <w:t>.</w:t>
      </w:r>
    </w:p>
  </w:footnote>
  <w:footnote w:id="8">
    <w:p w14:paraId="6EE8705F" w14:textId="0681A33F" w:rsidR="00133E0F" w:rsidRPr="00BE2DF9" w:rsidRDefault="00133E0F" w:rsidP="00BE2DF9">
      <w:pPr>
        <w:pStyle w:val="FootnoteText"/>
        <w:ind w:left="567" w:hanging="567"/>
        <w:rPr>
          <w:sz w:val="24"/>
          <w:vertAlign w:val="superscript"/>
          <w:lang w:val="sk-SK"/>
        </w:rPr>
      </w:pPr>
      <w:r w:rsidRPr="00BE2DF9">
        <w:rPr>
          <w:rStyle w:val="FootnoteReference"/>
          <w:sz w:val="24"/>
          <w:lang w:val="sk-SK"/>
        </w:rPr>
        <w:footnoteRef/>
      </w:r>
      <w:r w:rsidR="00BE2DF9" w:rsidRPr="00BE2DF9">
        <w:rPr>
          <w:sz w:val="24"/>
          <w:lang w:val="sk-SK"/>
        </w:rPr>
        <w:t xml:space="preserve"> </w:t>
      </w:r>
      <w:r w:rsidR="00BE2DF9" w:rsidRPr="00BE2DF9">
        <w:rPr>
          <w:sz w:val="24"/>
          <w:lang w:val="sk-SK"/>
        </w:rPr>
        <w:tab/>
      </w:r>
      <w:r w:rsidRPr="00BE2DF9">
        <w:rPr>
          <w:sz w:val="24"/>
          <w:lang w:val="sk-SK"/>
        </w:rPr>
        <w:t xml:space="preserve">Pozri napríklad: </w:t>
      </w:r>
    </w:p>
    <w:p w14:paraId="662BD3E9" w14:textId="3A1B961A" w:rsidR="00133E0F" w:rsidRPr="00BE2DF9" w:rsidRDefault="00BE2DF9" w:rsidP="00F64F9C">
      <w:pPr>
        <w:pStyle w:val="FootnoteText"/>
        <w:ind w:left="567" w:firstLine="0"/>
        <w:rPr>
          <w:rStyle w:val="Hyperlink"/>
          <w:sz w:val="24"/>
          <w:vertAlign w:val="superscript"/>
          <w:lang w:val="sk-SK"/>
        </w:rPr>
      </w:pPr>
      <w:r w:rsidRPr="00BE2DF9">
        <w:rPr>
          <w:sz w:val="24"/>
          <w:lang w:val="sk-SK"/>
        </w:rPr>
        <w:t xml:space="preserve"> </w:t>
      </w:r>
      <w:r w:rsidR="00CE2037">
        <w:fldChar w:fldCharType="begin"/>
      </w:r>
      <w:r w:rsidR="00CE2037" w:rsidRPr="00CE2037">
        <w:rPr>
          <w:lang w:val="pl-PL"/>
        </w:rPr>
        <w:instrText>HYPERLINK "https://doi.org/10.1002/ps.8105"</w:instrText>
      </w:r>
      <w:r w:rsidR="00CE2037">
        <w:fldChar w:fldCharType="separate"/>
      </w:r>
      <w:r w:rsidR="00133E0F" w:rsidRPr="00BE2DF9">
        <w:rPr>
          <w:rStyle w:val="Hyperlink"/>
          <w:sz w:val="24"/>
          <w:lang w:val="sk-SK"/>
        </w:rPr>
        <w:t>https://doi.org/10.1002/ps.8105</w:t>
      </w:r>
      <w:r w:rsidR="00CE2037">
        <w:rPr>
          <w:rStyle w:val="Hyperlink"/>
          <w:sz w:val="24"/>
          <w:lang w:val="sk-SK"/>
        </w:rPr>
        <w:fldChar w:fldCharType="end"/>
      </w:r>
      <w:r w:rsidR="00133E0F" w:rsidRPr="00BE2DF9">
        <w:rPr>
          <w:sz w:val="24"/>
          <w:lang w:val="sk-SK"/>
        </w:rPr>
        <w:t>,</w:t>
      </w:r>
    </w:p>
    <w:p w14:paraId="3A6D84F6" w14:textId="4F5A2BFA" w:rsidR="00133E0F" w:rsidRPr="00BE2DF9" w:rsidRDefault="00BE2DF9" w:rsidP="0018183A">
      <w:pPr>
        <w:pStyle w:val="FootnoteText"/>
        <w:ind w:left="567" w:firstLine="0"/>
        <w:rPr>
          <w:sz w:val="24"/>
          <w:lang w:val="sk-SK"/>
        </w:rPr>
      </w:pPr>
      <w:r w:rsidRPr="00BE2DF9">
        <w:rPr>
          <w:sz w:val="24"/>
          <w:lang w:val="sk-SK"/>
        </w:rPr>
        <w:t xml:space="preserve"> </w:t>
      </w:r>
      <w:hyperlink r:id="rId2" w:tgtFrame="_blank" w:tooltip="Trvalý odkaz, ktorý využíva digitálny identifikátor objektov" w:history="1">
        <w:r w:rsidR="00133E0F" w:rsidRPr="00BE2DF9">
          <w:rPr>
            <w:rStyle w:val="Hyperlink"/>
            <w:sz w:val="24"/>
            <w:lang w:val="sk-SK"/>
          </w:rPr>
          <w:t>https://doi.org/10.1016/j.geoforum.2009.03.009</w:t>
        </w:r>
      </w:hyperlink>
      <w:r w:rsidR="00133E0F" w:rsidRPr="00BE2DF9">
        <w:rPr>
          <w:sz w:val="24"/>
          <w:lang w:val="sk-SK"/>
        </w:rPr>
        <w:t>.</w:t>
      </w:r>
    </w:p>
  </w:footnote>
  <w:footnote w:id="9">
    <w:p w14:paraId="169299C0" w14:textId="45B660D4" w:rsidR="00133E0F" w:rsidRPr="00BE2DF9" w:rsidRDefault="00133E0F" w:rsidP="00BE2DF9">
      <w:pPr>
        <w:pStyle w:val="FootnoteText"/>
        <w:ind w:left="567" w:hanging="567"/>
        <w:rPr>
          <w:sz w:val="24"/>
          <w:lang w:val="sk-SK"/>
        </w:rPr>
      </w:pPr>
      <w:r w:rsidRPr="00BE2DF9">
        <w:rPr>
          <w:rStyle w:val="FootnoteReference"/>
          <w:sz w:val="24"/>
          <w:lang w:val="sk-SK"/>
        </w:rPr>
        <w:footnoteRef/>
      </w:r>
      <w:r w:rsidR="00BE2DF9" w:rsidRPr="00BE2DF9">
        <w:rPr>
          <w:sz w:val="24"/>
          <w:lang w:val="sk-SK"/>
        </w:rPr>
        <w:t xml:space="preserve"> </w:t>
      </w:r>
      <w:r w:rsidR="00BE2DF9" w:rsidRPr="00BE2DF9">
        <w:rPr>
          <w:sz w:val="24"/>
          <w:lang w:val="sk-SK"/>
        </w:rPr>
        <w:tab/>
      </w:r>
      <w:r w:rsidRPr="00BE2DF9">
        <w:rPr>
          <w:sz w:val="24"/>
          <w:lang w:val="sk-SK"/>
        </w:rPr>
        <w:t>Pozri napríklad:</w:t>
      </w:r>
      <w:r w:rsidRPr="00BE2DF9">
        <w:rPr>
          <w:sz w:val="24"/>
          <w:lang w:val="sk-SK"/>
        </w:rPr>
        <w:br/>
      </w:r>
      <w:r w:rsidR="00CE2037">
        <w:fldChar w:fldCharType="begin"/>
      </w:r>
      <w:r w:rsidR="00CE2037" w:rsidRPr="00CE2037">
        <w:rPr>
          <w:lang w:val="pl-PL"/>
        </w:rPr>
        <w:instrText>HYPERLINK "https://doi.org/10.1016/j.mrrev.2019.02.001" \t "_blank" \o "Trvalý odkaz, ktorý využíva digitálny identifikátor objektov"</w:instrText>
      </w:r>
      <w:r w:rsidR="00CE2037">
        <w:fldChar w:fldCharType="separate"/>
      </w:r>
      <w:r w:rsidRPr="00BE2DF9">
        <w:rPr>
          <w:rStyle w:val="Hyperlink"/>
          <w:sz w:val="24"/>
          <w:lang w:val="sk-SK"/>
        </w:rPr>
        <w:t>https://doi.org/10.1016/j.mrrev.2019.02.001</w:t>
      </w:r>
      <w:r w:rsidR="00CE2037">
        <w:rPr>
          <w:rStyle w:val="Hyperlink"/>
          <w:sz w:val="24"/>
          <w:lang w:val="sk-SK"/>
        </w:rPr>
        <w:fldChar w:fldCharType="end"/>
      </w:r>
      <w:r w:rsidRPr="00BE2DF9">
        <w:rPr>
          <w:sz w:val="24"/>
          <w:lang w:val="sk-SK"/>
        </w:rPr>
        <w:t>,</w:t>
      </w:r>
      <w:r w:rsidRPr="00BE2DF9">
        <w:rPr>
          <w:sz w:val="24"/>
          <w:lang w:val="sk-SK"/>
        </w:rPr>
        <w:br/>
      </w:r>
      <w:hyperlink r:id="rId3" w:history="1">
        <w:r w:rsidRPr="00BE2DF9">
          <w:rPr>
            <w:rStyle w:val="Hyperlink"/>
            <w:sz w:val="24"/>
            <w:lang w:val="sk-SK"/>
          </w:rPr>
          <w:t>https://doi.org/10.1093/ije/dyz017</w:t>
        </w:r>
      </w:hyperlink>
      <w:r w:rsidRPr="00BE2DF9">
        <w:rPr>
          <w:sz w:val="24"/>
          <w:lang w:val="sk-SK"/>
        </w:rPr>
        <w:t>,</w:t>
      </w:r>
      <w:r w:rsidRPr="00BE2DF9">
        <w:rPr>
          <w:sz w:val="24"/>
          <w:lang w:val="sk-SK"/>
        </w:rPr>
        <w:br/>
      </w:r>
      <w:hyperlink r:id="rId4" w:history="1">
        <w:r w:rsidRPr="00BE2DF9">
          <w:rPr>
            <w:rStyle w:val="Hyperlink"/>
            <w:sz w:val="24"/>
            <w:lang w:val="sk-SK"/>
          </w:rPr>
          <w:t>https://doi.org/10.1371/journal.pone.0219610</w:t>
        </w:r>
      </w:hyperlink>
      <w:r w:rsidRPr="00BE2DF9">
        <w:rPr>
          <w:sz w:val="24"/>
          <w:lang w:val="sk-SK"/>
        </w:rPr>
        <w:t xml:space="preserve"> and</w:t>
      </w:r>
      <w:r w:rsidRPr="00BE2DF9">
        <w:rPr>
          <w:sz w:val="24"/>
          <w:lang w:val="sk-SK"/>
        </w:rPr>
        <w:br/>
      </w:r>
      <w:hyperlink r:id="rId5" w:history="1">
        <w:r w:rsidRPr="00BE2DF9">
          <w:rPr>
            <w:rStyle w:val="Hyperlink"/>
            <w:sz w:val="24"/>
            <w:lang w:val="sk-SK"/>
          </w:rPr>
          <w:t>https://doi.org/10.1186/s13045-019-0767-9</w:t>
        </w:r>
      </w:hyperlink>
      <w:r w:rsidRPr="00BE2DF9">
        <w:rPr>
          <w:sz w:val="24"/>
          <w:lang w:val="sk-SK"/>
        </w:rPr>
        <w:t>.</w:t>
      </w:r>
    </w:p>
  </w:footnote>
  <w:footnote w:id="10">
    <w:p w14:paraId="11212010" w14:textId="18BAC253" w:rsidR="00133E0F" w:rsidRPr="00BE2DF9" w:rsidRDefault="00133E0F" w:rsidP="00BE2DF9">
      <w:pPr>
        <w:pStyle w:val="FootnoteText"/>
        <w:ind w:left="567" w:hanging="567"/>
        <w:rPr>
          <w:sz w:val="24"/>
          <w:lang w:val="sk-SK"/>
        </w:rPr>
      </w:pPr>
      <w:r w:rsidRPr="00BE2DF9">
        <w:rPr>
          <w:rStyle w:val="FootnoteReference"/>
          <w:sz w:val="24"/>
          <w:lang w:val="sk-SK"/>
        </w:rPr>
        <w:footnoteRef/>
      </w:r>
      <w:r w:rsidR="00BE2DF9" w:rsidRPr="00BE2DF9">
        <w:rPr>
          <w:color w:val="000000" w:themeColor="text1"/>
          <w:sz w:val="24"/>
          <w:lang w:val="sk-SK"/>
        </w:rPr>
        <w:t xml:space="preserve"> </w:t>
      </w:r>
      <w:r w:rsidR="00BE2DF9" w:rsidRPr="00BE2DF9">
        <w:rPr>
          <w:color w:val="000000" w:themeColor="text1"/>
          <w:sz w:val="24"/>
          <w:lang w:val="sk-SK"/>
        </w:rPr>
        <w:tab/>
      </w:r>
      <w:r w:rsidRPr="00BE2DF9">
        <w:rPr>
          <w:color w:val="000000" w:themeColor="text1"/>
          <w:sz w:val="24"/>
          <w:lang w:val="sk-SK"/>
        </w:rPr>
        <w:t>V decembri 2022 bol na 15. konferencii zmluvných strán Dohovoru OSN o biologickej diverzite schválený globálny rámec pre biodiverzitu, ktorý zahŕňa globálny cieľ znížiť do roku 2030 riziko používania pesticídov aspoň o 50 %</w:t>
      </w:r>
      <w:r w:rsidRPr="00BE2DF9">
        <w:rPr>
          <w:sz w:val="24"/>
          <w:lang w:val="sk-SK"/>
        </w:rPr>
        <w:t xml:space="preserve"> </w:t>
      </w:r>
      <w:r w:rsidRPr="00BE2DF9">
        <w:rPr>
          <w:color w:val="000000" w:themeColor="text1"/>
          <w:sz w:val="24"/>
          <w:lang w:val="sk-SK"/>
        </w:rPr>
        <w:t xml:space="preserve">(pozri: </w:t>
      </w:r>
      <w:r w:rsidR="00CE2037">
        <w:fldChar w:fldCharType="begin"/>
      </w:r>
      <w:r w:rsidR="00CE2037" w:rsidRPr="00CE2037">
        <w:rPr>
          <w:lang w:val="sk-SK"/>
        </w:rPr>
        <w:instrText>HYPERLINK "https://ec.europa.eu/commission/presscorner/detail/sk/ip_22_7834"</w:instrText>
      </w:r>
      <w:r w:rsidR="00CE2037">
        <w:fldChar w:fldCharType="separate"/>
      </w:r>
      <w:r w:rsidRPr="00BE2DF9">
        <w:rPr>
          <w:rStyle w:val="Hyperlink"/>
          <w:sz w:val="24"/>
          <w:lang w:val="sk-SK"/>
        </w:rPr>
        <w:t>https://ec.europa.eu/commission/presscorner/detail/sk/ip_22_7834</w:t>
      </w:r>
      <w:r w:rsidR="00CE2037">
        <w:rPr>
          <w:rStyle w:val="Hyperlink"/>
          <w:sz w:val="24"/>
          <w:lang w:val="sk-SK"/>
        </w:rPr>
        <w:fldChar w:fldCharType="end"/>
      </w:r>
      <w:r w:rsidRPr="00BE2DF9">
        <w:rPr>
          <w:sz w:val="24"/>
          <w:lang w:val="sk-SK"/>
        </w:rPr>
        <w:t>).</w:t>
      </w:r>
    </w:p>
  </w:footnote>
  <w:footnote w:id="11">
    <w:p w14:paraId="3ED7B9F7" w14:textId="48B90304" w:rsidR="00133E0F" w:rsidRPr="00BE2DF9" w:rsidRDefault="00133E0F" w:rsidP="00BE2DF9">
      <w:pPr>
        <w:pStyle w:val="FootnoteText"/>
        <w:ind w:left="567" w:hanging="567"/>
        <w:rPr>
          <w:sz w:val="24"/>
          <w:lang w:val="sk-SK"/>
        </w:rPr>
      </w:pPr>
      <w:r w:rsidRPr="00BE2DF9">
        <w:rPr>
          <w:rStyle w:val="FootnoteReference"/>
          <w:sz w:val="24"/>
          <w:lang w:val="sk-SK"/>
        </w:rPr>
        <w:footnoteRef/>
      </w:r>
      <w:r w:rsidR="00BE2DF9" w:rsidRPr="00BE2DF9">
        <w:rPr>
          <w:sz w:val="24"/>
          <w:lang w:val="sk-SK"/>
        </w:rPr>
        <w:t xml:space="preserve"> </w:t>
      </w:r>
      <w:r w:rsidR="00BE2DF9" w:rsidRPr="00BE2DF9">
        <w:rPr>
          <w:sz w:val="24"/>
          <w:lang w:val="sk-SK"/>
        </w:rPr>
        <w:tab/>
      </w:r>
      <w:r w:rsidR="00CE2037">
        <w:fldChar w:fldCharType="begin"/>
      </w:r>
      <w:r w:rsidR="00CE2037" w:rsidRPr="00CE2037">
        <w:rPr>
          <w:lang w:val="sk-SK"/>
        </w:rPr>
        <w:instrText>HYPERLINK "https://commission.europa.eu/strategy-and-policy/priorities-2019-2024/european-green-deal/agriculture-and-green-deal/strategic-dialogue-future-eu-agriculture_sk"</w:instrText>
      </w:r>
      <w:r w:rsidR="00CE2037">
        <w:fldChar w:fldCharType="separate"/>
      </w:r>
      <w:r w:rsidRPr="00BE2DF9">
        <w:rPr>
          <w:rStyle w:val="Hyperlink"/>
          <w:sz w:val="24"/>
          <w:lang w:val="sk-SK"/>
        </w:rPr>
        <w:t>https://commission.europa.eu/topics/agriculture-and-rural-development/strategic-dialogue-future-eu-agriculture_sk</w:t>
      </w:r>
      <w:r w:rsidR="00CE2037">
        <w:rPr>
          <w:rStyle w:val="Hyperlink"/>
          <w:sz w:val="24"/>
          <w:lang w:val="sk-SK"/>
        </w:rPr>
        <w:fldChar w:fldCharType="end"/>
      </w:r>
      <w:r w:rsidRPr="00BE2DF9">
        <w:rPr>
          <w:rStyle w:val="Hyperlink"/>
          <w:sz w:val="24"/>
          <w:lang w:val="sk-SK"/>
        </w:rPr>
        <w:t>.</w:t>
      </w:r>
      <w:r w:rsidRPr="00BE2DF9">
        <w:rPr>
          <w:sz w:val="24"/>
          <w:lang w:val="sk-SK"/>
        </w:rPr>
        <w:t xml:space="preserve"> </w:t>
      </w:r>
    </w:p>
  </w:footnote>
  <w:footnote w:id="12">
    <w:p w14:paraId="7505FC63" w14:textId="48BB1A7A" w:rsidR="00133E0F" w:rsidRPr="00BE2DF9" w:rsidRDefault="00133E0F" w:rsidP="00BE2DF9">
      <w:pPr>
        <w:pStyle w:val="FootnoteText"/>
        <w:ind w:left="567" w:hanging="567"/>
        <w:rPr>
          <w:sz w:val="24"/>
          <w:lang w:val="sk-SK"/>
        </w:rPr>
      </w:pPr>
      <w:r w:rsidRPr="00BE2DF9">
        <w:rPr>
          <w:rStyle w:val="FootnoteReference"/>
          <w:sz w:val="24"/>
          <w:lang w:val="sk-SK"/>
        </w:rPr>
        <w:footnoteRef/>
      </w:r>
      <w:r w:rsidR="00BE2DF9" w:rsidRPr="00BE2DF9">
        <w:rPr>
          <w:sz w:val="24"/>
          <w:lang w:val="sk-SK"/>
        </w:rPr>
        <w:t xml:space="preserve"> </w:t>
      </w:r>
      <w:r w:rsidR="00BE2DF9" w:rsidRPr="00BE2DF9">
        <w:rPr>
          <w:sz w:val="24"/>
          <w:lang w:val="sk-SK"/>
        </w:rPr>
        <w:tab/>
      </w:r>
      <w:r w:rsidRPr="00BE2DF9">
        <w:rPr>
          <w:sz w:val="24"/>
          <w:lang w:val="sk-SK"/>
        </w:rPr>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1, ELI: </w:t>
      </w:r>
      <w:r w:rsidR="00CE2037">
        <w:fldChar w:fldCharType="begin"/>
      </w:r>
      <w:r w:rsidR="00CE2037" w:rsidRPr="00CE2037">
        <w:rPr>
          <w:lang w:val="sk-SK"/>
        </w:rPr>
        <w:instrText>HYPERLINK "http://data.europa.eu/eli/reg/2002/178/oj" \t "Gives%20access%20to%20this%20document%20through%20its%20ELI%20URI."</w:instrText>
      </w:r>
      <w:r w:rsidR="00CE2037">
        <w:fldChar w:fldCharType="separate"/>
      </w:r>
      <w:r w:rsidRPr="00BE2DF9">
        <w:rPr>
          <w:rStyle w:val="Hyperlink"/>
          <w:sz w:val="24"/>
          <w:lang w:val="sk-SK"/>
        </w:rPr>
        <w:t>http://data.europa.eu/eli/reg/2002/178/oj</w:t>
      </w:r>
      <w:r w:rsidR="00CE2037">
        <w:rPr>
          <w:rStyle w:val="Hyperlink"/>
          <w:sz w:val="24"/>
          <w:lang w:val="sk-SK"/>
        </w:rPr>
        <w:fldChar w:fldCharType="end"/>
      </w:r>
      <w:r w:rsidRPr="00BE2DF9">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0C523" w14:textId="77777777" w:rsidR="00064002" w:rsidRPr="00BE2D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5ACD1" w14:textId="77777777" w:rsidR="00064002" w:rsidRPr="00BE2D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8BBBC" w14:textId="77777777" w:rsidR="00064002" w:rsidRPr="00BE2D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9676861">
    <w:abstractNumId w:val="9"/>
  </w:num>
  <w:num w:numId="2" w16cid:durableId="720131197">
    <w:abstractNumId w:val="9"/>
  </w:num>
  <w:num w:numId="3" w16cid:durableId="1603878873">
    <w:abstractNumId w:val="7"/>
  </w:num>
  <w:num w:numId="4" w16cid:durableId="1954244880">
    <w:abstractNumId w:val="7"/>
  </w:num>
  <w:num w:numId="5" w16cid:durableId="1302730041">
    <w:abstractNumId w:val="6"/>
  </w:num>
  <w:num w:numId="6" w16cid:durableId="1007367818">
    <w:abstractNumId w:val="6"/>
  </w:num>
  <w:num w:numId="7" w16cid:durableId="199821976">
    <w:abstractNumId w:val="5"/>
  </w:num>
  <w:num w:numId="8" w16cid:durableId="1711683907">
    <w:abstractNumId w:val="5"/>
  </w:num>
  <w:num w:numId="9" w16cid:durableId="1202478591">
    <w:abstractNumId w:val="4"/>
  </w:num>
  <w:num w:numId="10" w16cid:durableId="1961495082">
    <w:abstractNumId w:val="4"/>
  </w:num>
  <w:num w:numId="11" w16cid:durableId="391346082">
    <w:abstractNumId w:val="8"/>
  </w:num>
  <w:num w:numId="12" w16cid:durableId="1469665191">
    <w:abstractNumId w:val="8"/>
  </w:num>
  <w:num w:numId="13" w16cid:durableId="294222501">
    <w:abstractNumId w:val="3"/>
  </w:num>
  <w:num w:numId="14" w16cid:durableId="143090246">
    <w:abstractNumId w:val="3"/>
  </w:num>
  <w:num w:numId="15" w16cid:durableId="1178496350">
    <w:abstractNumId w:val="2"/>
  </w:num>
  <w:num w:numId="16" w16cid:durableId="1554854752">
    <w:abstractNumId w:val="2"/>
  </w:num>
  <w:num w:numId="17" w16cid:durableId="594636225">
    <w:abstractNumId w:val="1"/>
  </w:num>
  <w:num w:numId="18" w16cid:durableId="964508847">
    <w:abstractNumId w:val="1"/>
  </w:num>
  <w:num w:numId="19" w16cid:durableId="1254509862">
    <w:abstractNumId w:val="0"/>
  </w:num>
  <w:num w:numId="20" w16cid:durableId="1042365438">
    <w:abstractNumId w:val="0"/>
  </w:num>
  <w:num w:numId="21" w16cid:durableId="1158619010">
    <w:abstractNumId w:val="9"/>
  </w:num>
  <w:num w:numId="22" w16cid:durableId="1970429435">
    <w:abstractNumId w:val="7"/>
  </w:num>
  <w:num w:numId="23" w16cid:durableId="1794977332">
    <w:abstractNumId w:val="6"/>
  </w:num>
  <w:num w:numId="24" w16cid:durableId="768428051">
    <w:abstractNumId w:val="5"/>
  </w:num>
  <w:num w:numId="25" w16cid:durableId="1841581692">
    <w:abstractNumId w:val="4"/>
  </w:num>
  <w:num w:numId="26" w16cid:durableId="1963225210">
    <w:abstractNumId w:val="8"/>
  </w:num>
  <w:num w:numId="27" w16cid:durableId="130559455">
    <w:abstractNumId w:val="3"/>
  </w:num>
  <w:num w:numId="28" w16cid:durableId="637148144">
    <w:abstractNumId w:val="2"/>
  </w:num>
  <w:num w:numId="29" w16cid:durableId="2135245376">
    <w:abstractNumId w:val="1"/>
  </w:num>
  <w:num w:numId="30" w16cid:durableId="1323050346">
    <w:abstractNumId w:val="0"/>
  </w:num>
  <w:num w:numId="31" w16cid:durableId="1703094079">
    <w:abstractNumId w:val="9"/>
  </w:num>
  <w:num w:numId="32" w16cid:durableId="462386429">
    <w:abstractNumId w:val="7"/>
  </w:num>
  <w:num w:numId="33" w16cid:durableId="1433013380">
    <w:abstractNumId w:val="6"/>
  </w:num>
  <w:num w:numId="34" w16cid:durableId="1353650553">
    <w:abstractNumId w:val="5"/>
  </w:num>
  <w:num w:numId="35" w16cid:durableId="1614020793">
    <w:abstractNumId w:val="4"/>
  </w:num>
  <w:num w:numId="36" w16cid:durableId="593055671">
    <w:abstractNumId w:val="8"/>
  </w:num>
  <w:num w:numId="37" w16cid:durableId="23212887">
    <w:abstractNumId w:val="3"/>
  </w:num>
  <w:num w:numId="38" w16cid:durableId="281159700">
    <w:abstractNumId w:val="2"/>
  </w:num>
  <w:num w:numId="39" w16cid:durableId="1318806852">
    <w:abstractNumId w:val="1"/>
  </w:num>
  <w:num w:numId="40" w16cid:durableId="2035962397">
    <w:abstractNumId w:val="0"/>
  </w:num>
  <w:num w:numId="41" w16cid:durableId="1686665245">
    <w:abstractNumId w:val="10"/>
  </w:num>
  <w:num w:numId="42" w16cid:durableId="578102331">
    <w:abstractNumId w:val="10"/>
  </w:num>
  <w:num w:numId="43" w16cid:durableId="2146653153">
    <w:abstractNumId w:val="10"/>
  </w:num>
  <w:num w:numId="44" w16cid:durableId="21388352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SK"/>
    <w:docVar w:name="dvnumam" w:val="0"/>
    <w:docVar w:name="dvpe" w:val="779.397"/>
    <w:docVar w:name="dvtitre" w:val="Uznesenie Európskeho parlamentu z xx. decembra 2025 o návrhu vykonávacieho rozhodnutia Komisie, ktorým sa podľa nariadenia Európskeho parlamentu a Rady (ES) č. 1829/2003 obnovuje povolenie umiestniť na trh produkty, ktoré obsahujú geneticky modifikovanú kukuricu NK603, sú z nej zložené alebo vyrobené(D110123/02 – 2025/2958(RSP))"/>
  </w:docVars>
  <w:rsids>
    <w:rsidRoot w:val="000D1185"/>
    <w:rsid w:val="00002272"/>
    <w:rsid w:val="000171B4"/>
    <w:rsid w:val="00064002"/>
    <w:rsid w:val="000677B9"/>
    <w:rsid w:val="000831BA"/>
    <w:rsid w:val="000A42CC"/>
    <w:rsid w:val="000B1E7A"/>
    <w:rsid w:val="000D1185"/>
    <w:rsid w:val="000E7DD9"/>
    <w:rsid w:val="0010095E"/>
    <w:rsid w:val="00125B37"/>
    <w:rsid w:val="00133E0F"/>
    <w:rsid w:val="0018183A"/>
    <w:rsid w:val="00187494"/>
    <w:rsid w:val="001B3D0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1E3"/>
    <w:rsid w:val="009509D8"/>
    <w:rsid w:val="00950B64"/>
    <w:rsid w:val="00981893"/>
    <w:rsid w:val="009F1680"/>
    <w:rsid w:val="00A1687D"/>
    <w:rsid w:val="00A43E52"/>
    <w:rsid w:val="00A4678D"/>
    <w:rsid w:val="00A778C7"/>
    <w:rsid w:val="00AB441E"/>
    <w:rsid w:val="00AB6293"/>
    <w:rsid w:val="00AE0928"/>
    <w:rsid w:val="00AF3B82"/>
    <w:rsid w:val="00B12E95"/>
    <w:rsid w:val="00B22876"/>
    <w:rsid w:val="00B558F0"/>
    <w:rsid w:val="00BD48FE"/>
    <w:rsid w:val="00BD7BD8"/>
    <w:rsid w:val="00BE2DF9"/>
    <w:rsid w:val="00BE6ADC"/>
    <w:rsid w:val="00C05BFE"/>
    <w:rsid w:val="00C23CD4"/>
    <w:rsid w:val="00C61C0C"/>
    <w:rsid w:val="00C941CB"/>
    <w:rsid w:val="00CC2357"/>
    <w:rsid w:val="00CE2037"/>
    <w:rsid w:val="00CF071A"/>
    <w:rsid w:val="00D058B8"/>
    <w:rsid w:val="00D56C11"/>
    <w:rsid w:val="00D834A0"/>
    <w:rsid w:val="00D872DF"/>
    <w:rsid w:val="00D91E21"/>
    <w:rsid w:val="00DA7FCD"/>
    <w:rsid w:val="00E365E1"/>
    <w:rsid w:val="00E820A4"/>
    <w:rsid w:val="00EB006A"/>
    <w:rsid w:val="00EB4772"/>
    <w:rsid w:val="00ED169E"/>
    <w:rsid w:val="00ED1AE6"/>
    <w:rsid w:val="00ED4235"/>
    <w:rsid w:val="00F04346"/>
    <w:rsid w:val="00F075DC"/>
    <w:rsid w:val="00F149E9"/>
    <w:rsid w:val="00F5134D"/>
    <w:rsid w:val="00F64F9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0EF4F"/>
  <w15:chartTrackingRefBased/>
  <w15:docId w15:val="{2EEECA85-2DD6-499B-8F50-A304DAE93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133E0F"/>
    <w:pPr>
      <w:spacing w:before="480" w:after="240"/>
    </w:pPr>
  </w:style>
  <w:style w:type="paragraph" w:customStyle="1" w:styleId="NormalHanging12a">
    <w:name w:val="NormalHanging12a"/>
    <w:basedOn w:val="Normal"/>
    <w:uiPriority w:val="99"/>
    <w:qFormat/>
    <w:rsid w:val="00133E0F"/>
    <w:pPr>
      <w:spacing w:after="240"/>
      <w:ind w:left="567" w:hanging="567"/>
    </w:pPr>
  </w:style>
  <w:style w:type="character" w:styleId="Hyperlink">
    <w:name w:val="Hyperlink"/>
    <w:basedOn w:val="DefaultParagraphFont"/>
    <w:uiPriority w:val="99"/>
    <w:rsid w:val="00133E0F"/>
    <w:rPr>
      <w:color w:val="0563C1" w:themeColor="hyperlink"/>
      <w:u w:val="single"/>
    </w:rPr>
  </w:style>
  <w:style w:type="paragraph" w:styleId="NormalWeb">
    <w:name w:val="Normal (Web)"/>
    <w:basedOn w:val="Normal"/>
    <w:uiPriority w:val="99"/>
    <w:unhideWhenUsed/>
    <w:rsid w:val="00133E0F"/>
    <w:pPr>
      <w:widowControl/>
      <w:spacing w:before="100" w:beforeAutospacing="1" w:after="100" w:afterAutospacing="1"/>
    </w:pPr>
    <w:rPr>
      <w:szCs w:val="24"/>
    </w:rPr>
  </w:style>
  <w:style w:type="paragraph" w:styleId="Revision">
    <w:name w:val="Revision"/>
    <w:hidden/>
    <w:uiPriority w:val="99"/>
    <w:semiHidden/>
    <w:rsid w:val="00F64F9C"/>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93/ije/dyz017" TargetMode="External"/><Relationship Id="rId2" Type="http://schemas.openxmlformats.org/officeDocument/2006/relationships/hyperlink" Target="https://doi.org/10.1016/j.geoforum.2009.03.009" TargetMode="External"/><Relationship Id="rId1" Type="http://schemas.openxmlformats.org/officeDocument/2006/relationships/hyperlink" Target="https://doi.org/10.1186/2190-4715-24-24" TargetMode="External"/><Relationship Id="rId5" Type="http://schemas.openxmlformats.org/officeDocument/2006/relationships/hyperlink" Target="https://doi.org/10.1186/s13045-019-0767-9" TargetMode="External"/><Relationship Id="rId4"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1409</Words>
  <Characters>8828</Characters>
  <Application>Microsoft Office Word</Application>
  <DocSecurity>0</DocSecurity>
  <Lines>180</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2025-12-16T13:14:00Z</dcterms:created>
  <dcterms:modified xsi:type="dcterms:W3CDTF">2025-12-16T13:14:00Z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B10-0562/2025</vt:lpwstr>
  </property>
  <property fmtid="{D5CDD505-2E9C-101B-9397-08002B2CF9AE}" pid="4" name="&lt;Type&gt;">
    <vt:lpwstr>RR</vt:lpwstr>
  </property>
</Properties>
</file>