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56235" w14:paraId="40FF6488" w14:textId="77777777" w:rsidTr="0010095E">
        <w:trPr>
          <w:trHeight w:hRule="exact" w:val="1418"/>
        </w:trPr>
        <w:tc>
          <w:tcPr>
            <w:tcW w:w="6804" w:type="dxa"/>
            <w:shd w:val="clear" w:color="auto" w:fill="auto"/>
            <w:vAlign w:val="center"/>
          </w:tcPr>
          <w:p w14:paraId="4975EF88" w14:textId="6F3FE49E" w:rsidR="00751A4A" w:rsidRPr="00856235" w:rsidRDefault="004D500E" w:rsidP="0010095E">
            <w:pPr>
              <w:pStyle w:val="EPName"/>
            </w:pPr>
            <w:r w:rsidRPr="00856235">
              <w:t>Европейски</w:t>
            </w:r>
            <w:r w:rsidR="00A6324C" w:rsidRPr="00856235">
              <w:t xml:space="preserve"> парламент</w:t>
            </w:r>
          </w:p>
          <w:p w14:paraId="4C731B22" w14:textId="31E81FAD" w:rsidR="00751A4A" w:rsidRPr="00856235" w:rsidRDefault="005F1B17" w:rsidP="005F1B17">
            <w:pPr>
              <w:pStyle w:val="EPTerm"/>
              <w:rPr>
                <w:rStyle w:val="HideTWBExt"/>
                <w:noProof w:val="0"/>
                <w:vanish w:val="0"/>
                <w:color w:val="auto"/>
              </w:rPr>
            </w:pPr>
            <w:r w:rsidRPr="00856235">
              <w:t>2024</w:t>
            </w:r>
            <w:r w:rsidR="004D500E">
              <w:t> – </w:t>
            </w:r>
            <w:r w:rsidR="00817416" w:rsidRPr="00856235">
              <w:t>202</w:t>
            </w:r>
            <w:r w:rsidRPr="00856235">
              <w:t>9</w:t>
            </w:r>
          </w:p>
        </w:tc>
        <w:tc>
          <w:tcPr>
            <w:tcW w:w="2268" w:type="dxa"/>
            <w:shd w:val="clear" w:color="auto" w:fill="auto"/>
          </w:tcPr>
          <w:p w14:paraId="76E4C250" w14:textId="77777777" w:rsidR="00751A4A" w:rsidRPr="00856235" w:rsidRDefault="00187494" w:rsidP="0010095E">
            <w:pPr>
              <w:pStyle w:val="EPLogo"/>
            </w:pPr>
            <w:r w:rsidRPr="00856235">
              <w:rPr>
                <w:noProof/>
                <w:lang w:eastAsia="ja-JP"/>
              </w:rPr>
              <w:drawing>
                <wp:inline distT="0" distB="0" distL="0" distR="0" wp14:anchorId="248746DC" wp14:editId="74B624B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0C09DC9" w14:textId="77777777" w:rsidR="00D058B8" w:rsidRPr="00856235" w:rsidRDefault="00D058B8" w:rsidP="004C5D52">
      <w:pPr>
        <w:pStyle w:val="LineTop"/>
      </w:pPr>
    </w:p>
    <w:p w14:paraId="1871DC79" w14:textId="77777777" w:rsidR="00680577" w:rsidRPr="00856235" w:rsidRDefault="00A6324C" w:rsidP="00680577">
      <w:pPr>
        <w:pStyle w:val="EPBodyTA1"/>
      </w:pPr>
      <w:r w:rsidRPr="00856235">
        <w:t>ПРИЕТИ ТЕКСТОВЕ</w:t>
      </w:r>
    </w:p>
    <w:p w14:paraId="6323C720" w14:textId="77777777" w:rsidR="00D058B8" w:rsidRPr="00856235" w:rsidRDefault="00D058B8" w:rsidP="00D058B8">
      <w:pPr>
        <w:pStyle w:val="LineBottom"/>
      </w:pPr>
    </w:p>
    <w:p w14:paraId="6E9B072A" w14:textId="078C5D91" w:rsidR="00A6324C" w:rsidRPr="00856235" w:rsidRDefault="00A6324C" w:rsidP="00A6324C">
      <w:pPr>
        <w:pStyle w:val="ATHeading1"/>
      </w:pPr>
      <w:bookmarkStart w:id="0" w:name="TANumber"/>
      <w:r w:rsidRPr="00856235">
        <w:t>P10_TA(2025)0</w:t>
      </w:r>
      <w:r w:rsidR="000B6B9B">
        <w:t>328</w:t>
      </w:r>
      <w:bookmarkEnd w:id="0"/>
    </w:p>
    <w:p w14:paraId="4C6ECFB7" w14:textId="173E4EA6" w:rsidR="00A6324C" w:rsidRPr="00856235" w:rsidRDefault="004D500E" w:rsidP="00A6324C">
      <w:pPr>
        <w:pStyle w:val="ATHeading2"/>
      </w:pPr>
      <w:bookmarkStart w:id="1" w:name="title"/>
      <w:r>
        <w:t>Г</w:t>
      </w:r>
      <w:r w:rsidR="00A6324C" w:rsidRPr="00856235">
        <w:t>енетично модифицирано захарно цвекло KWS20-1</w:t>
      </w:r>
      <w:bookmarkEnd w:id="1"/>
    </w:p>
    <w:p w14:paraId="52238A41" w14:textId="77777777" w:rsidR="00A6324C" w:rsidRPr="00856235" w:rsidRDefault="00A6324C" w:rsidP="00A6324C">
      <w:pPr>
        <w:rPr>
          <w:i/>
          <w:vanish/>
        </w:rPr>
      </w:pPr>
      <w:r w:rsidRPr="00856235">
        <w:rPr>
          <w:i/>
        </w:rPr>
        <w:fldChar w:fldCharType="begin"/>
      </w:r>
      <w:r w:rsidRPr="00856235">
        <w:rPr>
          <w:i/>
        </w:rPr>
        <w:instrText xml:space="preserve"> TC"(</w:instrText>
      </w:r>
      <w:bookmarkStart w:id="2" w:name="DocNumber"/>
      <w:r w:rsidRPr="00856235">
        <w:rPr>
          <w:i/>
        </w:rPr>
        <w:instrText>B10-0559/2025</w:instrText>
      </w:r>
      <w:bookmarkEnd w:id="2"/>
      <w:r w:rsidRPr="00856235">
        <w:rPr>
          <w:i/>
        </w:rPr>
        <w:instrText xml:space="preserve">)"\l3 \n&gt; \* MERGEFORMAT </w:instrText>
      </w:r>
      <w:r w:rsidRPr="00856235">
        <w:rPr>
          <w:i/>
        </w:rPr>
        <w:fldChar w:fldCharType="end"/>
      </w:r>
    </w:p>
    <w:p w14:paraId="387BB33C" w14:textId="77777777" w:rsidR="00A6324C" w:rsidRPr="00856235" w:rsidRDefault="00A6324C" w:rsidP="00A6324C">
      <w:pPr>
        <w:rPr>
          <w:vanish/>
        </w:rPr>
      </w:pPr>
      <w:bookmarkStart w:id="3" w:name="PE"/>
      <w:r w:rsidRPr="00856235">
        <w:rPr>
          <w:vanish/>
        </w:rPr>
        <w:t>PE779.398</w:t>
      </w:r>
      <w:bookmarkEnd w:id="3"/>
    </w:p>
    <w:p w14:paraId="679B7806" w14:textId="61E1DF3C" w:rsidR="00A6324C" w:rsidRPr="00856235" w:rsidRDefault="00A6324C" w:rsidP="004D500E">
      <w:pPr>
        <w:pStyle w:val="ATHeading3"/>
      </w:pPr>
      <w:bookmarkStart w:id="4" w:name="Sujet"/>
      <w:r w:rsidRPr="00856235">
        <w:t xml:space="preserve">Резолюция на Европейския парламент от </w:t>
      </w:r>
      <w:r w:rsidR="004D500E">
        <w:t>16 декември</w:t>
      </w:r>
      <w:r w:rsidR="004D500E" w:rsidRPr="00856235">
        <w:t xml:space="preserve"> </w:t>
      </w:r>
      <w:r w:rsidRPr="00856235">
        <w:t>2025 г. относно проекта на решение за изпълнение на Комисията за разрешаване на пускането на пазара на храни, хранителни съставки и фуражи, произведени от генетично модифицирано захарно цвекло KWS20-1, съгласно Регламент (ЕО)</w:t>
      </w:r>
      <w:r w:rsidR="004D500E">
        <w:t xml:space="preserve"> </w:t>
      </w:r>
      <w:r w:rsidRPr="00856235">
        <w:t>№ 1829/2003 на Европейския парламент и на Съвета</w:t>
      </w:r>
      <w:bookmarkEnd w:id="4"/>
      <w:r w:rsidRPr="00856235">
        <w:t xml:space="preserve"> </w:t>
      </w:r>
      <w:bookmarkStart w:id="5" w:name="References"/>
      <w:r w:rsidRPr="00856235">
        <w:t>(D110122/02 – 2025/2959(RSP))</w:t>
      </w:r>
      <w:bookmarkEnd w:id="5"/>
    </w:p>
    <w:p w14:paraId="71135FC0" w14:textId="77777777" w:rsidR="00064F88" w:rsidRPr="00856235" w:rsidRDefault="00064F88" w:rsidP="00064F88">
      <w:pPr>
        <w:pStyle w:val="EPComma"/>
      </w:pPr>
      <w:bookmarkStart w:id="6" w:name="TextBodyBegin"/>
      <w:bookmarkEnd w:id="6"/>
      <w:r w:rsidRPr="00856235">
        <w:rPr>
          <w:i/>
          <w:iCs/>
        </w:rPr>
        <w:t>Европейският парламент,</w:t>
      </w:r>
    </w:p>
    <w:p w14:paraId="0F4D3DDE" w14:textId="77777777" w:rsidR="00064F88" w:rsidRPr="00856235" w:rsidRDefault="00064F88" w:rsidP="00064F88">
      <w:pPr>
        <w:pStyle w:val="NormalHanging12a"/>
      </w:pPr>
      <w:r w:rsidRPr="00856235">
        <w:t>–</w:t>
      </w:r>
      <w:r w:rsidRPr="00856235">
        <w:tab/>
        <w:t>като взе предвид проекта на решение за изпълнение на Комисията за разрешаване на пускането на пазара на храни, хранителни съставки и фуражи, произведени от генетично модифицирано захарно цвекло KWS20-1, в съответствие с Регламент (ЕО) № 1829/2003 на Европейския парламент и на Съвета (D110122/02),</w:t>
      </w:r>
    </w:p>
    <w:p w14:paraId="214B1D88" w14:textId="77777777" w:rsidR="00064F88" w:rsidRPr="00856235" w:rsidRDefault="00064F88" w:rsidP="00064F88">
      <w:pPr>
        <w:pStyle w:val="NormalHanging12a"/>
      </w:pPr>
      <w:r w:rsidRPr="00856235">
        <w:t>–</w:t>
      </w:r>
      <w:r w:rsidRPr="00856235">
        <w:tab/>
        <w:t>като взе предвид Регламент (ЕО) № 1829/2003 на Европейския парламент и на Съвета от 22 септември 2003 г. относно генетично модифицираните храни и фуражи</w:t>
      </w:r>
      <w:r w:rsidRPr="00856235">
        <w:rPr>
          <w:vertAlign w:val="superscript"/>
        </w:rPr>
        <w:footnoteReference w:id="1"/>
      </w:r>
      <w:r w:rsidRPr="00856235">
        <w:t>, и по-специално член 7, параграф 3 и член 19, параграф 3 от него,</w:t>
      </w:r>
    </w:p>
    <w:p w14:paraId="59B8A081" w14:textId="2974A523" w:rsidR="00064F88" w:rsidRPr="00856235" w:rsidRDefault="00064F88" w:rsidP="00064F88">
      <w:pPr>
        <w:pStyle w:val="NormalHanging12a"/>
      </w:pPr>
      <w:r w:rsidRPr="00856235">
        <w:t>–</w:t>
      </w:r>
      <w:r w:rsidRPr="00856235">
        <w:tab/>
        <w:t>като взе предвид гласуването на 14 октомври 2025 г. в Постоянния комитет по растенията, животните, храните и фуражите, посочен в член 35 от Регламент (ЕО) № 1829/2003, при което не беше изразено становище,</w:t>
      </w:r>
      <w:r w:rsidR="004D500E">
        <w:t xml:space="preserve"> и гласуването на 28 ноември 2025 г. в </w:t>
      </w:r>
      <w:r w:rsidR="004D500E" w:rsidRPr="00856235">
        <w:t>Апелативния комитет, при което</w:t>
      </w:r>
      <w:r w:rsidR="004D500E">
        <w:t xml:space="preserve"> отново</w:t>
      </w:r>
      <w:r w:rsidR="004D500E" w:rsidRPr="00856235">
        <w:t xml:space="preserve"> не беше изразено становище,</w:t>
      </w:r>
    </w:p>
    <w:p w14:paraId="1AF25440" w14:textId="77777777" w:rsidR="00064F88" w:rsidRPr="00856235" w:rsidRDefault="00064F88" w:rsidP="00064F88">
      <w:pPr>
        <w:pStyle w:val="NormalHanging12a"/>
        <w:widowControl/>
      </w:pPr>
      <w:r w:rsidRPr="00856235">
        <w:t>–</w:t>
      </w:r>
      <w:r w:rsidRPr="00856235">
        <w:tab/>
        <w:t>като взе предвид член 11 от Регламент (ЕС) № 182/2011 на Европейския парламент и на Съвета от 16 февруари 2011 г. за установяване на общите правила и принципи относно реда и условията за контрол от страна на държавите членки върху упражняването на изпълнителните правомощия от страна на Комисията</w:t>
      </w:r>
      <w:r w:rsidRPr="00856235">
        <w:rPr>
          <w:rStyle w:val="FootnoteReference"/>
          <w:szCs w:val="24"/>
        </w:rPr>
        <w:footnoteReference w:id="2"/>
      </w:r>
      <w:r w:rsidRPr="00856235">
        <w:t>,</w:t>
      </w:r>
    </w:p>
    <w:p w14:paraId="5D96D77E" w14:textId="77777777" w:rsidR="00064F88" w:rsidRPr="00856235" w:rsidRDefault="00064F88" w:rsidP="00064F88">
      <w:pPr>
        <w:pStyle w:val="NormalHanging12a"/>
      </w:pPr>
      <w:r w:rsidRPr="00856235">
        <w:t>–</w:t>
      </w:r>
      <w:r w:rsidRPr="00856235">
        <w:tab/>
        <w:t xml:space="preserve">като взе предвид становището, прието от Европейския орган за безопасност на </w:t>
      </w:r>
      <w:r w:rsidRPr="00856235">
        <w:lastRenderedPageBreak/>
        <w:t>храните (ЕОБХ) на 26 март 2025 г. и публикувано на 12 май 2025 г.</w:t>
      </w:r>
      <w:r w:rsidRPr="00856235">
        <w:rPr>
          <w:rStyle w:val="FootnoteReference"/>
        </w:rPr>
        <w:footnoteReference w:id="3"/>
      </w:r>
      <w:r w:rsidRPr="00856235">
        <w:t>,</w:t>
      </w:r>
    </w:p>
    <w:p w14:paraId="7ED5D81C" w14:textId="77777777" w:rsidR="00064F88" w:rsidRPr="00856235" w:rsidRDefault="00064F88" w:rsidP="00064F88">
      <w:pPr>
        <w:pStyle w:val="NormalHanging12a"/>
      </w:pPr>
      <w:r w:rsidRPr="00856235">
        <w:t>–</w:t>
      </w:r>
      <w:r w:rsidRPr="00856235">
        <w:tab/>
        <w:t>като взе предвид предишните си резолюции, в които възразява срещу разрешаването на генетично модифицирани организми (ГМО)</w:t>
      </w:r>
      <w:r w:rsidRPr="00856235">
        <w:rPr>
          <w:rStyle w:val="FootnoteReference"/>
        </w:rPr>
        <w:footnoteReference w:id="4"/>
      </w:r>
      <w:r w:rsidRPr="00856235">
        <w:t>,</w:t>
      </w:r>
    </w:p>
    <w:p w14:paraId="6CD0941E" w14:textId="77777777" w:rsidR="00064F88" w:rsidRPr="00856235" w:rsidRDefault="00064F88" w:rsidP="00064F88">
      <w:pPr>
        <w:pStyle w:val="NormalHanging12a"/>
      </w:pPr>
      <w:r w:rsidRPr="00856235">
        <w:lastRenderedPageBreak/>
        <w:t>–</w:t>
      </w:r>
      <w:r w:rsidRPr="00856235">
        <w:tab/>
        <w:t>като взе предвид член 115, параграфи 2 и 3 от своя Правилник за дейността,</w:t>
      </w:r>
    </w:p>
    <w:p w14:paraId="18CF3D1C" w14:textId="77777777" w:rsidR="00064F88" w:rsidRPr="00856235" w:rsidRDefault="00064F88" w:rsidP="00064F88">
      <w:pPr>
        <w:pStyle w:val="NormalHanging12a"/>
      </w:pPr>
      <w:r w:rsidRPr="00856235">
        <w:t>–</w:t>
      </w:r>
      <w:r w:rsidRPr="00856235">
        <w:tab/>
        <w:t>като взе предвид предложението за резолюция на комисията по околна среда, климат и безопасност на храните,</w:t>
      </w:r>
    </w:p>
    <w:p w14:paraId="61681889" w14:textId="77777777" w:rsidR="00064F88" w:rsidRPr="00856235" w:rsidRDefault="00064F88" w:rsidP="00064F88">
      <w:pPr>
        <w:pStyle w:val="NormalHanging12a"/>
      </w:pPr>
      <w:r w:rsidRPr="00856235">
        <w:t>А.</w:t>
      </w:r>
      <w:r w:rsidRPr="00856235">
        <w:tab/>
        <w:t xml:space="preserve">като има предвид, че на 30 май 2023 г. Bayer </w:t>
      </w:r>
      <w:proofErr w:type="spellStart"/>
      <w:r w:rsidRPr="00856235">
        <w:t>Agriculture</w:t>
      </w:r>
      <w:proofErr w:type="spellEnd"/>
      <w:r w:rsidRPr="00856235">
        <w:t xml:space="preserve"> B.V., със седалище в Белгия, от името на Bayer </w:t>
      </w:r>
      <w:proofErr w:type="spellStart"/>
      <w:r w:rsidRPr="00856235">
        <w:t>CropScience</w:t>
      </w:r>
      <w:proofErr w:type="spellEnd"/>
      <w:r w:rsidRPr="00856235">
        <w:t xml:space="preserve"> LP, със седалище в Съединените щати, и KWS SAAT SE &amp; Co. </w:t>
      </w:r>
      <w:proofErr w:type="spellStart"/>
      <w:r w:rsidRPr="00856235">
        <w:t>KGaA</w:t>
      </w:r>
      <w:proofErr w:type="spellEnd"/>
      <w:r w:rsidRPr="00856235">
        <w:t>, със седалище в Германия, подаде заявление в съответствие с членове 5 и 17 от Регламент (ЕО) № 1829/2003 до националния компетентен орган на Нидерландия за пускане на пазара на храни, хранителни съставки и фуражи, произведени от генетично модифицирано захарно цвекло KWS20-1 („генетично модифицираното захарно цвекло“);</w:t>
      </w:r>
    </w:p>
    <w:p w14:paraId="718236E7" w14:textId="77777777" w:rsidR="00064F88" w:rsidRPr="00856235" w:rsidRDefault="00064F88" w:rsidP="00064F88">
      <w:pPr>
        <w:pStyle w:val="NormalHanging12a"/>
      </w:pPr>
      <w:r w:rsidRPr="00856235">
        <w:t>Б.</w:t>
      </w:r>
      <w:r w:rsidRPr="00856235">
        <w:tab/>
        <w:t>като има предвид, че на 12 май 2025 г. ЕОБХ издаде положително научно становище, в което заключава, че генетично модифицираното захарно цвекло е също толкова безопасно, колкото и конвенционалните му съответствия; като има предвид, че в това становище не са разгледани няколко по-широки екологични, социално-икономически и кумулативни въздействия, за които ЕОБХ счита, че попадат извън обхвата на неговата компетентност;</w:t>
      </w:r>
    </w:p>
    <w:p w14:paraId="2B8134C7" w14:textId="77777777" w:rsidR="00064F88" w:rsidRPr="00856235" w:rsidRDefault="00064F88" w:rsidP="00064F88">
      <w:pPr>
        <w:pStyle w:val="NormalHanging12a"/>
      </w:pPr>
      <w:r w:rsidRPr="00856235">
        <w:t>В.</w:t>
      </w:r>
      <w:r w:rsidRPr="00856235">
        <w:tab/>
        <w:t xml:space="preserve">като има предвид, че генетично модифицираното захарно цвекло беше разработено така, че да придава устойчивост спрямо хербицидите на основата на </w:t>
      </w:r>
      <w:proofErr w:type="spellStart"/>
      <w:r w:rsidRPr="00856235">
        <w:t>глифосат</w:t>
      </w:r>
      <w:proofErr w:type="spellEnd"/>
      <w:r w:rsidRPr="00856235">
        <w:t xml:space="preserve">, </w:t>
      </w:r>
      <w:proofErr w:type="spellStart"/>
      <w:r w:rsidRPr="00856235">
        <w:t>дикамба</w:t>
      </w:r>
      <w:proofErr w:type="spellEnd"/>
      <w:r w:rsidRPr="00856235">
        <w:t xml:space="preserve"> и амониев </w:t>
      </w:r>
      <w:proofErr w:type="spellStart"/>
      <w:r w:rsidRPr="00856235">
        <w:t>глуфосинат</w:t>
      </w:r>
      <w:proofErr w:type="spellEnd"/>
      <w:r w:rsidRPr="00856235">
        <w:t>;</w:t>
      </w:r>
    </w:p>
    <w:p w14:paraId="16D28FAF" w14:textId="77777777" w:rsidR="00064F88" w:rsidRPr="00856235" w:rsidRDefault="00064F88" w:rsidP="00064F88">
      <w:pPr>
        <w:pStyle w:val="NormalHanging12a"/>
      </w:pPr>
      <w:r w:rsidRPr="00856235">
        <w:t>Г.</w:t>
      </w:r>
      <w:r w:rsidRPr="00856235">
        <w:tab/>
        <w:t xml:space="preserve">като има предвид, че в извършената от ЕОБХ оценка на риска не са включени дългосрочни токсикологични проучвания или подробен анализ на кумулативните и комбинаторните ефекти, включително потенциалните взаимодействия с остатъчни вещества от пестициди, които често се използват при отглеждането на захарно цвекло; </w:t>
      </w:r>
    </w:p>
    <w:p w14:paraId="26DEFACD" w14:textId="77777777" w:rsidR="00064F88" w:rsidRPr="00856235" w:rsidRDefault="00064F88" w:rsidP="00064F88">
      <w:pPr>
        <w:pStyle w:val="NormalHanging12a"/>
        <w:rPr>
          <w:color w:val="000000" w:themeColor="text1"/>
          <w:szCs w:val="24"/>
        </w:rPr>
      </w:pPr>
      <w:r w:rsidRPr="00856235">
        <w:rPr>
          <w:color w:val="000000" w:themeColor="text1"/>
        </w:rPr>
        <w:t>Д.</w:t>
      </w:r>
      <w:r w:rsidRPr="00856235">
        <w:rPr>
          <w:color w:val="000000" w:themeColor="text1"/>
        </w:rPr>
        <w:tab/>
      </w:r>
      <w:r w:rsidRPr="00856235">
        <w:t xml:space="preserve">като има предвид, че по-голямата част от генетично модифицираните култури, включително генетично модифицираното захарно цвекло, са били генетично модифицирани, за да бъдат устойчиви на един или повече „добавъчни“ </w:t>
      </w:r>
      <w:r w:rsidRPr="00856235">
        <w:lastRenderedPageBreak/>
        <w:t xml:space="preserve">хербициди, които могат да се използват по време на отглеждането на генетично модифицираната култура, без тя да загине, както би се случило с една неустойчива на хербициди култура; </w:t>
      </w:r>
      <w:r w:rsidRPr="00856235">
        <w:rPr>
          <w:color w:val="000000" w:themeColor="text1"/>
        </w:rPr>
        <w:t>като има предвид, че редица изследвания показват, че генетично модифицираните култури, които са устойчиви на хербициди, водят до по-широка употреба на добавъчни хербициди, до голяма степен поради появата на плевели, които са устойчиви на хербициди</w:t>
      </w:r>
      <w:r w:rsidRPr="00856235">
        <w:rPr>
          <w:rStyle w:val="FootnoteReference"/>
          <w:color w:val="000000" w:themeColor="text1"/>
          <w:szCs w:val="24"/>
        </w:rPr>
        <w:footnoteReference w:id="5"/>
      </w:r>
      <w:r w:rsidRPr="00856235">
        <w:rPr>
          <w:color w:val="000000" w:themeColor="text1"/>
        </w:rPr>
        <w:t>;</w:t>
      </w:r>
    </w:p>
    <w:p w14:paraId="53485639" w14:textId="77777777" w:rsidR="00064F88" w:rsidRPr="00856235" w:rsidRDefault="00064F88" w:rsidP="00064F88">
      <w:pPr>
        <w:spacing w:after="240"/>
        <w:ind w:left="567" w:hanging="567"/>
        <w:rPr>
          <w:szCs w:val="24"/>
        </w:rPr>
      </w:pPr>
      <w:r w:rsidRPr="00856235">
        <w:t>Е.</w:t>
      </w:r>
      <w:r w:rsidRPr="00856235">
        <w:tab/>
        <w:t>като има предвид, че устойчивите на хербициди генетично модифицирани култури принуждават земеделските стопани да използват система за управление на плевелите, която е до голяма степен или изцяло зависима от хербициди, и това се прави чрез начисляване на премия за генетично модифицирани семена, която може да бъде оправдана само ако земеделските стопани, които закупуват такива семена, също така пръскат с добавъчните хербициди;</w:t>
      </w:r>
      <w:r w:rsidRPr="00856235">
        <w:rPr>
          <w:color w:val="000000" w:themeColor="text1"/>
        </w:rPr>
        <w:t xml:space="preserve"> като има предвид, че засилената зависимост от добавъчните хербициди в земеделските стопанства, в които се засажда генетично модифицираното захарно цвекло, ще ускори появата и разпространението на плевели, устойчиви на тези хербициди, и по този начин ще доведе до необходимостта от още по-голяма употреба на хербициди, създавайки своеобразен порочен кръг за земеделските стопани; като има предвид, че вследствие на това неблагоприятните въздействия, произтичащи от прекомерната зависимост от хербициди, ще влошат здравето на почвите, качеството на водата и биологичното разнообразие над и под земята и ще доведат до повишена експозиция на хората и животните, евентуално също и поради увеличаване на остатъчните вещества от хербициди в храните и фуражите</w:t>
      </w:r>
      <w:r w:rsidRPr="00856235">
        <w:rPr>
          <w:rStyle w:val="FootnoteReference"/>
          <w:color w:val="000000" w:themeColor="text1"/>
          <w:szCs w:val="24"/>
        </w:rPr>
        <w:footnoteReference w:id="6"/>
      </w:r>
      <w:r w:rsidRPr="00856235">
        <w:rPr>
          <w:color w:val="000000" w:themeColor="text1"/>
        </w:rPr>
        <w:t>;</w:t>
      </w:r>
    </w:p>
    <w:p w14:paraId="1920BB0D" w14:textId="77777777" w:rsidR="00064F88" w:rsidRPr="00856235" w:rsidRDefault="00064F88" w:rsidP="00064F88">
      <w:pPr>
        <w:pStyle w:val="NormalHanging12a"/>
      </w:pPr>
      <w:r w:rsidRPr="00856235">
        <w:t>Ж.</w:t>
      </w:r>
      <w:r w:rsidRPr="00856235">
        <w:tab/>
        <w:t xml:space="preserve">като има предвид, че остават сериозни неизяснени въпроси относно канцерогенността на </w:t>
      </w:r>
      <w:proofErr w:type="spellStart"/>
      <w:r w:rsidRPr="00856235">
        <w:t>глифосата</w:t>
      </w:r>
      <w:proofErr w:type="spellEnd"/>
      <w:r w:rsidRPr="00856235">
        <w:t xml:space="preserve">; като има предвид, че през ноември 2015 г. ЕОБХ заключи, че е малко вероятно </w:t>
      </w:r>
      <w:proofErr w:type="spellStart"/>
      <w:r w:rsidRPr="00856235">
        <w:t>глифосатът</w:t>
      </w:r>
      <w:proofErr w:type="spellEnd"/>
      <w:r w:rsidRPr="00856235">
        <w:t xml:space="preserve"> да е канцерогенен, а през март 2017 г. Европейската агенция по химикали заключи, че не е необходимо класифициране; като има предвид, че противно на това, през 2015 г. Международната агенция за изследване на рака (специализираната агенция по ракови заболявания на Световната здравна организация) класифицира </w:t>
      </w:r>
      <w:proofErr w:type="spellStart"/>
      <w:r w:rsidRPr="00856235">
        <w:t>глифосата</w:t>
      </w:r>
      <w:proofErr w:type="spellEnd"/>
      <w:r w:rsidRPr="00856235">
        <w:t xml:space="preserve"> като вещество, което вероятно е канцерогенно за хората; като има предвид, че редица неотдавнашни рецензирани научни изследвания потвърждават канцерогенния потенциал на </w:t>
      </w:r>
      <w:proofErr w:type="spellStart"/>
      <w:r w:rsidRPr="00856235">
        <w:t>глифосата</w:t>
      </w:r>
      <w:proofErr w:type="spellEnd"/>
      <w:r w:rsidRPr="00856235">
        <w:rPr>
          <w:rStyle w:val="FootnoteReference"/>
        </w:rPr>
        <w:footnoteReference w:id="7"/>
      </w:r>
      <w:r w:rsidRPr="00856235">
        <w:t>;</w:t>
      </w:r>
    </w:p>
    <w:p w14:paraId="17B49C3F" w14:textId="77777777" w:rsidR="00064F88" w:rsidRPr="00856235" w:rsidRDefault="00064F88" w:rsidP="00064F88">
      <w:pPr>
        <w:pStyle w:val="NormalHanging12a"/>
        <w:rPr>
          <w:szCs w:val="24"/>
        </w:rPr>
      </w:pPr>
      <w:r w:rsidRPr="00856235">
        <w:lastRenderedPageBreak/>
        <w:t>З.</w:t>
      </w:r>
      <w:r w:rsidRPr="00856235">
        <w:tab/>
        <w:t xml:space="preserve">като има предвид, че </w:t>
      </w:r>
      <w:proofErr w:type="spellStart"/>
      <w:r w:rsidRPr="00856235">
        <w:t>дикамба</w:t>
      </w:r>
      <w:proofErr w:type="spellEnd"/>
      <w:r w:rsidRPr="00856235">
        <w:t xml:space="preserve"> е силно нестабилен препарат, което означава, че след като бъде приложен, е податлив на изпаряване и преминаване във въздуха, а след това се разнася с вятъра докато падне на земята, като излага хората, животните и нецелевите растения, лозя, дървета и храсти на потенциални и сериозни вреди, особено когато експозицията настъпва в продължение на няколко години; </w:t>
      </w:r>
      <w:r w:rsidRPr="00856235">
        <w:rPr>
          <w:shd w:val="clear" w:color="auto" w:fill="FFFFFF"/>
        </w:rPr>
        <w:t xml:space="preserve">като има предвид, че разнасянето на </w:t>
      </w:r>
      <w:proofErr w:type="spellStart"/>
      <w:r w:rsidRPr="00856235">
        <w:rPr>
          <w:shd w:val="clear" w:color="auto" w:fill="FFFFFF"/>
        </w:rPr>
        <w:t>дикамба</w:t>
      </w:r>
      <w:proofErr w:type="spellEnd"/>
      <w:r w:rsidRPr="00856235">
        <w:rPr>
          <w:shd w:val="clear" w:color="auto" w:fill="FFFFFF"/>
        </w:rPr>
        <w:t xml:space="preserve"> и причинените от препарата вреди на намиращите се наблизо култури, дървета и лозя се е превърнало в изключително разединяващ въпрос, който настройва една група земеделски стопани срещу други земеделски стопани и съседи в селските райони и предизвиква големи съдебни спорове във връзка със загубата на реколта и разходите за </w:t>
      </w:r>
      <w:proofErr w:type="spellStart"/>
      <w:r w:rsidRPr="00856235">
        <w:rPr>
          <w:shd w:val="clear" w:color="auto" w:fill="FFFFFF"/>
        </w:rPr>
        <w:t>презасаждане</w:t>
      </w:r>
      <w:proofErr w:type="spellEnd"/>
      <w:r w:rsidRPr="00856235">
        <w:rPr>
          <w:shd w:val="clear" w:color="auto" w:fill="FFFFFF"/>
        </w:rPr>
        <w:t xml:space="preserve">; </w:t>
      </w:r>
    </w:p>
    <w:p w14:paraId="06DACB0C" w14:textId="77777777" w:rsidR="00064F88" w:rsidRPr="00856235" w:rsidRDefault="00064F88" w:rsidP="00064F88">
      <w:pPr>
        <w:pStyle w:val="NormalWeb"/>
        <w:widowControl w:val="0"/>
        <w:spacing w:before="0" w:beforeAutospacing="0" w:after="240" w:afterAutospacing="0"/>
        <w:ind w:left="567" w:hanging="567"/>
      </w:pPr>
      <w:r w:rsidRPr="00856235">
        <w:t>И.</w:t>
      </w:r>
      <w:r w:rsidRPr="00856235">
        <w:tab/>
        <w:t xml:space="preserve">като има предвид, че </w:t>
      </w:r>
      <w:proofErr w:type="spellStart"/>
      <w:r w:rsidRPr="00856235">
        <w:t>глуфосинатът</w:t>
      </w:r>
      <w:proofErr w:type="spellEnd"/>
      <w:r w:rsidRPr="00856235">
        <w:t xml:space="preserve"> е класифициран като токсичен за репродукцията (1B) и следователно отговаря на критериите за изключване, определени в Регламент (ЕО) № 1107/2009 на Европейския парламент и на Съвета</w:t>
      </w:r>
      <w:r w:rsidRPr="00856235">
        <w:rPr>
          <w:rStyle w:val="FootnoteReference"/>
        </w:rPr>
        <w:footnoteReference w:id="8"/>
      </w:r>
      <w:r w:rsidRPr="00856235">
        <w:t xml:space="preserve">; като има предвид, че одобрението за използване на </w:t>
      </w:r>
      <w:proofErr w:type="spellStart"/>
      <w:r w:rsidRPr="00856235">
        <w:t>глуфосинат</w:t>
      </w:r>
      <w:proofErr w:type="spellEnd"/>
      <w:r w:rsidRPr="00856235">
        <w:t xml:space="preserve"> в Съюза изтече на 31 юли 2018 г.;</w:t>
      </w:r>
    </w:p>
    <w:p w14:paraId="12AC3AA4" w14:textId="77777777" w:rsidR="00064F88" w:rsidRPr="00856235" w:rsidRDefault="00064F88" w:rsidP="00064F88">
      <w:pPr>
        <w:spacing w:after="240"/>
        <w:ind w:left="567" w:hanging="567"/>
      </w:pPr>
      <w:r w:rsidRPr="00856235">
        <w:t>Й.</w:t>
      </w:r>
      <w:r w:rsidRPr="00856235">
        <w:tab/>
        <w:t>като има предвид, че полевите изпитвания в подкрепа на заявлението са били проведени само в Съединените щати, при ограничени географски и климатични условия, които не отразяват пълното разнообразие на регионите, в които се отглежда захарно цвекло, включително тези, които са силно засегнати от стресови фактори, свързани с изменението на климата;</w:t>
      </w:r>
    </w:p>
    <w:p w14:paraId="745270A7" w14:textId="7E0CB707" w:rsidR="00064F88" w:rsidRPr="00856235" w:rsidRDefault="00064F88" w:rsidP="00064F88">
      <w:pPr>
        <w:pStyle w:val="NormalHanging12a"/>
      </w:pPr>
      <w:r w:rsidRPr="00856235">
        <w:t>К.</w:t>
      </w:r>
      <w:r w:rsidRPr="00856235">
        <w:tab/>
        <w:t xml:space="preserve">като има предвид, че независимият мониторинг и наблюдение на потенциалните неблагоприятни последици за биологичното разнообразие, здравето на почвите, </w:t>
      </w:r>
      <w:proofErr w:type="spellStart"/>
      <w:r w:rsidRPr="00856235">
        <w:t>опрашителите</w:t>
      </w:r>
      <w:proofErr w:type="spellEnd"/>
      <w:r w:rsidRPr="00856235">
        <w:t xml:space="preserve"> и нецелевите организми продължават да бъдат недостатъчно гарантирани;</w:t>
      </w:r>
    </w:p>
    <w:p w14:paraId="19B8B706" w14:textId="77777777" w:rsidR="00064F88" w:rsidRPr="00856235" w:rsidRDefault="00064F88" w:rsidP="00064F88">
      <w:pPr>
        <w:spacing w:after="240"/>
        <w:ind w:left="567" w:hanging="567"/>
      </w:pPr>
      <w:r w:rsidRPr="00856235">
        <w:t>Л.</w:t>
      </w:r>
      <w:r w:rsidRPr="00856235">
        <w:tab/>
        <w:t>като има предвид, че принципът на предпазните мерки, установен в член 191 от Договора за функционирането на Европейския съюз, следва да се прилага в случаите на научна несигурност;</w:t>
      </w:r>
    </w:p>
    <w:p w14:paraId="5E521A80" w14:textId="77777777" w:rsidR="00064F88" w:rsidRPr="00856235" w:rsidRDefault="00064F88" w:rsidP="00064F88">
      <w:pPr>
        <w:spacing w:after="240"/>
        <w:ind w:left="567" w:hanging="567"/>
      </w:pPr>
      <w:r w:rsidRPr="00856235">
        <w:t>М.</w:t>
      </w:r>
      <w:r w:rsidRPr="00856235">
        <w:tab/>
        <w:t>като има предвид, че Регламент (ЕО) № 1829/2003 изисква генетично модифицираните храни и фуражи да не оказват неблагоприятно въздействие върху човешкото здраве, здравето на животните или околната среда;</w:t>
      </w:r>
    </w:p>
    <w:p w14:paraId="0ECF789E" w14:textId="77777777" w:rsidR="00064F88" w:rsidRPr="00856235" w:rsidRDefault="00064F88" w:rsidP="00064F88">
      <w:pPr>
        <w:pStyle w:val="NormalWeb"/>
        <w:widowControl w:val="0"/>
        <w:spacing w:before="0" w:beforeAutospacing="0" w:after="240" w:afterAutospacing="0"/>
        <w:ind w:left="567" w:hanging="567"/>
      </w:pPr>
      <w:r w:rsidRPr="00856235">
        <w:t>Н.</w:t>
      </w:r>
      <w:r w:rsidRPr="00856235">
        <w:tab/>
        <w:t>като има предвид, че разрешаването на генетично модифицираното захарно цвекло от страна на Съюза не би било в съответствие с международните ангажименти за намаляване на пестицидите</w:t>
      </w:r>
      <w:r w:rsidRPr="00856235">
        <w:rPr>
          <w:vertAlign w:val="superscript"/>
        </w:rPr>
        <w:footnoteReference w:id="9"/>
      </w:r>
      <w:r w:rsidRPr="00856235">
        <w:t xml:space="preserve">, като се има предвид повишената експозиция на хората, животните и околната среда на </w:t>
      </w:r>
      <w:proofErr w:type="spellStart"/>
      <w:r w:rsidRPr="00856235">
        <w:t>глифосат</w:t>
      </w:r>
      <w:proofErr w:type="spellEnd"/>
      <w:r w:rsidRPr="00856235">
        <w:t xml:space="preserve">, </w:t>
      </w:r>
      <w:proofErr w:type="spellStart"/>
      <w:r w:rsidRPr="00856235">
        <w:t>дикамба</w:t>
      </w:r>
      <w:proofErr w:type="spellEnd"/>
      <w:r w:rsidRPr="00856235">
        <w:t xml:space="preserve"> и </w:t>
      </w:r>
      <w:proofErr w:type="spellStart"/>
      <w:r w:rsidRPr="00856235">
        <w:t>глуфосинат</w:t>
      </w:r>
      <w:proofErr w:type="spellEnd"/>
      <w:r w:rsidRPr="00856235">
        <w:t xml:space="preserve"> в държавите, в които се отглежда тази устойчива на хербициди генно </w:t>
      </w:r>
      <w:r w:rsidRPr="00856235">
        <w:lastRenderedPageBreak/>
        <w:t>модифицирана култура, заедно с потенциално сериозните последици за здравето в тази връзка;</w:t>
      </w:r>
    </w:p>
    <w:p w14:paraId="48531040" w14:textId="77777777" w:rsidR="00064F88" w:rsidRPr="00856235" w:rsidRDefault="00064F88" w:rsidP="00064F88">
      <w:pPr>
        <w:spacing w:after="240"/>
        <w:ind w:left="567" w:hanging="567"/>
      </w:pPr>
      <w:r w:rsidRPr="00856235">
        <w:t>О.</w:t>
      </w:r>
      <w:r w:rsidRPr="00856235">
        <w:tab/>
        <w:t>като има предвид, че решението за изпълнение на Комисията ще позволи внос в Съюза, който не отговаря на стандартите, спазвани от земеделските стопани в Съюза, като по този начин ще ги постави в неблагоприятно конкурентно положение;</w:t>
      </w:r>
    </w:p>
    <w:p w14:paraId="35A352B3" w14:textId="77777777" w:rsidR="00064F88" w:rsidRPr="00856235" w:rsidRDefault="00064F88" w:rsidP="00064F88">
      <w:pPr>
        <w:spacing w:after="240"/>
        <w:ind w:left="567" w:hanging="567"/>
      </w:pPr>
      <w:r w:rsidRPr="00856235">
        <w:t>П.</w:t>
      </w:r>
      <w:r w:rsidRPr="00856235">
        <w:tab/>
        <w:t>като има предвид, че в заключенията на стратегическия диалог относно бъдещето на селското стопанство в ЕС</w:t>
      </w:r>
      <w:r w:rsidRPr="00856235">
        <w:rPr>
          <w:rStyle w:val="FootnoteReference"/>
        </w:rPr>
        <w:footnoteReference w:id="10"/>
      </w:r>
      <w:r w:rsidRPr="00856235">
        <w:t xml:space="preserve"> Комисията се призовава да преразгледа своя подход към достъпа до пазара за вноса и износа на селскостопански хранителни продукти, като се има предвид предизвикателството, свързано с различаващите се стандарти на Съюза и неговите търговски партньори; като има предвид, че по-справедливите търговски отношения в световен мащаб, съгласувани с целите за здравословна околна среда, бяха едно от основните искания на земеделските стопани по време на демонстрациите през 2023 и 2024 г.;</w:t>
      </w:r>
    </w:p>
    <w:p w14:paraId="55A862A2" w14:textId="77777777" w:rsidR="00064F88" w:rsidRPr="00856235" w:rsidRDefault="00064F88" w:rsidP="00064F88">
      <w:pPr>
        <w:spacing w:after="240"/>
        <w:ind w:left="567" w:hanging="567"/>
      </w:pPr>
      <w:r w:rsidRPr="00856235">
        <w:t>Р.</w:t>
      </w:r>
      <w:r w:rsidRPr="00856235">
        <w:tab/>
        <w:t>като има предвид, че Парламентът многократно е подчертавал, че Комисията не следва да разрешава ГМО в случаите, когато държавите членки не са постигали квалифицирано мнозинство в Постоянния комитет по растенията, животните, храните и фуражите или в Апелативния комитет, за да се противодейства на трайния демократичен дефицит;</w:t>
      </w:r>
    </w:p>
    <w:p w14:paraId="37DCD73D" w14:textId="77777777" w:rsidR="00064F88" w:rsidRPr="00856235" w:rsidRDefault="00064F88" w:rsidP="00064F88">
      <w:pPr>
        <w:pStyle w:val="NormalWeb"/>
        <w:widowControl w:val="0"/>
        <w:shd w:val="clear" w:color="auto" w:fill="FFFFFF"/>
        <w:spacing w:before="0" w:beforeAutospacing="0" w:after="240" w:afterAutospacing="0"/>
        <w:ind w:left="567" w:hanging="567"/>
        <w:rPr>
          <w:color w:val="000000" w:themeColor="text1"/>
        </w:rPr>
      </w:pPr>
      <w:r w:rsidRPr="00856235">
        <w:rPr>
          <w:color w:val="000000" w:themeColor="text1"/>
        </w:rPr>
        <w:t>С.</w:t>
      </w:r>
      <w:r w:rsidRPr="00856235">
        <w:rPr>
          <w:color w:val="000000" w:themeColor="text1"/>
        </w:rPr>
        <w:tab/>
        <w:t>като има предвид, че макар и сама да отчита недостатъците по отношение на демократичността, липсата на подкрепа от страна на държавите членки и възраженията на Парламента, Комисията продължава да разрешава ГМО;</w:t>
      </w:r>
    </w:p>
    <w:p w14:paraId="2E3A18B3" w14:textId="77777777" w:rsidR="00064F88" w:rsidRPr="00856235" w:rsidRDefault="00064F88" w:rsidP="00064F88">
      <w:pPr>
        <w:spacing w:after="240"/>
        <w:ind w:left="567" w:hanging="567"/>
      </w:pPr>
      <w:r w:rsidRPr="00856235">
        <w:t>Т.</w:t>
      </w:r>
      <w:r w:rsidRPr="00856235">
        <w:tab/>
        <w:t>като има предвид, че подходът „Едно здраве“ изисква да се вземе предвид взаимозависимостта между здравето на хората, животните, растенията и околната среда при оценката на дългосрочната устойчивост и безопасност на ГМО;</w:t>
      </w:r>
    </w:p>
    <w:p w14:paraId="05D26731" w14:textId="776AD4CF" w:rsidR="00064F88" w:rsidRPr="00856235" w:rsidRDefault="00064F88" w:rsidP="00064F88">
      <w:pPr>
        <w:spacing w:after="240"/>
        <w:ind w:left="567" w:hanging="567"/>
      </w:pPr>
      <w:r w:rsidRPr="00856235">
        <w:t>1.</w:t>
      </w:r>
      <w:r w:rsidRPr="00856235">
        <w:tab/>
        <w:t>счита, че проектът на решение за изпълнение на Комисията превишава изпълнителните правомощия, предвидени в Регламент (ЕО)</w:t>
      </w:r>
      <w:r w:rsidR="004D500E">
        <w:t xml:space="preserve"> </w:t>
      </w:r>
      <w:r w:rsidRPr="00856235">
        <w:t>№ 1829/2003;</w:t>
      </w:r>
    </w:p>
    <w:p w14:paraId="73CD864F" w14:textId="2173DF2A" w:rsidR="00064F88" w:rsidRPr="00856235" w:rsidRDefault="00064F88" w:rsidP="00064F88">
      <w:pPr>
        <w:spacing w:after="240"/>
        <w:ind w:left="567" w:hanging="567"/>
      </w:pPr>
      <w:r w:rsidRPr="00856235">
        <w:t>2.</w:t>
      </w:r>
      <w:r w:rsidRPr="00856235">
        <w:tab/>
        <w:t>счита, че проектът на решение за изпълнение на Комисията не е в съответствие с правото на Съюза, тъй като е несъвместим с целта на Регламент (ЕО)</w:t>
      </w:r>
      <w:r w:rsidR="004D500E">
        <w:t xml:space="preserve"> </w:t>
      </w:r>
      <w:r w:rsidRPr="00856235">
        <w:t>№ 1829/2003, която в съответствие с общите принципи, определени в Регламент (ЕО)</w:t>
      </w:r>
      <w:r w:rsidR="004D500E">
        <w:t xml:space="preserve"> </w:t>
      </w:r>
      <w:r w:rsidRPr="00856235">
        <w:t>№ 178/2002 на Европейския парламент и Съвета</w:t>
      </w:r>
      <w:r w:rsidRPr="00856235">
        <w:rPr>
          <w:vertAlign w:val="superscript"/>
        </w:rPr>
        <w:footnoteReference w:id="11"/>
      </w:r>
      <w:r w:rsidRPr="00856235">
        <w:t>, е да се създаде основание за висока степен на защита на човешкия живот и здраве, здравето на животните и хуманното отношение към тях, опазването на околната среда и интересите на потребителите във връзка с генетично модифицираните храни и фуражи, като същевременно се гарантира ефективното функциониране на вътрешния пазар;</w:t>
      </w:r>
    </w:p>
    <w:p w14:paraId="2EA677CA" w14:textId="77777777" w:rsidR="00064F88" w:rsidRPr="00856235" w:rsidRDefault="00064F88" w:rsidP="00064F88">
      <w:pPr>
        <w:spacing w:after="240"/>
        <w:ind w:left="567" w:hanging="567"/>
      </w:pPr>
      <w:r w:rsidRPr="00856235">
        <w:lastRenderedPageBreak/>
        <w:t>3.</w:t>
      </w:r>
      <w:r w:rsidRPr="00856235">
        <w:tab/>
        <w:t>отправя искане към Комисията да оттегли своето решение за изпълнение;</w:t>
      </w:r>
    </w:p>
    <w:p w14:paraId="434E5A39" w14:textId="77777777" w:rsidR="00064F88" w:rsidRPr="00856235" w:rsidRDefault="00064F88" w:rsidP="00064F88">
      <w:pPr>
        <w:spacing w:after="240"/>
        <w:ind w:left="567" w:hanging="567"/>
      </w:pPr>
      <w:r w:rsidRPr="00856235">
        <w:t>4.</w:t>
      </w:r>
      <w:r w:rsidRPr="00856235">
        <w:tab/>
        <w:t>призовава Комисията да не разрешава генетично модифицираното захарно цвекло поради липсата на достатъчно доказателства относно дългосрочните въздействия върху биологичното разнообразие, безопасността на храните, поминъка на земеделските стопани и здравето на животните, в съответствие с подхода „Едно здраве“;</w:t>
      </w:r>
    </w:p>
    <w:p w14:paraId="2FE80E61" w14:textId="77777777" w:rsidR="00064F88" w:rsidRPr="00856235" w:rsidRDefault="00064F88" w:rsidP="00064F88">
      <w:pPr>
        <w:spacing w:after="240"/>
        <w:ind w:left="567" w:hanging="567"/>
      </w:pPr>
      <w:r w:rsidRPr="00856235">
        <w:t>5.</w:t>
      </w:r>
      <w:r w:rsidRPr="00856235">
        <w:tab/>
        <w:t>призовава Комисията да представи незабавно законодателно предложение за реформа на процедурата за вземане на решения относно ГМО, за да отговори на последователните възражения на Парламента и липсата на подкрепа с квалифицирано мнозинство сред държавите членки;</w:t>
      </w:r>
    </w:p>
    <w:p w14:paraId="747C78A0" w14:textId="77777777" w:rsidR="00064F88" w:rsidRPr="00856235" w:rsidRDefault="00064F88" w:rsidP="00064F88">
      <w:pPr>
        <w:spacing w:after="240"/>
        <w:ind w:left="567" w:hanging="567"/>
      </w:pPr>
      <w:r w:rsidRPr="00856235">
        <w:t>6.</w:t>
      </w:r>
      <w:r w:rsidRPr="00856235">
        <w:tab/>
        <w:t xml:space="preserve">подчертава във връзка с това, че разрешаването на вноса за употреба като храни или фуражи на генетично модифицирани растения, при които е създадена устойчивост на забранени в Съюза хербициди, като например </w:t>
      </w:r>
      <w:proofErr w:type="spellStart"/>
      <w:r w:rsidRPr="00856235">
        <w:t>глуфосинат</w:t>
      </w:r>
      <w:proofErr w:type="spellEnd"/>
      <w:r w:rsidRPr="00856235">
        <w:t xml:space="preserve">, е несъвместимо с международните ангажименти на Съюза съгласно, наред с другото, Конвенцията на Организацията на обединените нации (ООН) за биологичното разнообразие и целите на ООН за устойчиво развитие, включително рамката Кунмин – Монреал, и че то създава </w:t>
      </w:r>
      <w:proofErr w:type="spellStart"/>
      <w:r w:rsidRPr="00856235">
        <w:t>неравнопоставени</w:t>
      </w:r>
      <w:proofErr w:type="spellEnd"/>
      <w:r w:rsidRPr="00856235">
        <w:t xml:space="preserve"> условия на конкуренция за земеделските стопани в Съюза;</w:t>
      </w:r>
    </w:p>
    <w:p w14:paraId="27544E84" w14:textId="15A347D0" w:rsidR="00E365E1" w:rsidRPr="00856235" w:rsidRDefault="00064F88" w:rsidP="004D500E">
      <w:pPr>
        <w:ind w:left="567" w:hanging="567"/>
      </w:pPr>
      <w:r w:rsidRPr="00856235">
        <w:t>7.</w:t>
      </w:r>
      <w:r w:rsidRPr="00856235">
        <w:tab/>
        <w:t>възлага на своя председател да предаде настоящата резолюция съответно на Съвета и на Комисията, както и на правителствата и на парламентите на държавите членки.</w:t>
      </w:r>
    </w:p>
    <w:sectPr w:rsidR="00E365E1" w:rsidRPr="00856235" w:rsidSect="0085623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1A920D" w14:textId="77777777" w:rsidR="00A6324C" w:rsidRPr="00856235" w:rsidRDefault="00A6324C">
      <w:r w:rsidRPr="00856235">
        <w:separator/>
      </w:r>
    </w:p>
  </w:endnote>
  <w:endnote w:type="continuationSeparator" w:id="0">
    <w:p w14:paraId="5EE1ECFB" w14:textId="77777777" w:rsidR="00A6324C" w:rsidRPr="00856235" w:rsidRDefault="00A6324C">
      <w:r w:rsidRPr="0085623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C41698" w14:textId="77777777" w:rsidR="00064002" w:rsidRPr="0085623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4D6649" w14:textId="77777777" w:rsidR="00064002" w:rsidRPr="0085623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9530E1" w14:textId="77777777" w:rsidR="00064002" w:rsidRPr="0085623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314186" w14:textId="77777777" w:rsidR="00A6324C" w:rsidRPr="00856235" w:rsidRDefault="00A6324C">
      <w:r w:rsidRPr="00856235">
        <w:separator/>
      </w:r>
    </w:p>
  </w:footnote>
  <w:footnote w:type="continuationSeparator" w:id="0">
    <w:p w14:paraId="741C8794" w14:textId="77777777" w:rsidR="00A6324C" w:rsidRPr="00856235" w:rsidRDefault="00A6324C">
      <w:r w:rsidRPr="00856235">
        <w:continuationSeparator/>
      </w:r>
    </w:p>
  </w:footnote>
  <w:footnote w:id="1">
    <w:p w14:paraId="5538E63B" w14:textId="5C9DDD09" w:rsidR="00064F88" w:rsidRPr="00856235" w:rsidRDefault="00064F88" w:rsidP="00856235">
      <w:pPr>
        <w:pStyle w:val="FootnoteText"/>
        <w:suppressAutoHyphens/>
        <w:ind w:left="567" w:hanging="567"/>
        <w:rPr>
          <w:sz w:val="24"/>
          <w:lang w:val="bg-BG"/>
        </w:rPr>
      </w:pPr>
      <w:r w:rsidRPr="00856235">
        <w:rPr>
          <w:rStyle w:val="FootnoteReference"/>
          <w:sz w:val="24"/>
          <w:lang w:val="bg-BG"/>
        </w:rPr>
        <w:footnoteRef/>
      </w:r>
      <w:r w:rsidR="00856235" w:rsidRPr="00856235">
        <w:rPr>
          <w:sz w:val="24"/>
          <w:lang w:val="bg-BG"/>
        </w:rPr>
        <w:t xml:space="preserve"> </w:t>
      </w:r>
      <w:r w:rsidR="00856235" w:rsidRPr="00856235">
        <w:rPr>
          <w:sz w:val="24"/>
          <w:lang w:val="bg-BG"/>
        </w:rPr>
        <w:tab/>
      </w:r>
      <w:r w:rsidRPr="00856235">
        <w:rPr>
          <w:sz w:val="24"/>
          <w:lang w:val="bg-BG"/>
        </w:rPr>
        <w:t>ОВ L 268, 18.10.2003 г., стр. 1, ELI: </w:t>
      </w:r>
      <w:hyperlink r:id="rId1" w:tooltip="Предоставя достъп до този документ чрез неговия URI в ELI." w:history="1">
        <w:r w:rsidRPr="00856235">
          <w:rPr>
            <w:rStyle w:val="Hyperlink"/>
            <w:sz w:val="24"/>
            <w:lang w:val="bg-BG"/>
          </w:rPr>
          <w:t>http://data.europa.eu/eli/reg/2003/1829/oj</w:t>
        </w:r>
      </w:hyperlink>
      <w:r w:rsidRPr="00856235">
        <w:rPr>
          <w:rStyle w:val="Hyperlink"/>
          <w:sz w:val="24"/>
          <w:lang w:val="bg-BG"/>
        </w:rPr>
        <w:t>.</w:t>
      </w:r>
    </w:p>
  </w:footnote>
  <w:footnote w:id="2">
    <w:p w14:paraId="02E557C7" w14:textId="329667F5" w:rsidR="00064F88" w:rsidRPr="00856235" w:rsidRDefault="00064F88" w:rsidP="00856235">
      <w:pPr>
        <w:pStyle w:val="FootnoteText"/>
        <w:ind w:left="567" w:hanging="567"/>
        <w:rPr>
          <w:sz w:val="24"/>
          <w:lang w:val="bg-BG"/>
        </w:rPr>
      </w:pPr>
      <w:r w:rsidRPr="00856235">
        <w:rPr>
          <w:rStyle w:val="FootnoteReference"/>
          <w:sz w:val="24"/>
          <w:lang w:val="bg-BG"/>
        </w:rPr>
        <w:footnoteRef/>
      </w:r>
      <w:r w:rsidR="00856235" w:rsidRPr="00856235">
        <w:rPr>
          <w:sz w:val="24"/>
          <w:lang w:val="bg-BG"/>
        </w:rPr>
        <w:t xml:space="preserve"> </w:t>
      </w:r>
      <w:r w:rsidR="00856235" w:rsidRPr="00856235">
        <w:rPr>
          <w:sz w:val="24"/>
          <w:lang w:val="bg-BG"/>
        </w:rPr>
        <w:tab/>
      </w:r>
      <w:r w:rsidRPr="00856235">
        <w:rPr>
          <w:sz w:val="24"/>
          <w:lang w:val="bg-BG"/>
        </w:rPr>
        <w:t xml:space="preserve">ОВ L 55, 28.2.2011 г., стр. 13, ELI: </w:t>
      </w:r>
      <w:hyperlink r:id="rId2" w:history="1">
        <w:r w:rsidRPr="00856235">
          <w:rPr>
            <w:rStyle w:val="Hyperlink"/>
            <w:sz w:val="24"/>
            <w:lang w:val="bg-BG"/>
          </w:rPr>
          <w:t>http://data.europa.eu/eli/reg/2011/182/oj</w:t>
        </w:r>
      </w:hyperlink>
      <w:r w:rsidRPr="00856235">
        <w:rPr>
          <w:sz w:val="24"/>
          <w:lang w:val="bg-BG"/>
        </w:rPr>
        <w:t>.</w:t>
      </w:r>
    </w:p>
  </w:footnote>
  <w:footnote w:id="3">
    <w:p w14:paraId="336527D0" w14:textId="6F71A483" w:rsidR="00064F88" w:rsidRPr="00856235" w:rsidRDefault="00064F88" w:rsidP="00856235">
      <w:pPr>
        <w:pStyle w:val="FootnoteText"/>
        <w:suppressAutoHyphens/>
        <w:ind w:left="567" w:hanging="567"/>
        <w:rPr>
          <w:sz w:val="24"/>
          <w:lang w:val="bg-BG"/>
        </w:rPr>
      </w:pPr>
      <w:r w:rsidRPr="00856235">
        <w:rPr>
          <w:rStyle w:val="FootnoteReference"/>
          <w:sz w:val="24"/>
          <w:lang w:val="bg-BG"/>
        </w:rPr>
        <w:footnoteRef/>
      </w:r>
      <w:r w:rsidR="00856235" w:rsidRPr="00856235">
        <w:rPr>
          <w:sz w:val="24"/>
          <w:lang w:val="bg-BG"/>
        </w:rPr>
        <w:t xml:space="preserve"> </w:t>
      </w:r>
      <w:r w:rsidR="00856235" w:rsidRPr="00856235">
        <w:rPr>
          <w:sz w:val="24"/>
          <w:lang w:val="bg-BG"/>
        </w:rPr>
        <w:tab/>
      </w:r>
      <w:r w:rsidRPr="00856235">
        <w:rPr>
          <w:sz w:val="24"/>
          <w:lang w:val="bg-BG"/>
        </w:rPr>
        <w:t xml:space="preserve">Научно становище на Експертната група на ЕОБХ по генетично модифицирани организми относно „Оценка на генетично модифицираното захарно цвекло KWS20-1 (заявление GMFF-2023-14732)“; EFSA </w:t>
      </w:r>
      <w:proofErr w:type="spellStart"/>
      <w:r w:rsidRPr="00856235">
        <w:rPr>
          <w:sz w:val="24"/>
          <w:lang w:val="bg-BG"/>
        </w:rPr>
        <w:t>Journal</w:t>
      </w:r>
      <w:proofErr w:type="spellEnd"/>
      <w:r w:rsidRPr="00856235">
        <w:rPr>
          <w:sz w:val="24"/>
          <w:lang w:val="bg-BG"/>
        </w:rPr>
        <w:t xml:space="preserve"> (Бюлетин на ЕОБХ), 2025 г.; 23(5):9381;</w:t>
      </w:r>
      <w:hyperlink r:id="rId3" w:history="1">
        <w:r w:rsidRPr="00856235">
          <w:rPr>
            <w:rStyle w:val="Hyperlink"/>
            <w:sz w:val="24"/>
            <w:lang w:val="bg-BG"/>
          </w:rPr>
          <w:t>https://doi.org/10.2903/j.efsa.2025.9381</w:t>
        </w:r>
      </w:hyperlink>
      <w:r w:rsidRPr="00856235">
        <w:rPr>
          <w:sz w:val="24"/>
          <w:lang w:val="bg-BG"/>
        </w:rPr>
        <w:t>.</w:t>
      </w:r>
    </w:p>
  </w:footnote>
  <w:footnote w:id="4">
    <w:p w14:paraId="4AB52B15" w14:textId="106A5C39" w:rsidR="00064F88" w:rsidRPr="00856235" w:rsidRDefault="00064F88" w:rsidP="00856235">
      <w:pPr>
        <w:pStyle w:val="FootnoteText"/>
        <w:suppressAutoHyphens/>
        <w:ind w:left="567" w:hanging="567"/>
        <w:rPr>
          <w:color w:val="000000" w:themeColor="text1"/>
          <w:sz w:val="24"/>
          <w:vertAlign w:val="superscript"/>
          <w:lang w:val="bg-BG"/>
        </w:rPr>
      </w:pPr>
      <w:r w:rsidRPr="00856235">
        <w:rPr>
          <w:rStyle w:val="FootnoteReference"/>
          <w:sz w:val="24"/>
          <w:lang w:val="bg-BG"/>
        </w:rPr>
        <w:footnoteRef/>
      </w:r>
      <w:r w:rsidR="00856235" w:rsidRPr="00856235">
        <w:rPr>
          <w:sz w:val="24"/>
          <w:lang w:val="bg-BG"/>
        </w:rPr>
        <w:t xml:space="preserve"> </w:t>
      </w:r>
      <w:r w:rsidR="00856235" w:rsidRPr="00856235">
        <w:rPr>
          <w:sz w:val="24"/>
          <w:lang w:val="bg-BG"/>
        </w:rPr>
        <w:tab/>
      </w:r>
      <w:r w:rsidRPr="00856235">
        <w:rPr>
          <w:sz w:val="24"/>
          <w:lang w:val="bg-BG"/>
        </w:rPr>
        <w:t>По време на осмия си мандат Парламентът прие 36 резолюции, а през деветия си мандат – 38 резолюции, в които възразява срещу разрешаването на ГМО.</w:t>
      </w:r>
      <w:r w:rsidRPr="00856235">
        <w:rPr>
          <w:color w:val="000000" w:themeColor="text1"/>
          <w:sz w:val="24"/>
          <w:lang w:val="bg-BG"/>
        </w:rPr>
        <w:t xml:space="preserve"> Освен това през десетия си мандат Парламентът прие следните резолюции:</w:t>
      </w:r>
    </w:p>
    <w:p w14:paraId="2342B147" w14:textId="48D68798" w:rsidR="00064F88" w:rsidRPr="00856235" w:rsidRDefault="00064F88" w:rsidP="000B6B9B">
      <w:pPr>
        <w:pStyle w:val="FootnoteText"/>
        <w:suppressAutoHyphens/>
        <w:ind w:left="1134" w:hanging="567"/>
        <w:rPr>
          <w:color w:val="000000" w:themeColor="text1"/>
          <w:sz w:val="24"/>
          <w:vertAlign w:val="superscript"/>
          <w:lang w:val="bg-BG"/>
        </w:rPr>
      </w:pPr>
      <w:r w:rsidRPr="00856235">
        <w:rPr>
          <w:color w:val="000000" w:themeColor="text1"/>
          <w:sz w:val="24"/>
          <w:lang w:val="bg-BG"/>
        </w:rPr>
        <w:t>–</w:t>
      </w:r>
      <w:r w:rsidRPr="00856235">
        <w:rPr>
          <w:color w:val="000000" w:themeColor="text1"/>
          <w:sz w:val="24"/>
          <w:lang w:val="bg-BG"/>
        </w:rPr>
        <w:tab/>
        <w:t xml:space="preserve">Резолюция на Европейския парламент от 26 ноември 2024 г. относно Решение за изпълнение (ЕС) 2024/2628 на Комисията за подновяване на разрешението за пускане на пазара на продукти, съдържащи, състоящи се или произведени от генетично модифицирана царевица MON 89034 × 1507 × NK603, съгласно Регламент (ЕО) № 1829/2003 на Европейския парламент и на Съвета (ОВ C, C/2025/1798, 4.4.2025 г., ELI: </w:t>
      </w:r>
      <w:hyperlink r:id="rId4" w:history="1">
        <w:r w:rsidRPr="00856235">
          <w:rPr>
            <w:rStyle w:val="Hyperlink"/>
            <w:sz w:val="24"/>
            <w:lang w:val="bg-BG"/>
          </w:rPr>
          <w:t>http://data.europa.eu/eli/C/2025/1797/oj</w:t>
        </w:r>
      </w:hyperlink>
      <w:r w:rsidRPr="00856235">
        <w:rPr>
          <w:color w:val="000000" w:themeColor="text1"/>
          <w:sz w:val="24"/>
          <w:lang w:val="bg-BG"/>
        </w:rPr>
        <w:t>).</w:t>
      </w:r>
    </w:p>
    <w:p w14:paraId="5097B2CE" w14:textId="691CBC64" w:rsidR="00064F88" w:rsidRPr="00856235" w:rsidRDefault="00064F88" w:rsidP="000B6B9B">
      <w:pPr>
        <w:pStyle w:val="FootnoteText"/>
        <w:suppressAutoHyphens/>
        <w:ind w:left="1134" w:hanging="567"/>
        <w:rPr>
          <w:color w:val="000000" w:themeColor="text1"/>
          <w:sz w:val="24"/>
          <w:vertAlign w:val="superscript"/>
          <w:lang w:val="bg-BG"/>
        </w:rPr>
      </w:pPr>
      <w:r w:rsidRPr="00856235">
        <w:rPr>
          <w:color w:val="000000" w:themeColor="text1"/>
          <w:sz w:val="24"/>
          <w:lang w:val="bg-BG"/>
        </w:rPr>
        <w:t>–</w:t>
      </w:r>
      <w:r w:rsidRPr="00856235">
        <w:rPr>
          <w:color w:val="000000" w:themeColor="text1"/>
          <w:sz w:val="24"/>
          <w:lang w:val="bg-BG"/>
        </w:rPr>
        <w:tab/>
        <w:t xml:space="preserve">Резолюция на Европейския парламент от 26 ноември 2024 г. относно Решение за изпълнение (ЕС) 2024/2627 на Комисията за разрешаване на пускането на пазара на продукти, съдържащи, състоящи се или произведени от генетично модифициран памук COT102, в съответствие с Регламент (ЕО) № 1829/2003 на Европейския парламент и на Съвета (ОВ C, C/2025/1798, 4.4.2025 г., ELI: </w:t>
      </w:r>
      <w:hyperlink r:id="rId5" w:history="1">
        <w:r w:rsidRPr="00856235">
          <w:rPr>
            <w:rStyle w:val="Hyperlink"/>
            <w:sz w:val="24"/>
            <w:lang w:val="bg-BG"/>
          </w:rPr>
          <w:t>http://data.europa.eu/eli/C/2025/1798/oj</w:t>
        </w:r>
      </w:hyperlink>
      <w:r w:rsidRPr="00856235">
        <w:rPr>
          <w:color w:val="000000" w:themeColor="text1"/>
          <w:sz w:val="24"/>
          <w:lang w:val="bg-BG"/>
        </w:rPr>
        <w:t>).</w:t>
      </w:r>
    </w:p>
    <w:p w14:paraId="66B363A6" w14:textId="0E7430EE" w:rsidR="00064F88" w:rsidRPr="00856235" w:rsidRDefault="00064F88" w:rsidP="000B6B9B">
      <w:pPr>
        <w:pStyle w:val="FootnoteText"/>
        <w:suppressAutoHyphens/>
        <w:ind w:left="1134" w:hanging="567"/>
        <w:rPr>
          <w:color w:val="000000" w:themeColor="text1"/>
          <w:sz w:val="24"/>
          <w:vertAlign w:val="superscript"/>
          <w:lang w:val="bg-BG"/>
        </w:rPr>
      </w:pPr>
      <w:r w:rsidRPr="00856235">
        <w:rPr>
          <w:color w:val="000000" w:themeColor="text1"/>
          <w:sz w:val="24"/>
          <w:lang w:val="bg-BG"/>
        </w:rPr>
        <w:t>–</w:t>
      </w:r>
      <w:r w:rsidRPr="00856235">
        <w:rPr>
          <w:color w:val="000000" w:themeColor="text1"/>
          <w:sz w:val="24"/>
          <w:lang w:val="bg-BG"/>
        </w:rPr>
        <w:tab/>
        <w:t xml:space="preserve">Резолюция на Европейския парламент от 26 ноември 2024 г. относно Решение за изпълнение (ЕС) 2024/2629 на Комисията за подновяване на разрешението за пускане на пазара на продукти, съдържащи, състоящи се или произведени от генетично модифицирана царевица MON 89034 × 1507 × MON 88017 × 59122 и осем нейни </w:t>
      </w:r>
      <w:proofErr w:type="spellStart"/>
      <w:r w:rsidRPr="00856235">
        <w:rPr>
          <w:color w:val="000000" w:themeColor="text1"/>
          <w:sz w:val="24"/>
          <w:lang w:val="bg-BG"/>
        </w:rPr>
        <w:t>подкомбинации</w:t>
      </w:r>
      <w:proofErr w:type="spellEnd"/>
      <w:r w:rsidRPr="00856235">
        <w:rPr>
          <w:color w:val="000000" w:themeColor="text1"/>
          <w:sz w:val="24"/>
          <w:lang w:val="bg-BG"/>
        </w:rPr>
        <w:t xml:space="preserve">, съгласно Регламент (ЕО) № 1829/2003 на Европейския парламент и на Съвета (ОВ C, C/2025/1799, 4.4.2025 г., ELI: </w:t>
      </w:r>
      <w:hyperlink r:id="rId6" w:history="1">
        <w:r w:rsidRPr="00856235">
          <w:rPr>
            <w:rStyle w:val="Hyperlink"/>
            <w:sz w:val="24"/>
            <w:lang w:val="bg-BG"/>
          </w:rPr>
          <w:t>http://data.europa.eu/eli/C/2025/1799/oj</w:t>
        </w:r>
      </w:hyperlink>
      <w:r w:rsidRPr="00856235">
        <w:rPr>
          <w:color w:val="000000" w:themeColor="text1"/>
          <w:sz w:val="24"/>
          <w:lang w:val="bg-BG"/>
        </w:rPr>
        <w:t>).</w:t>
      </w:r>
    </w:p>
    <w:p w14:paraId="0B02B6D8" w14:textId="1A85E3D1" w:rsidR="00064F88" w:rsidRPr="00856235" w:rsidRDefault="00064F88" w:rsidP="000B6B9B">
      <w:pPr>
        <w:pStyle w:val="FootnoteText"/>
        <w:ind w:left="1134" w:hanging="567"/>
        <w:rPr>
          <w:color w:val="000000" w:themeColor="text1"/>
          <w:sz w:val="24"/>
          <w:vertAlign w:val="superscript"/>
          <w:lang w:val="bg-BG"/>
        </w:rPr>
      </w:pPr>
      <w:r w:rsidRPr="00856235">
        <w:rPr>
          <w:color w:val="000000" w:themeColor="text1"/>
          <w:sz w:val="24"/>
          <w:lang w:val="bg-BG"/>
        </w:rPr>
        <w:t>–</w:t>
      </w:r>
      <w:r w:rsidRPr="00856235">
        <w:rPr>
          <w:color w:val="000000" w:themeColor="text1"/>
          <w:sz w:val="24"/>
          <w:lang w:val="bg-BG"/>
        </w:rPr>
        <w:tab/>
        <w:t xml:space="preserve">Резолюция на Европейския парламент от 26 ноември 2024 г. относно Решение за изпълнение (ЕС) 2024/1828 на Комисията за подновяване на разрешението за пускане на пазара на фуражи, съдържащи, състоящи се от генетично модифицирана царевица MON 810 и на храни и фуражи, произведени от нея, в съответствие с Регламент (ЕО) № 1829/2003 на Европейския парламент и на Съвета и за отмяна на Решение за изпълнение (ЕС) 2017/1207 на Комисията (ОВ C, C/2025/1800, 4.4.2025 г., ELI: </w:t>
      </w:r>
      <w:hyperlink r:id="rId7" w:history="1">
        <w:r w:rsidRPr="00856235">
          <w:rPr>
            <w:rStyle w:val="Hyperlink"/>
            <w:sz w:val="24"/>
            <w:lang w:val="bg-BG"/>
          </w:rPr>
          <w:t>http://data.europa.eu/eli/C/2025/1800/oj</w:t>
        </w:r>
      </w:hyperlink>
      <w:r w:rsidRPr="00856235">
        <w:rPr>
          <w:color w:val="000000" w:themeColor="text1"/>
          <w:sz w:val="24"/>
          <w:lang w:val="bg-BG"/>
        </w:rPr>
        <w:t>).</w:t>
      </w:r>
    </w:p>
    <w:p w14:paraId="022D204A" w14:textId="1D819C19" w:rsidR="00064F88" w:rsidRPr="00856235" w:rsidRDefault="00064F88" w:rsidP="000B6B9B">
      <w:pPr>
        <w:pStyle w:val="FootnoteText"/>
        <w:ind w:left="1134" w:hanging="567"/>
        <w:rPr>
          <w:color w:val="000000" w:themeColor="text1"/>
          <w:sz w:val="24"/>
          <w:vertAlign w:val="superscript"/>
          <w:lang w:val="bg-BG"/>
        </w:rPr>
      </w:pPr>
      <w:r w:rsidRPr="00856235">
        <w:rPr>
          <w:color w:val="000000" w:themeColor="text1"/>
          <w:sz w:val="24"/>
          <w:lang w:val="bg-BG"/>
        </w:rPr>
        <w:t>–</w:t>
      </w:r>
      <w:r w:rsidRPr="00856235">
        <w:rPr>
          <w:color w:val="000000" w:themeColor="text1"/>
          <w:sz w:val="24"/>
          <w:lang w:val="bg-BG"/>
        </w:rPr>
        <w:tab/>
        <w:t xml:space="preserve">Резолюция на Европейския парламент от 26 ноември 2024 г. относно Решение за изпълнение (ЕС) 2024/1822 на Комисията за разрешаване на пускането на пазара на продукти, съдържащи, състоящи се или произведени от генетично модифицирана царевица DP915635, в съответствие с Регламент (ЕО) № 1829/2003 на Европейския парламент и на Съвета (ОВ C, C/2025/1801, 4.4.2025 г., ELI: </w:t>
      </w:r>
      <w:hyperlink r:id="rId8" w:history="1">
        <w:r w:rsidRPr="00856235">
          <w:rPr>
            <w:rStyle w:val="Hyperlink"/>
            <w:sz w:val="24"/>
            <w:lang w:val="bg-BG"/>
          </w:rPr>
          <w:t>http://data.europa.eu/eli/C/2025/1801/oj</w:t>
        </w:r>
      </w:hyperlink>
      <w:r w:rsidRPr="00856235">
        <w:rPr>
          <w:color w:val="000000" w:themeColor="text1"/>
          <w:sz w:val="24"/>
          <w:lang w:val="bg-BG"/>
        </w:rPr>
        <w:t>).</w:t>
      </w:r>
    </w:p>
    <w:p w14:paraId="183C639E" w14:textId="104E3663" w:rsidR="00064F88" w:rsidRPr="00856235" w:rsidRDefault="00064F88" w:rsidP="000B6B9B">
      <w:pPr>
        <w:pStyle w:val="FootnoteText"/>
        <w:ind w:left="1134" w:hanging="567"/>
        <w:rPr>
          <w:color w:val="000000" w:themeColor="text1"/>
          <w:sz w:val="24"/>
          <w:vertAlign w:val="superscript"/>
          <w:lang w:val="bg-BG"/>
        </w:rPr>
      </w:pPr>
      <w:r w:rsidRPr="00856235">
        <w:rPr>
          <w:color w:val="000000" w:themeColor="text1"/>
          <w:sz w:val="24"/>
          <w:lang w:val="bg-BG"/>
        </w:rPr>
        <w:t>–</w:t>
      </w:r>
      <w:r w:rsidRPr="00856235">
        <w:rPr>
          <w:color w:val="000000" w:themeColor="text1"/>
          <w:sz w:val="24"/>
          <w:lang w:val="bg-BG"/>
        </w:rPr>
        <w:tab/>
        <w:t xml:space="preserve">Резолюция на Европейския парламент от 26 ноември 2024 г. относно решение за изпълнение (ЕС) 2024/1826 на Комисията за разрешаване на пускането на пазара на продукти, съдържащи, състоящи се или произведени от генетично модифицирана царевица DP23211, съгласно Регламент (ЕО) № 1829/2003 на Европейския парламент и на Съвета (ОВ C, C/2025/1802, 4.4.2025 г., ELI: </w:t>
      </w:r>
      <w:hyperlink r:id="rId9" w:history="1">
        <w:r w:rsidRPr="00856235">
          <w:rPr>
            <w:rStyle w:val="Hyperlink"/>
            <w:sz w:val="24"/>
            <w:lang w:val="bg-BG"/>
          </w:rPr>
          <w:t>http://data.europa.eu/eli/C/2025/1802/oj</w:t>
        </w:r>
      </w:hyperlink>
      <w:r w:rsidRPr="00856235">
        <w:rPr>
          <w:color w:val="000000" w:themeColor="text1"/>
          <w:sz w:val="24"/>
          <w:lang w:val="bg-BG"/>
        </w:rPr>
        <w:t>).</w:t>
      </w:r>
    </w:p>
    <w:p w14:paraId="5FC668BC" w14:textId="23893C7F" w:rsidR="00064F88" w:rsidRPr="00856235" w:rsidRDefault="00064F88" w:rsidP="000B6B9B">
      <w:pPr>
        <w:pStyle w:val="FootnoteText"/>
        <w:ind w:left="1134" w:hanging="567"/>
        <w:rPr>
          <w:color w:val="000000" w:themeColor="text1"/>
          <w:sz w:val="24"/>
          <w:vertAlign w:val="superscript"/>
          <w:lang w:val="bg-BG"/>
        </w:rPr>
      </w:pPr>
      <w:r w:rsidRPr="00856235">
        <w:rPr>
          <w:color w:val="000000" w:themeColor="text1"/>
          <w:sz w:val="24"/>
          <w:lang w:val="bg-BG"/>
        </w:rPr>
        <w:t>–</w:t>
      </w:r>
      <w:r w:rsidRPr="00856235">
        <w:rPr>
          <w:color w:val="000000" w:themeColor="text1"/>
          <w:sz w:val="24"/>
          <w:lang w:val="bg-BG"/>
        </w:rPr>
        <w:tab/>
        <w:t xml:space="preserve">Резолюция на Европейския парламент от 26 ноември 2024 г. относно Решение за изпълнение (EС) 2024/2618 на Комисията за разрешаване на пускането на пазара на продукти, съдържащи, състоящи се или произведени от генетично модифицирана царевица DP202216, в съответствие с Регламент (ЕО) № 1829/2003 на Европейския парламент и на Съвета (ОВ C, C/2025/1803, 4.4.2025 г., ELI: </w:t>
      </w:r>
      <w:hyperlink r:id="rId10" w:history="1">
        <w:r w:rsidRPr="00856235">
          <w:rPr>
            <w:rStyle w:val="Hyperlink"/>
            <w:sz w:val="24"/>
            <w:lang w:val="bg-BG"/>
          </w:rPr>
          <w:t>http://data.europa.eu/eli/C/2025/1803/oj</w:t>
        </w:r>
      </w:hyperlink>
      <w:r w:rsidRPr="00856235">
        <w:rPr>
          <w:color w:val="000000" w:themeColor="text1"/>
          <w:sz w:val="24"/>
          <w:lang w:val="bg-BG"/>
        </w:rPr>
        <w:t>).</w:t>
      </w:r>
    </w:p>
    <w:p w14:paraId="59ACD7F3" w14:textId="62E2A761" w:rsidR="00064F88" w:rsidRPr="00856235" w:rsidRDefault="00064F88" w:rsidP="000B6B9B">
      <w:pPr>
        <w:pStyle w:val="FootnoteText"/>
        <w:ind w:left="1134" w:hanging="567"/>
        <w:rPr>
          <w:color w:val="000000" w:themeColor="text1"/>
          <w:sz w:val="24"/>
          <w:vertAlign w:val="superscript"/>
          <w:lang w:val="bg-BG"/>
        </w:rPr>
      </w:pPr>
      <w:r w:rsidRPr="00856235">
        <w:rPr>
          <w:color w:val="000000" w:themeColor="text1"/>
          <w:sz w:val="24"/>
          <w:lang w:val="bg-BG"/>
        </w:rPr>
        <w:t>–</w:t>
      </w:r>
      <w:r w:rsidRPr="00856235">
        <w:rPr>
          <w:color w:val="000000" w:themeColor="text1"/>
          <w:sz w:val="24"/>
          <w:lang w:val="bg-BG"/>
        </w:rPr>
        <w:tab/>
        <w:t xml:space="preserve">Резолюция на Европейския парламент от 26 ноември 2024 г. относно проекта на решение за изпълнение на Комисията за разрешаване на пускането на пазара на продукти, съдържащи, състоящи се или произведени от генетично модифицирана царевица MON 94804, в съответствие с Регламент (ЕО) № 1829/2003 на Европейския парламент и на Съвета (ОВ C, C/2025/1804, 4.4.2025 г., ELI: </w:t>
      </w:r>
      <w:hyperlink r:id="rId11" w:history="1">
        <w:r w:rsidRPr="00856235">
          <w:rPr>
            <w:rStyle w:val="Hyperlink"/>
            <w:sz w:val="24"/>
            <w:lang w:val="bg-BG"/>
          </w:rPr>
          <w:t>http://data.europa.eu/eli/C/2025/1804/oj</w:t>
        </w:r>
      </w:hyperlink>
      <w:r w:rsidRPr="00856235">
        <w:rPr>
          <w:color w:val="000000" w:themeColor="text1"/>
          <w:sz w:val="24"/>
          <w:lang w:val="bg-BG"/>
        </w:rPr>
        <w:t>).</w:t>
      </w:r>
    </w:p>
    <w:p w14:paraId="56E57572" w14:textId="2C3C2CE0" w:rsidR="00064F88" w:rsidRPr="00856235" w:rsidRDefault="00064F88" w:rsidP="000B6B9B">
      <w:pPr>
        <w:pStyle w:val="FootnoteText"/>
        <w:ind w:left="1134" w:hanging="567"/>
        <w:rPr>
          <w:sz w:val="24"/>
          <w:vertAlign w:val="superscript"/>
          <w:lang w:val="bg-BG"/>
        </w:rPr>
      </w:pPr>
      <w:r w:rsidRPr="00856235">
        <w:rPr>
          <w:color w:val="000000" w:themeColor="text1"/>
          <w:sz w:val="24"/>
          <w:lang w:val="bg-BG"/>
        </w:rPr>
        <w:t>–</w:t>
      </w:r>
      <w:r w:rsidRPr="00856235">
        <w:rPr>
          <w:color w:val="000000" w:themeColor="text1"/>
          <w:sz w:val="24"/>
          <w:lang w:val="bg-BG"/>
        </w:rPr>
        <w:tab/>
      </w:r>
      <w:r w:rsidRPr="00856235">
        <w:rPr>
          <w:sz w:val="24"/>
          <w:lang w:val="bg-BG"/>
        </w:rPr>
        <w:t xml:space="preserve">Резолюция на Европейския парламент от 12 февруари 2025 г. относно проекта на решение на Комисията за разрешаване на пускането на пазара на продукти, съдържащи, състоящи се или произведени от генетично модифицирана царевица DP910521, съгласно Регламент (ЕО) № 1829/2003 на Европейския парламент и на Съвета (ОВ C, C/2025/2246, 29.4.2025 г., ELI: </w:t>
      </w:r>
      <w:hyperlink r:id="rId12" w:tooltip="Предоставя достъп до този документ чрез неговия URI в ELI." w:history="1">
        <w:r w:rsidRPr="00856235">
          <w:rPr>
            <w:rStyle w:val="Hyperlink"/>
            <w:sz w:val="24"/>
            <w:lang w:val="bg-BG"/>
          </w:rPr>
          <w:t>http://data.europa.eu/eli/C/2025/2246/oj</w:t>
        </w:r>
      </w:hyperlink>
      <w:r w:rsidRPr="00856235">
        <w:rPr>
          <w:sz w:val="24"/>
          <w:lang w:val="bg-BG"/>
        </w:rPr>
        <w:t>).</w:t>
      </w:r>
    </w:p>
    <w:p w14:paraId="3BD76D08" w14:textId="1B9251C9" w:rsidR="00064F88" w:rsidRPr="00856235" w:rsidRDefault="00064F88" w:rsidP="000B6B9B">
      <w:pPr>
        <w:pStyle w:val="FootnoteText"/>
        <w:ind w:left="1134" w:hanging="567"/>
        <w:rPr>
          <w:sz w:val="24"/>
          <w:vertAlign w:val="superscript"/>
          <w:lang w:val="bg-BG"/>
        </w:rPr>
      </w:pPr>
      <w:r w:rsidRPr="00856235">
        <w:rPr>
          <w:sz w:val="24"/>
          <w:lang w:val="bg-BG"/>
        </w:rPr>
        <w:t>–</w:t>
      </w:r>
      <w:r w:rsidRPr="00856235">
        <w:rPr>
          <w:sz w:val="24"/>
          <w:lang w:val="bg-BG"/>
        </w:rPr>
        <w:tab/>
        <w:t xml:space="preserve">Резолюция на Европейския парламент от 12 февруари 2025 г. относно проекта на решение за изпълнение на Комисията за разрешаване на пускането на пазара на продукти, съдържащи, състоящи се или произведени от генетично модифицирана царевица MON 95275, в съответствие с Регламент (ЕО) № 1829/2003 на Европейския парламент и на Съвета (ОВ C, C/2025/2247, 29.4.2025 г., ELI: </w:t>
      </w:r>
      <w:hyperlink r:id="rId13" w:tooltip="Предоставя достъп до този документ чрез неговия URI в ELI." w:history="1">
        <w:r w:rsidRPr="00856235">
          <w:rPr>
            <w:rStyle w:val="Hyperlink"/>
            <w:sz w:val="24"/>
            <w:lang w:val="bg-BG"/>
          </w:rPr>
          <w:t>http://data.europa.eu/eli/C/2025/2247/oj</w:t>
        </w:r>
      </w:hyperlink>
      <w:r w:rsidRPr="00856235">
        <w:rPr>
          <w:sz w:val="24"/>
          <w:lang w:val="bg-BG"/>
        </w:rPr>
        <w:t>).</w:t>
      </w:r>
    </w:p>
    <w:p w14:paraId="527EA4D8" w14:textId="57585FA3" w:rsidR="00064F88" w:rsidRPr="00856235" w:rsidRDefault="00064F88" w:rsidP="000B6B9B">
      <w:pPr>
        <w:pStyle w:val="FootnoteText"/>
        <w:ind w:left="1134" w:hanging="567"/>
        <w:rPr>
          <w:sz w:val="24"/>
          <w:vertAlign w:val="superscript"/>
          <w:lang w:val="bg-BG"/>
        </w:rPr>
      </w:pPr>
      <w:r w:rsidRPr="00856235">
        <w:rPr>
          <w:sz w:val="24"/>
          <w:lang w:val="bg-BG"/>
        </w:rPr>
        <w:t>–</w:t>
      </w:r>
      <w:r w:rsidRPr="00856235">
        <w:rPr>
          <w:sz w:val="24"/>
          <w:lang w:val="bg-BG"/>
        </w:rPr>
        <w:tab/>
        <w:t>Резолюция на Европейския парламент от 8 май 2025 г. относно проекта на решение за изпълнение на Комисията за разрешаване на пускането на пазара на продукти, съдържащи, състоящи се или произведени от генетично модифицирана соя MON 87705 × MON 87708 × MON 89788, съгласно Регламент (ЕО) № 1829/2003 на Европейския парламент и на Съвета (P10_TA(2025)0106).</w:t>
      </w:r>
    </w:p>
    <w:p w14:paraId="5F86E39C" w14:textId="7459E553" w:rsidR="00064F88" w:rsidRPr="00856235" w:rsidRDefault="00064F88" w:rsidP="000B6B9B">
      <w:pPr>
        <w:pStyle w:val="FootnoteText"/>
        <w:ind w:left="1134" w:hanging="567"/>
        <w:rPr>
          <w:sz w:val="24"/>
          <w:vertAlign w:val="superscript"/>
          <w:lang w:val="bg-BG"/>
        </w:rPr>
      </w:pPr>
      <w:r w:rsidRPr="00856235">
        <w:rPr>
          <w:sz w:val="24"/>
          <w:lang w:val="bg-BG"/>
        </w:rPr>
        <w:t>–</w:t>
      </w:r>
      <w:r w:rsidRPr="00856235">
        <w:rPr>
          <w:sz w:val="24"/>
          <w:lang w:val="bg-BG"/>
        </w:rPr>
        <w:tab/>
        <w:t>Резолюция на Европейския парламент от 8 октомври 2025 г. относно Решение за изпълнение (ЕС) 2025/1898 на Комисията от 22 септември 2025 г за разрешаване на пускането на пазара на продукти, съдържащи, състоящи се или произведени от генетично модифицирана царевица DP51291, в съответствие с Регламент (ЕО) № 1829/2003 на Европейския парламент и на Съвета (P10_TA(2025)0222).</w:t>
      </w:r>
    </w:p>
    <w:p w14:paraId="54D6BC26" w14:textId="37BF9DAF" w:rsidR="00064F88" w:rsidRPr="00856235" w:rsidRDefault="00064F88" w:rsidP="000B6B9B">
      <w:pPr>
        <w:pStyle w:val="FootnoteText"/>
        <w:ind w:left="1134" w:hanging="567"/>
        <w:rPr>
          <w:sz w:val="24"/>
          <w:vertAlign w:val="superscript"/>
          <w:lang w:val="bg-BG"/>
        </w:rPr>
      </w:pPr>
      <w:r w:rsidRPr="00856235">
        <w:rPr>
          <w:sz w:val="24"/>
          <w:lang w:val="bg-BG"/>
        </w:rPr>
        <w:t>–</w:t>
      </w:r>
      <w:r w:rsidRPr="00856235">
        <w:rPr>
          <w:sz w:val="24"/>
          <w:lang w:val="bg-BG"/>
        </w:rPr>
        <w:tab/>
        <w:t>Резолюция на Европейския парламент от 25 ноември 2025 г. относно проекта на решение за изпълнение на Комисията за разрешаване на пускането на пазара на продукти, съдържащи, състоящи се или произведени от генетично модифицирана царевица DAS1131, в съответствие с Регламент (ЕО) № 1829/2003 на Европейския парламент и на Съвета (P10_TA(2025)0288).</w:t>
      </w:r>
    </w:p>
    <w:p w14:paraId="4CFCEDE6" w14:textId="4D111837" w:rsidR="00064F88" w:rsidRPr="00856235" w:rsidRDefault="00064F88" w:rsidP="000B6B9B">
      <w:pPr>
        <w:pStyle w:val="FootnoteText"/>
        <w:ind w:left="1134" w:hanging="567"/>
        <w:rPr>
          <w:sz w:val="24"/>
          <w:vertAlign w:val="superscript"/>
          <w:lang w:val="bg-BG"/>
        </w:rPr>
      </w:pPr>
      <w:r w:rsidRPr="00856235">
        <w:rPr>
          <w:sz w:val="24"/>
          <w:lang w:val="bg-BG"/>
        </w:rPr>
        <w:t>–</w:t>
      </w:r>
      <w:r w:rsidRPr="00856235">
        <w:rPr>
          <w:sz w:val="24"/>
          <w:lang w:val="bg-BG"/>
        </w:rPr>
        <w:tab/>
        <w:t>Резолюция на Европейския парламент от 25 ноември 2025 г. относно проекта на решение за изпълнение на Комисията относно подновяването на разрешението за пускането на пазара на продукти, съдържащи, състоящи се или произведени от генетично модифициран памук MON 88913 (MON-88913-8), съгласно Регламент (ЕО) № 1829/2003 на Европейския парламент и на Съвета (P10_TA(2025)0289).</w:t>
      </w:r>
    </w:p>
    <w:p w14:paraId="1E3F6035" w14:textId="23DAE76D" w:rsidR="00064F88" w:rsidRPr="00856235" w:rsidRDefault="00064F88" w:rsidP="000B6B9B">
      <w:pPr>
        <w:pStyle w:val="FootnoteText"/>
        <w:ind w:left="1134" w:hanging="567"/>
        <w:rPr>
          <w:sz w:val="24"/>
          <w:vertAlign w:val="superscript"/>
          <w:lang w:val="bg-BG"/>
        </w:rPr>
      </w:pPr>
      <w:r w:rsidRPr="00856235">
        <w:rPr>
          <w:sz w:val="24"/>
          <w:lang w:val="bg-BG"/>
        </w:rPr>
        <w:t>–</w:t>
      </w:r>
      <w:r w:rsidRPr="00856235">
        <w:rPr>
          <w:sz w:val="24"/>
          <w:lang w:val="bg-BG"/>
        </w:rPr>
        <w:tab/>
        <w:t>Резолюция на Европейския парламент от 25 ноември 2025 г. относно проекта на решение за изпълнение на Комисията относно подновяването на разрешението за пускането на пазара на продукти, съдържащи, състоящи се или произведени от генетично модифицирана маслодайна рапица MON 88302, съгласно Регламент (ЕО) № 1829/2003 на Европейския парламент и на Съвета (P10_TA(2025)0290).</w:t>
      </w:r>
    </w:p>
    <w:p w14:paraId="005A87F5" w14:textId="1FECF43A" w:rsidR="00064F88" w:rsidRPr="00856235" w:rsidRDefault="00064F88" w:rsidP="000B6B9B">
      <w:pPr>
        <w:pStyle w:val="FootnoteText"/>
        <w:ind w:left="1134" w:hanging="567"/>
        <w:rPr>
          <w:sz w:val="24"/>
          <w:vertAlign w:val="superscript"/>
          <w:lang w:val="bg-BG"/>
        </w:rPr>
      </w:pPr>
      <w:r w:rsidRPr="00856235">
        <w:rPr>
          <w:sz w:val="24"/>
          <w:lang w:val="bg-BG"/>
        </w:rPr>
        <w:t>–</w:t>
      </w:r>
      <w:r w:rsidRPr="00856235">
        <w:rPr>
          <w:sz w:val="24"/>
          <w:lang w:val="bg-BG"/>
        </w:rPr>
        <w:tab/>
        <w:t>Резолюция на Европейския парламент от 25 ноември 2025 г. относно решението за изпълнение на Комисията относно подновяването на разрешението за пускането на пазара на продукти, съдържащи, състоящи се или произведени от генетично модифицирана соя MON 87708, съгласно Регламент (ЕО) № 1829/2003 на Европейския парламент и на Съвета (P10_TA(2025)0291).</w:t>
      </w:r>
    </w:p>
    <w:p w14:paraId="2C1E660C" w14:textId="60620E50" w:rsidR="00064F88" w:rsidRPr="00856235" w:rsidRDefault="00064F88" w:rsidP="000B6B9B">
      <w:pPr>
        <w:pStyle w:val="FootnoteText"/>
        <w:ind w:left="1134" w:hanging="567"/>
        <w:rPr>
          <w:sz w:val="24"/>
          <w:lang w:val="bg-BG"/>
        </w:rPr>
      </w:pPr>
      <w:r w:rsidRPr="00856235">
        <w:rPr>
          <w:sz w:val="24"/>
          <w:lang w:val="bg-BG"/>
        </w:rPr>
        <w:t>–</w:t>
      </w:r>
      <w:r w:rsidRPr="00856235">
        <w:rPr>
          <w:sz w:val="24"/>
          <w:lang w:val="bg-BG"/>
        </w:rPr>
        <w:tab/>
        <w:t>Резолюция на Европейския парламент от 25 ноември 2025 г. относно проекта на решение за изпълнение на Комисията относно подновяването на разрешението за пускането на пазара на продукти, съдържащи, състоящи се или произведени от генетично модифицирана царевица MON 87427, съгласно Регламент (ЕО) № 1829/2003 на Европейския парламент и на Съвета (P10_TA(2025)0292).</w:t>
      </w:r>
    </w:p>
  </w:footnote>
  <w:footnote w:id="5">
    <w:p w14:paraId="253D9C00" w14:textId="0787B65C" w:rsidR="00064F88" w:rsidRPr="00856235" w:rsidRDefault="00064F88" w:rsidP="00856235">
      <w:pPr>
        <w:pStyle w:val="FootnoteText"/>
        <w:ind w:left="567" w:hanging="567"/>
        <w:rPr>
          <w:sz w:val="24"/>
          <w:lang w:val="bg-BG"/>
        </w:rPr>
      </w:pPr>
      <w:r w:rsidRPr="00856235">
        <w:rPr>
          <w:rStyle w:val="FootnoteReference"/>
          <w:sz w:val="24"/>
          <w:lang w:val="bg-BG"/>
        </w:rPr>
        <w:footnoteRef/>
      </w:r>
      <w:r w:rsidR="00856235" w:rsidRPr="00856235">
        <w:rPr>
          <w:sz w:val="24"/>
          <w:shd w:val="clear" w:color="auto" w:fill="FFFFFF"/>
          <w:lang w:val="bg-BG"/>
        </w:rPr>
        <w:t xml:space="preserve"> </w:t>
      </w:r>
      <w:r w:rsidR="00856235" w:rsidRPr="00856235">
        <w:rPr>
          <w:sz w:val="24"/>
          <w:shd w:val="clear" w:color="auto" w:fill="FFFFFF"/>
          <w:lang w:val="bg-BG"/>
        </w:rPr>
        <w:tab/>
      </w:r>
      <w:r w:rsidRPr="00856235">
        <w:rPr>
          <w:sz w:val="24"/>
          <w:shd w:val="clear" w:color="auto" w:fill="FFFFFF"/>
          <w:lang w:val="bg-BG"/>
        </w:rPr>
        <w:t xml:space="preserve">Вж. например </w:t>
      </w:r>
      <w:proofErr w:type="spellStart"/>
      <w:r w:rsidRPr="00856235">
        <w:rPr>
          <w:sz w:val="24"/>
          <w:shd w:val="clear" w:color="auto" w:fill="FFFFFF"/>
          <w:lang w:val="bg-BG"/>
        </w:rPr>
        <w:t>Bonny</w:t>
      </w:r>
      <w:proofErr w:type="spellEnd"/>
      <w:r w:rsidRPr="00856235">
        <w:rPr>
          <w:sz w:val="24"/>
          <w:shd w:val="clear" w:color="auto" w:fill="FFFFFF"/>
          <w:lang w:val="bg-BG"/>
        </w:rPr>
        <w:t>, S., „</w:t>
      </w:r>
      <w:proofErr w:type="spellStart"/>
      <w:r w:rsidRPr="00856235">
        <w:rPr>
          <w:sz w:val="24"/>
          <w:shd w:val="clear" w:color="auto" w:fill="FFFFFF"/>
          <w:lang w:val="bg-BG"/>
        </w:rPr>
        <w:t>Genetically</w:t>
      </w:r>
      <w:proofErr w:type="spellEnd"/>
      <w:r w:rsidRPr="00856235">
        <w:rPr>
          <w:sz w:val="24"/>
          <w:shd w:val="clear" w:color="auto" w:fill="FFFFFF"/>
          <w:lang w:val="bg-BG"/>
        </w:rPr>
        <w:t xml:space="preserve"> </w:t>
      </w:r>
      <w:proofErr w:type="spellStart"/>
      <w:r w:rsidRPr="00856235">
        <w:rPr>
          <w:sz w:val="24"/>
          <w:shd w:val="clear" w:color="auto" w:fill="FFFFFF"/>
          <w:lang w:val="bg-BG"/>
        </w:rPr>
        <w:t>Modified</w:t>
      </w:r>
      <w:proofErr w:type="spellEnd"/>
      <w:r w:rsidRPr="00856235">
        <w:rPr>
          <w:sz w:val="24"/>
          <w:shd w:val="clear" w:color="auto" w:fill="FFFFFF"/>
          <w:lang w:val="bg-BG"/>
        </w:rPr>
        <w:t xml:space="preserve"> </w:t>
      </w:r>
      <w:proofErr w:type="spellStart"/>
      <w:r w:rsidRPr="00856235">
        <w:rPr>
          <w:sz w:val="24"/>
          <w:shd w:val="clear" w:color="auto" w:fill="FFFFFF"/>
          <w:lang w:val="bg-BG"/>
        </w:rPr>
        <w:t>Herbicide-Tolerant</w:t>
      </w:r>
      <w:proofErr w:type="spellEnd"/>
      <w:r w:rsidRPr="00856235">
        <w:rPr>
          <w:sz w:val="24"/>
          <w:shd w:val="clear" w:color="auto" w:fill="FFFFFF"/>
          <w:lang w:val="bg-BG"/>
        </w:rPr>
        <w:t xml:space="preserve"> </w:t>
      </w:r>
      <w:proofErr w:type="spellStart"/>
      <w:r w:rsidRPr="00856235">
        <w:rPr>
          <w:sz w:val="24"/>
          <w:shd w:val="clear" w:color="auto" w:fill="FFFFFF"/>
          <w:lang w:val="bg-BG"/>
        </w:rPr>
        <w:t>Crops</w:t>
      </w:r>
      <w:proofErr w:type="spellEnd"/>
      <w:r w:rsidRPr="00856235">
        <w:rPr>
          <w:sz w:val="24"/>
          <w:shd w:val="clear" w:color="auto" w:fill="FFFFFF"/>
          <w:lang w:val="bg-BG"/>
        </w:rPr>
        <w:t xml:space="preserve">, </w:t>
      </w:r>
      <w:proofErr w:type="spellStart"/>
      <w:r w:rsidRPr="00856235">
        <w:rPr>
          <w:sz w:val="24"/>
          <w:shd w:val="clear" w:color="auto" w:fill="FFFFFF"/>
          <w:lang w:val="bg-BG"/>
        </w:rPr>
        <w:t>Weeds</w:t>
      </w:r>
      <w:proofErr w:type="spellEnd"/>
      <w:r w:rsidRPr="00856235">
        <w:rPr>
          <w:sz w:val="24"/>
          <w:shd w:val="clear" w:color="auto" w:fill="FFFFFF"/>
          <w:lang w:val="bg-BG"/>
        </w:rPr>
        <w:t xml:space="preserve">, </w:t>
      </w:r>
      <w:proofErr w:type="spellStart"/>
      <w:r w:rsidRPr="00856235">
        <w:rPr>
          <w:sz w:val="24"/>
          <w:shd w:val="clear" w:color="auto" w:fill="FFFFFF"/>
          <w:lang w:val="bg-BG"/>
        </w:rPr>
        <w:t>and</w:t>
      </w:r>
      <w:proofErr w:type="spellEnd"/>
      <w:r w:rsidRPr="00856235">
        <w:rPr>
          <w:sz w:val="24"/>
          <w:shd w:val="clear" w:color="auto" w:fill="FFFFFF"/>
          <w:lang w:val="bg-BG"/>
        </w:rPr>
        <w:t xml:space="preserve"> </w:t>
      </w:r>
      <w:proofErr w:type="spellStart"/>
      <w:r w:rsidRPr="00856235">
        <w:rPr>
          <w:sz w:val="24"/>
          <w:shd w:val="clear" w:color="auto" w:fill="FFFFFF"/>
          <w:lang w:val="bg-BG"/>
        </w:rPr>
        <w:t>Herbicides</w:t>
      </w:r>
      <w:proofErr w:type="spellEnd"/>
      <w:r w:rsidRPr="00856235">
        <w:rPr>
          <w:sz w:val="24"/>
          <w:shd w:val="clear" w:color="auto" w:fill="FFFFFF"/>
          <w:lang w:val="bg-BG"/>
        </w:rPr>
        <w:t xml:space="preserve">: </w:t>
      </w:r>
      <w:proofErr w:type="spellStart"/>
      <w:r w:rsidRPr="00856235">
        <w:rPr>
          <w:sz w:val="24"/>
          <w:shd w:val="clear" w:color="auto" w:fill="FFFFFF"/>
          <w:lang w:val="bg-BG"/>
        </w:rPr>
        <w:t>Overview</w:t>
      </w:r>
      <w:proofErr w:type="spellEnd"/>
      <w:r w:rsidRPr="00856235">
        <w:rPr>
          <w:sz w:val="24"/>
          <w:shd w:val="clear" w:color="auto" w:fill="FFFFFF"/>
          <w:lang w:val="bg-BG"/>
        </w:rPr>
        <w:t xml:space="preserve"> </w:t>
      </w:r>
      <w:proofErr w:type="spellStart"/>
      <w:r w:rsidRPr="00856235">
        <w:rPr>
          <w:sz w:val="24"/>
          <w:shd w:val="clear" w:color="auto" w:fill="FFFFFF"/>
          <w:lang w:val="bg-BG"/>
        </w:rPr>
        <w:t>and</w:t>
      </w:r>
      <w:proofErr w:type="spellEnd"/>
      <w:r w:rsidRPr="00856235">
        <w:rPr>
          <w:sz w:val="24"/>
          <w:shd w:val="clear" w:color="auto" w:fill="FFFFFF"/>
          <w:lang w:val="bg-BG"/>
        </w:rPr>
        <w:t xml:space="preserve"> </w:t>
      </w:r>
      <w:proofErr w:type="spellStart"/>
      <w:r w:rsidRPr="00856235">
        <w:rPr>
          <w:sz w:val="24"/>
          <w:shd w:val="clear" w:color="auto" w:fill="FFFFFF"/>
          <w:lang w:val="bg-BG"/>
        </w:rPr>
        <w:t>Impact</w:t>
      </w:r>
      <w:proofErr w:type="spellEnd"/>
      <w:r w:rsidRPr="00856235">
        <w:rPr>
          <w:sz w:val="24"/>
          <w:shd w:val="clear" w:color="auto" w:fill="FFFFFF"/>
          <w:lang w:val="bg-BG"/>
        </w:rPr>
        <w:t xml:space="preserve">“ (Устойчиви на хербициди генетично модифицирани култури, плевели и хербициди: преглед и въздействие), </w:t>
      </w:r>
      <w:proofErr w:type="spellStart"/>
      <w:r w:rsidRPr="00856235">
        <w:rPr>
          <w:sz w:val="24"/>
          <w:shd w:val="clear" w:color="auto" w:fill="FFFFFF"/>
          <w:lang w:val="bg-BG"/>
        </w:rPr>
        <w:t>Environmental</w:t>
      </w:r>
      <w:proofErr w:type="spellEnd"/>
      <w:r w:rsidRPr="00856235">
        <w:rPr>
          <w:sz w:val="24"/>
          <w:shd w:val="clear" w:color="auto" w:fill="FFFFFF"/>
          <w:lang w:val="bg-BG"/>
        </w:rPr>
        <w:t xml:space="preserve"> </w:t>
      </w:r>
      <w:proofErr w:type="spellStart"/>
      <w:r w:rsidRPr="00856235">
        <w:rPr>
          <w:sz w:val="24"/>
          <w:shd w:val="clear" w:color="auto" w:fill="FFFFFF"/>
          <w:lang w:val="bg-BG"/>
        </w:rPr>
        <w:t>Management</w:t>
      </w:r>
      <w:proofErr w:type="spellEnd"/>
      <w:r w:rsidRPr="00856235">
        <w:rPr>
          <w:sz w:val="24"/>
          <w:shd w:val="clear" w:color="auto" w:fill="FFFFFF"/>
          <w:lang w:val="bg-BG"/>
        </w:rPr>
        <w:t xml:space="preserve">, януари 2016 г.; 57(1), стр. 31 – 48, </w:t>
      </w:r>
      <w:hyperlink r:id="rId14" w:history="1">
        <w:r w:rsidRPr="00856235">
          <w:rPr>
            <w:rStyle w:val="Hyperlink"/>
            <w:sz w:val="24"/>
            <w:shd w:val="clear" w:color="auto" w:fill="FFFFFF"/>
            <w:lang w:val="bg-BG"/>
          </w:rPr>
          <w:t>https://doi.org/10.1007/s00267-015-0589-7</w:t>
        </w:r>
      </w:hyperlink>
      <w:r w:rsidRPr="00856235">
        <w:rPr>
          <w:sz w:val="24"/>
          <w:shd w:val="clear" w:color="auto" w:fill="FFFFFF"/>
          <w:lang w:val="bg-BG"/>
        </w:rPr>
        <w:t xml:space="preserve">, и </w:t>
      </w:r>
      <w:proofErr w:type="spellStart"/>
      <w:r w:rsidRPr="00856235">
        <w:rPr>
          <w:sz w:val="24"/>
          <w:shd w:val="clear" w:color="auto" w:fill="FFFFFF"/>
          <w:lang w:val="bg-BG"/>
        </w:rPr>
        <w:t>Benbrook</w:t>
      </w:r>
      <w:proofErr w:type="spellEnd"/>
      <w:r w:rsidRPr="00856235">
        <w:rPr>
          <w:sz w:val="24"/>
          <w:shd w:val="clear" w:color="auto" w:fill="FFFFFF"/>
          <w:lang w:val="bg-BG"/>
        </w:rPr>
        <w:t>, C. M., „</w:t>
      </w:r>
      <w:proofErr w:type="spellStart"/>
      <w:r w:rsidRPr="00856235">
        <w:rPr>
          <w:sz w:val="24"/>
          <w:shd w:val="clear" w:color="auto" w:fill="FFFFFF"/>
          <w:lang w:val="bg-BG"/>
        </w:rPr>
        <w:t>Impacts</w:t>
      </w:r>
      <w:proofErr w:type="spellEnd"/>
      <w:r w:rsidRPr="00856235">
        <w:rPr>
          <w:sz w:val="24"/>
          <w:shd w:val="clear" w:color="auto" w:fill="FFFFFF"/>
          <w:lang w:val="bg-BG"/>
        </w:rPr>
        <w:t xml:space="preserve"> </w:t>
      </w:r>
      <w:proofErr w:type="spellStart"/>
      <w:r w:rsidRPr="00856235">
        <w:rPr>
          <w:sz w:val="24"/>
          <w:shd w:val="clear" w:color="auto" w:fill="FFFFFF"/>
          <w:lang w:val="bg-BG"/>
        </w:rPr>
        <w:t>of</w:t>
      </w:r>
      <w:proofErr w:type="spellEnd"/>
      <w:r w:rsidRPr="00856235">
        <w:rPr>
          <w:sz w:val="24"/>
          <w:shd w:val="clear" w:color="auto" w:fill="FFFFFF"/>
          <w:lang w:val="bg-BG"/>
        </w:rPr>
        <w:t xml:space="preserve"> </w:t>
      </w:r>
      <w:proofErr w:type="spellStart"/>
      <w:r w:rsidRPr="00856235">
        <w:rPr>
          <w:sz w:val="24"/>
          <w:shd w:val="clear" w:color="auto" w:fill="FFFFFF"/>
          <w:lang w:val="bg-BG"/>
        </w:rPr>
        <w:t>genetically</w:t>
      </w:r>
      <w:proofErr w:type="spellEnd"/>
      <w:r w:rsidRPr="00856235">
        <w:rPr>
          <w:sz w:val="24"/>
          <w:shd w:val="clear" w:color="auto" w:fill="FFFFFF"/>
          <w:lang w:val="bg-BG"/>
        </w:rPr>
        <w:t xml:space="preserve"> </w:t>
      </w:r>
      <w:proofErr w:type="spellStart"/>
      <w:r w:rsidRPr="00856235">
        <w:rPr>
          <w:sz w:val="24"/>
          <w:shd w:val="clear" w:color="auto" w:fill="FFFFFF"/>
          <w:lang w:val="bg-BG"/>
        </w:rPr>
        <w:t>enginered</w:t>
      </w:r>
      <w:proofErr w:type="spellEnd"/>
      <w:r w:rsidRPr="00856235">
        <w:rPr>
          <w:sz w:val="24"/>
          <w:shd w:val="clear" w:color="auto" w:fill="FFFFFF"/>
          <w:lang w:val="bg-BG"/>
        </w:rPr>
        <w:t xml:space="preserve"> </w:t>
      </w:r>
      <w:proofErr w:type="spellStart"/>
      <w:r w:rsidRPr="00856235">
        <w:rPr>
          <w:sz w:val="24"/>
          <w:shd w:val="clear" w:color="auto" w:fill="FFFFFF"/>
          <w:lang w:val="bg-BG"/>
        </w:rPr>
        <w:t>crops</w:t>
      </w:r>
      <w:proofErr w:type="spellEnd"/>
      <w:r w:rsidRPr="00856235">
        <w:rPr>
          <w:sz w:val="24"/>
          <w:shd w:val="clear" w:color="auto" w:fill="FFFFFF"/>
          <w:lang w:val="bg-BG"/>
        </w:rPr>
        <w:t xml:space="preserve"> </w:t>
      </w:r>
      <w:proofErr w:type="spellStart"/>
      <w:r w:rsidRPr="00856235">
        <w:rPr>
          <w:sz w:val="24"/>
          <w:shd w:val="clear" w:color="auto" w:fill="FFFFFF"/>
          <w:lang w:val="bg-BG"/>
        </w:rPr>
        <w:t>on</w:t>
      </w:r>
      <w:proofErr w:type="spellEnd"/>
      <w:r w:rsidRPr="00856235">
        <w:rPr>
          <w:sz w:val="24"/>
          <w:shd w:val="clear" w:color="auto" w:fill="FFFFFF"/>
          <w:lang w:val="bg-BG"/>
        </w:rPr>
        <w:t xml:space="preserve"> </w:t>
      </w:r>
      <w:proofErr w:type="spellStart"/>
      <w:r w:rsidRPr="00856235">
        <w:rPr>
          <w:sz w:val="24"/>
          <w:shd w:val="clear" w:color="auto" w:fill="FFFFFF"/>
          <w:lang w:val="bg-BG"/>
        </w:rPr>
        <w:t>pesticide</w:t>
      </w:r>
      <w:proofErr w:type="spellEnd"/>
      <w:r w:rsidRPr="00856235">
        <w:rPr>
          <w:sz w:val="24"/>
          <w:shd w:val="clear" w:color="auto" w:fill="FFFFFF"/>
          <w:lang w:val="bg-BG"/>
        </w:rPr>
        <w:t xml:space="preserve"> </w:t>
      </w:r>
      <w:proofErr w:type="spellStart"/>
      <w:r w:rsidRPr="00856235">
        <w:rPr>
          <w:sz w:val="24"/>
          <w:shd w:val="clear" w:color="auto" w:fill="FFFFFF"/>
          <w:lang w:val="bg-BG"/>
        </w:rPr>
        <w:t>use</w:t>
      </w:r>
      <w:proofErr w:type="spellEnd"/>
      <w:r w:rsidRPr="00856235">
        <w:rPr>
          <w:sz w:val="24"/>
          <w:shd w:val="clear" w:color="auto" w:fill="FFFFFF"/>
          <w:lang w:val="bg-BG"/>
        </w:rPr>
        <w:t xml:space="preserve"> </w:t>
      </w:r>
      <w:proofErr w:type="spellStart"/>
      <w:r w:rsidRPr="00856235">
        <w:rPr>
          <w:sz w:val="24"/>
          <w:shd w:val="clear" w:color="auto" w:fill="FFFFFF"/>
          <w:lang w:val="bg-BG"/>
        </w:rPr>
        <w:t>in</w:t>
      </w:r>
      <w:proofErr w:type="spellEnd"/>
      <w:r w:rsidRPr="00856235">
        <w:rPr>
          <w:sz w:val="24"/>
          <w:shd w:val="clear" w:color="auto" w:fill="FFFFFF"/>
          <w:lang w:val="bg-BG"/>
        </w:rPr>
        <w:t xml:space="preserve"> </w:t>
      </w:r>
      <w:proofErr w:type="spellStart"/>
      <w:r w:rsidRPr="00856235">
        <w:rPr>
          <w:sz w:val="24"/>
          <w:shd w:val="clear" w:color="auto" w:fill="FFFFFF"/>
          <w:lang w:val="bg-BG"/>
        </w:rPr>
        <w:t>the</w:t>
      </w:r>
      <w:proofErr w:type="spellEnd"/>
      <w:r w:rsidRPr="00856235">
        <w:rPr>
          <w:sz w:val="24"/>
          <w:shd w:val="clear" w:color="auto" w:fill="FFFFFF"/>
          <w:lang w:val="bg-BG"/>
        </w:rPr>
        <w:t xml:space="preserve"> U.S. – </w:t>
      </w:r>
      <w:proofErr w:type="spellStart"/>
      <w:r w:rsidRPr="00856235">
        <w:rPr>
          <w:sz w:val="24"/>
          <w:shd w:val="clear" w:color="auto" w:fill="FFFFFF"/>
          <w:lang w:val="bg-BG"/>
        </w:rPr>
        <w:t>the</w:t>
      </w:r>
      <w:proofErr w:type="spellEnd"/>
      <w:r w:rsidRPr="00856235">
        <w:rPr>
          <w:sz w:val="24"/>
          <w:shd w:val="clear" w:color="auto" w:fill="FFFFFF"/>
          <w:lang w:val="bg-BG"/>
        </w:rPr>
        <w:t xml:space="preserve"> </w:t>
      </w:r>
      <w:proofErr w:type="spellStart"/>
      <w:r w:rsidRPr="00856235">
        <w:rPr>
          <w:sz w:val="24"/>
          <w:shd w:val="clear" w:color="auto" w:fill="FFFFFF"/>
          <w:lang w:val="bg-BG"/>
        </w:rPr>
        <w:t>first</w:t>
      </w:r>
      <w:proofErr w:type="spellEnd"/>
      <w:r w:rsidRPr="00856235">
        <w:rPr>
          <w:sz w:val="24"/>
          <w:shd w:val="clear" w:color="auto" w:fill="FFFFFF"/>
          <w:lang w:val="bg-BG"/>
        </w:rPr>
        <w:t xml:space="preserve"> </w:t>
      </w:r>
      <w:proofErr w:type="spellStart"/>
      <w:r w:rsidRPr="00856235">
        <w:rPr>
          <w:sz w:val="24"/>
          <w:shd w:val="clear" w:color="auto" w:fill="FFFFFF"/>
          <w:lang w:val="bg-BG"/>
        </w:rPr>
        <w:t>sixteen</w:t>
      </w:r>
      <w:proofErr w:type="spellEnd"/>
      <w:r w:rsidRPr="00856235">
        <w:rPr>
          <w:sz w:val="24"/>
          <w:shd w:val="clear" w:color="auto" w:fill="FFFFFF"/>
          <w:lang w:val="bg-BG"/>
        </w:rPr>
        <w:t xml:space="preserve"> </w:t>
      </w:r>
      <w:proofErr w:type="spellStart"/>
      <w:r w:rsidRPr="00856235">
        <w:rPr>
          <w:sz w:val="24"/>
          <w:shd w:val="clear" w:color="auto" w:fill="FFFFFF"/>
          <w:lang w:val="bg-BG"/>
        </w:rPr>
        <w:t>years</w:t>
      </w:r>
      <w:proofErr w:type="spellEnd"/>
      <w:r w:rsidRPr="00856235">
        <w:rPr>
          <w:sz w:val="24"/>
          <w:shd w:val="clear" w:color="auto" w:fill="FFFFFF"/>
          <w:lang w:val="bg-BG"/>
        </w:rPr>
        <w:t xml:space="preserve">“ (Въздействия на културите, продукт на генно инженерство, върху употребата на пестициди в САЩ – първите шестнадесет години), </w:t>
      </w:r>
      <w:proofErr w:type="spellStart"/>
      <w:r w:rsidRPr="00856235">
        <w:rPr>
          <w:sz w:val="24"/>
          <w:shd w:val="clear" w:color="auto" w:fill="FFFFFF"/>
          <w:lang w:val="bg-BG"/>
        </w:rPr>
        <w:t>Environmental</w:t>
      </w:r>
      <w:proofErr w:type="spellEnd"/>
      <w:r w:rsidRPr="00856235">
        <w:rPr>
          <w:sz w:val="24"/>
          <w:shd w:val="clear" w:color="auto" w:fill="FFFFFF"/>
          <w:lang w:val="bg-BG"/>
        </w:rPr>
        <w:t xml:space="preserve"> </w:t>
      </w:r>
      <w:proofErr w:type="spellStart"/>
      <w:r w:rsidRPr="00856235">
        <w:rPr>
          <w:sz w:val="24"/>
          <w:shd w:val="clear" w:color="auto" w:fill="FFFFFF"/>
          <w:lang w:val="bg-BG"/>
        </w:rPr>
        <w:t>Sciences</w:t>
      </w:r>
      <w:proofErr w:type="spellEnd"/>
      <w:r w:rsidRPr="00856235">
        <w:rPr>
          <w:sz w:val="24"/>
          <w:shd w:val="clear" w:color="auto" w:fill="FFFFFF"/>
          <w:lang w:val="bg-BG"/>
        </w:rPr>
        <w:t xml:space="preserve"> </w:t>
      </w:r>
      <w:proofErr w:type="spellStart"/>
      <w:r w:rsidRPr="00856235">
        <w:rPr>
          <w:sz w:val="24"/>
          <w:shd w:val="clear" w:color="auto" w:fill="FFFFFF"/>
          <w:lang w:val="bg-BG"/>
        </w:rPr>
        <w:t>Europe</w:t>
      </w:r>
      <w:proofErr w:type="spellEnd"/>
      <w:r w:rsidRPr="00856235">
        <w:rPr>
          <w:sz w:val="24"/>
          <w:shd w:val="clear" w:color="auto" w:fill="FFFFFF"/>
          <w:lang w:val="bg-BG"/>
        </w:rPr>
        <w:t xml:space="preserve">; 28 септември 2012 г., том 24(1), </w:t>
      </w:r>
      <w:hyperlink r:id="rId15" w:history="1">
        <w:r w:rsidRPr="00856235">
          <w:rPr>
            <w:rStyle w:val="Hyperlink"/>
            <w:sz w:val="24"/>
            <w:lang w:val="bg-BG"/>
          </w:rPr>
          <w:t>https://doi.org/10.1186/2190-4715-24-24</w:t>
        </w:r>
      </w:hyperlink>
      <w:r w:rsidRPr="00856235">
        <w:rPr>
          <w:rStyle w:val="Hyperlink"/>
          <w:sz w:val="24"/>
          <w:shd w:val="clear" w:color="auto" w:fill="FFFFFF"/>
          <w:lang w:val="bg-BG"/>
        </w:rPr>
        <w:t>.</w:t>
      </w:r>
    </w:p>
  </w:footnote>
  <w:footnote w:id="6">
    <w:p w14:paraId="4796725C" w14:textId="4DCFFAA7" w:rsidR="00064F88" w:rsidRPr="00856235" w:rsidRDefault="00064F88" w:rsidP="00856235">
      <w:pPr>
        <w:pStyle w:val="FootnoteText"/>
        <w:ind w:left="567" w:hanging="567"/>
        <w:rPr>
          <w:sz w:val="24"/>
          <w:vertAlign w:val="superscript"/>
          <w:lang w:val="bg-BG"/>
        </w:rPr>
      </w:pPr>
      <w:r w:rsidRPr="00856235">
        <w:rPr>
          <w:rStyle w:val="FootnoteReference"/>
          <w:sz w:val="24"/>
          <w:lang w:val="bg-BG"/>
        </w:rPr>
        <w:footnoteRef/>
      </w:r>
      <w:r w:rsidR="00856235" w:rsidRPr="00856235">
        <w:rPr>
          <w:sz w:val="24"/>
          <w:lang w:val="bg-BG"/>
        </w:rPr>
        <w:t xml:space="preserve"> </w:t>
      </w:r>
      <w:r w:rsidR="00856235" w:rsidRPr="00856235">
        <w:rPr>
          <w:sz w:val="24"/>
          <w:lang w:val="bg-BG"/>
        </w:rPr>
        <w:tab/>
      </w:r>
      <w:r w:rsidRPr="00856235">
        <w:rPr>
          <w:sz w:val="24"/>
          <w:lang w:val="bg-BG"/>
        </w:rPr>
        <w:t xml:space="preserve">Вж. например: </w:t>
      </w:r>
      <w:hyperlink r:id="rId16" w:history="1">
        <w:r w:rsidRPr="00856235">
          <w:rPr>
            <w:rStyle w:val="Hyperlink"/>
            <w:sz w:val="24"/>
            <w:lang w:val="bg-BG"/>
          </w:rPr>
          <w:t>https://doi.org/10.1002/ps.8105</w:t>
        </w:r>
      </w:hyperlink>
      <w:r w:rsidRPr="00856235">
        <w:rPr>
          <w:sz w:val="24"/>
          <w:lang w:val="bg-BG"/>
        </w:rPr>
        <w:t>,</w:t>
      </w:r>
    </w:p>
    <w:p w14:paraId="71ADFC66" w14:textId="3ECFA8B1" w:rsidR="00064F88" w:rsidRPr="00856235" w:rsidRDefault="00856235" w:rsidP="00856235">
      <w:pPr>
        <w:pStyle w:val="FootnoteText"/>
        <w:ind w:left="567" w:hanging="567"/>
        <w:rPr>
          <w:sz w:val="24"/>
          <w:lang w:val="bg-BG"/>
        </w:rPr>
      </w:pPr>
      <w:r w:rsidRPr="00856235">
        <w:rPr>
          <w:sz w:val="24"/>
          <w:lang w:val="bg-BG"/>
        </w:rPr>
        <w:t xml:space="preserve"> </w:t>
      </w:r>
      <w:r w:rsidRPr="00856235">
        <w:rPr>
          <w:sz w:val="24"/>
          <w:lang w:val="bg-BG"/>
        </w:rPr>
        <w:tab/>
      </w:r>
      <w:hyperlink r:id="rId17" w:tgtFrame="_blank" w:tooltip="Постоянна връзка посредством идентификатор на цифров обект" w:history="1">
        <w:r w:rsidR="00064F88" w:rsidRPr="00856235">
          <w:rPr>
            <w:rStyle w:val="Hyperlink"/>
            <w:sz w:val="24"/>
            <w:lang w:val="bg-BG"/>
          </w:rPr>
          <w:t>https://doi.org/10.1016/j.geoforum.2009.03.009</w:t>
        </w:r>
      </w:hyperlink>
      <w:r w:rsidR="00064F88" w:rsidRPr="00856235">
        <w:rPr>
          <w:sz w:val="24"/>
          <w:lang w:val="bg-BG"/>
        </w:rPr>
        <w:t>.</w:t>
      </w:r>
    </w:p>
  </w:footnote>
  <w:footnote w:id="7">
    <w:p w14:paraId="3AB8D21C" w14:textId="5CCA3D93" w:rsidR="00064F88" w:rsidRPr="00856235" w:rsidRDefault="00064F88" w:rsidP="00856235">
      <w:pPr>
        <w:pStyle w:val="FootnoteText"/>
        <w:ind w:left="567" w:hanging="567"/>
        <w:rPr>
          <w:sz w:val="24"/>
          <w:lang w:val="bg-BG"/>
        </w:rPr>
      </w:pPr>
      <w:r w:rsidRPr="00856235">
        <w:rPr>
          <w:rStyle w:val="FootnoteReference"/>
          <w:sz w:val="24"/>
          <w:lang w:val="bg-BG"/>
        </w:rPr>
        <w:footnoteRef/>
      </w:r>
      <w:r w:rsidR="00856235" w:rsidRPr="00856235">
        <w:rPr>
          <w:sz w:val="24"/>
          <w:lang w:val="bg-BG"/>
        </w:rPr>
        <w:t xml:space="preserve"> </w:t>
      </w:r>
      <w:r w:rsidR="00856235" w:rsidRPr="00856235">
        <w:rPr>
          <w:sz w:val="24"/>
          <w:lang w:val="bg-BG"/>
        </w:rPr>
        <w:tab/>
      </w:r>
      <w:r w:rsidRPr="00856235">
        <w:rPr>
          <w:sz w:val="24"/>
          <w:lang w:val="bg-BG"/>
        </w:rPr>
        <w:t>Вж. например:</w:t>
      </w:r>
      <w:r w:rsidRPr="00856235">
        <w:rPr>
          <w:sz w:val="24"/>
          <w:lang w:val="bg-BG"/>
        </w:rPr>
        <w:br/>
      </w:r>
      <w:hyperlink r:id="rId18" w:tgtFrame="_blank" w:tooltip="Постоянна връзка посредством идентификатор на цифров обект" w:history="1">
        <w:r w:rsidRPr="00856235">
          <w:rPr>
            <w:rStyle w:val="Hyperlink"/>
            <w:sz w:val="24"/>
            <w:lang w:val="bg-BG"/>
          </w:rPr>
          <w:t>https://doi.org/10.1016/j.mrrev.2019.02.001</w:t>
        </w:r>
      </w:hyperlink>
      <w:r w:rsidRPr="00856235">
        <w:rPr>
          <w:sz w:val="24"/>
          <w:lang w:val="bg-BG"/>
        </w:rPr>
        <w:t>,</w:t>
      </w:r>
      <w:r w:rsidRPr="00856235">
        <w:rPr>
          <w:sz w:val="24"/>
          <w:lang w:val="bg-BG"/>
        </w:rPr>
        <w:br/>
      </w:r>
      <w:hyperlink r:id="rId19" w:history="1">
        <w:r w:rsidRPr="00856235">
          <w:rPr>
            <w:rStyle w:val="Hyperlink"/>
            <w:sz w:val="24"/>
            <w:lang w:val="bg-BG"/>
          </w:rPr>
          <w:t>https://doi.org/10.1093/ije/dyz017</w:t>
        </w:r>
      </w:hyperlink>
      <w:r w:rsidRPr="00856235">
        <w:rPr>
          <w:sz w:val="24"/>
          <w:lang w:val="bg-BG"/>
        </w:rPr>
        <w:t>,</w:t>
      </w:r>
      <w:r w:rsidRPr="00856235">
        <w:rPr>
          <w:sz w:val="24"/>
          <w:lang w:val="bg-BG"/>
        </w:rPr>
        <w:br/>
      </w:r>
      <w:hyperlink r:id="rId20" w:history="1">
        <w:r w:rsidRPr="00856235">
          <w:rPr>
            <w:rStyle w:val="Hyperlink"/>
            <w:sz w:val="24"/>
            <w:lang w:val="bg-BG"/>
          </w:rPr>
          <w:t>https://doi.org/10.1371/journal.pone.0219610</w:t>
        </w:r>
      </w:hyperlink>
      <w:r w:rsidRPr="00856235">
        <w:rPr>
          <w:sz w:val="24"/>
          <w:lang w:val="bg-BG"/>
        </w:rPr>
        <w:t xml:space="preserve"> и</w:t>
      </w:r>
      <w:r w:rsidRPr="00856235">
        <w:rPr>
          <w:sz w:val="24"/>
          <w:lang w:val="bg-BG"/>
        </w:rPr>
        <w:br/>
      </w:r>
      <w:hyperlink r:id="rId21" w:history="1">
        <w:r w:rsidRPr="00856235">
          <w:rPr>
            <w:rStyle w:val="Hyperlink"/>
            <w:sz w:val="24"/>
            <w:lang w:val="bg-BG"/>
          </w:rPr>
          <w:t>https://doi.org/10.1186/s13045-019-0767-9</w:t>
        </w:r>
      </w:hyperlink>
      <w:r w:rsidRPr="00856235">
        <w:rPr>
          <w:sz w:val="24"/>
          <w:lang w:val="bg-BG"/>
        </w:rPr>
        <w:t>.</w:t>
      </w:r>
    </w:p>
  </w:footnote>
  <w:footnote w:id="8">
    <w:p w14:paraId="5F615C27" w14:textId="6910C2B4" w:rsidR="00064F88" w:rsidRPr="00856235" w:rsidRDefault="00064F88" w:rsidP="00856235">
      <w:pPr>
        <w:pStyle w:val="FootnoteText"/>
        <w:ind w:left="567" w:hanging="567"/>
        <w:rPr>
          <w:sz w:val="24"/>
          <w:lang w:val="bg-BG"/>
        </w:rPr>
      </w:pPr>
      <w:r w:rsidRPr="00856235">
        <w:rPr>
          <w:rStyle w:val="FootnoteReference"/>
          <w:sz w:val="24"/>
          <w:lang w:val="bg-BG"/>
        </w:rPr>
        <w:footnoteRef/>
      </w:r>
      <w:r w:rsidR="00856235" w:rsidRPr="00856235">
        <w:rPr>
          <w:sz w:val="24"/>
          <w:lang w:val="bg-BG"/>
        </w:rPr>
        <w:t xml:space="preserve"> </w:t>
      </w:r>
      <w:r w:rsidR="00856235" w:rsidRPr="00856235">
        <w:rPr>
          <w:sz w:val="24"/>
          <w:lang w:val="bg-BG"/>
        </w:rPr>
        <w:tab/>
      </w:r>
      <w:r w:rsidRPr="00856235">
        <w:rPr>
          <w:sz w:val="24"/>
          <w:lang w:val="bg-BG"/>
        </w:rPr>
        <w:t xml:space="preserve">Регламент (ЕО) № 1107/2009 на Европейския парламент и на Съвета от 21 октомври 2009 г. относно пускането на пазара на продукти за растителна защита и за отмяна на директиви 79/117/ЕИО и 91/414/ЕИО на Съвета (ОВ L 309, 24.11.2009 г., стр. 1, ELI: </w:t>
      </w:r>
      <w:hyperlink r:id="rId22" w:tooltip="Предоставя достъп до този документ чрез неговия URI в ELI." w:history="1">
        <w:r w:rsidRPr="00856235">
          <w:rPr>
            <w:rStyle w:val="Hyperlink"/>
            <w:sz w:val="24"/>
            <w:lang w:val="bg-BG"/>
          </w:rPr>
          <w:t>http://data.europa.eu/eli/reg/2009/1107/oj</w:t>
        </w:r>
      </w:hyperlink>
      <w:r w:rsidRPr="00856235">
        <w:rPr>
          <w:sz w:val="24"/>
          <w:lang w:val="bg-BG"/>
        </w:rPr>
        <w:t>).</w:t>
      </w:r>
    </w:p>
  </w:footnote>
  <w:footnote w:id="9">
    <w:p w14:paraId="35193828" w14:textId="2CCC0A93" w:rsidR="00064F88" w:rsidRPr="00856235" w:rsidRDefault="00064F88" w:rsidP="00856235">
      <w:pPr>
        <w:pStyle w:val="FootnoteText"/>
        <w:ind w:left="567" w:hanging="567"/>
        <w:rPr>
          <w:sz w:val="24"/>
          <w:lang w:val="bg-BG"/>
        </w:rPr>
      </w:pPr>
      <w:r w:rsidRPr="00856235">
        <w:rPr>
          <w:rStyle w:val="FootnoteReference"/>
          <w:sz w:val="24"/>
          <w:lang w:val="bg-BG"/>
        </w:rPr>
        <w:footnoteRef/>
      </w:r>
      <w:r w:rsidR="00856235" w:rsidRPr="00856235">
        <w:rPr>
          <w:sz w:val="24"/>
          <w:lang w:val="bg-BG"/>
        </w:rPr>
        <w:t xml:space="preserve"> </w:t>
      </w:r>
      <w:r w:rsidR="00856235" w:rsidRPr="00856235">
        <w:rPr>
          <w:sz w:val="24"/>
          <w:lang w:val="bg-BG"/>
        </w:rPr>
        <w:tab/>
      </w:r>
      <w:r w:rsidRPr="00856235">
        <w:rPr>
          <w:sz w:val="24"/>
          <w:lang w:val="bg-BG"/>
        </w:rPr>
        <w:t xml:space="preserve">През декември 2022 г. на 15-ата конференция на страните по Конвенцията на ООН за биологичното разнообразие беше договорена глобалната рамка за биологичното разнообразие Кунмин – Монреал, която включва глобална цел за намаляване на риска от пестициди с най-малко 50% до 2030 г. </w:t>
      </w:r>
      <w:r w:rsidRPr="00856235">
        <w:rPr>
          <w:sz w:val="24"/>
          <w:lang w:val="bg-BG"/>
        </w:rPr>
        <w:t>(вж.:</w:t>
      </w:r>
      <w:r w:rsidRPr="00856235">
        <w:rPr>
          <w:color w:val="000000" w:themeColor="text1"/>
          <w:sz w:val="24"/>
          <w:lang w:val="bg-BG"/>
        </w:rPr>
        <w:t xml:space="preserve"> </w:t>
      </w:r>
      <w:hyperlink r:id="rId23" w:history="1">
        <w:r w:rsidRPr="00856235">
          <w:rPr>
            <w:rStyle w:val="Hyperlink"/>
            <w:sz w:val="24"/>
            <w:lang w:val="bg-BG"/>
          </w:rPr>
          <w:t>https://ec.europa.eu/commission/presscorner/detail/bg/ip_22_7834</w:t>
        </w:r>
      </w:hyperlink>
      <w:r w:rsidRPr="00856235">
        <w:rPr>
          <w:sz w:val="24"/>
          <w:lang w:val="bg-BG"/>
        </w:rPr>
        <w:t>)</w:t>
      </w:r>
      <w:r w:rsidR="004D500E">
        <w:rPr>
          <w:sz w:val="24"/>
          <w:lang w:val="bg-BG"/>
        </w:rPr>
        <w:t>.</w:t>
      </w:r>
    </w:p>
  </w:footnote>
  <w:footnote w:id="10">
    <w:p w14:paraId="238C3744" w14:textId="15497F96" w:rsidR="00064F88" w:rsidRPr="00856235" w:rsidRDefault="00064F88" w:rsidP="00856235">
      <w:pPr>
        <w:pStyle w:val="FootnoteText"/>
        <w:ind w:left="567" w:hanging="567"/>
        <w:rPr>
          <w:sz w:val="24"/>
          <w:lang w:val="bg-BG"/>
        </w:rPr>
      </w:pPr>
      <w:r w:rsidRPr="00856235">
        <w:rPr>
          <w:rStyle w:val="FootnoteReference"/>
          <w:sz w:val="24"/>
          <w:lang w:val="bg-BG"/>
        </w:rPr>
        <w:footnoteRef/>
      </w:r>
      <w:r w:rsidR="00856235" w:rsidRPr="00856235">
        <w:rPr>
          <w:sz w:val="24"/>
          <w:lang w:val="bg-BG"/>
        </w:rPr>
        <w:t xml:space="preserve"> </w:t>
      </w:r>
      <w:r w:rsidR="00856235" w:rsidRPr="00856235">
        <w:rPr>
          <w:sz w:val="24"/>
          <w:lang w:val="bg-BG"/>
        </w:rPr>
        <w:tab/>
      </w:r>
      <w:hyperlink r:id="rId24" w:history="1">
        <w:r w:rsidRPr="00856235">
          <w:rPr>
            <w:rStyle w:val="Hyperlink"/>
            <w:sz w:val="24"/>
            <w:lang w:val="bg-BG"/>
          </w:rPr>
          <w:t>https://commission.europa.eu/strategy-and-policy/priorities-2019-2024/european-green-deal/agriculture-and-green-deal/strategic-dialogue-future-eu-agriculture_bg</w:t>
        </w:r>
      </w:hyperlink>
      <w:r w:rsidRPr="00856235">
        <w:rPr>
          <w:rStyle w:val="Hyperlink"/>
          <w:sz w:val="24"/>
          <w:lang w:val="bg-BG"/>
        </w:rPr>
        <w:t>.</w:t>
      </w:r>
      <w:r w:rsidRPr="00856235">
        <w:rPr>
          <w:sz w:val="24"/>
          <w:lang w:val="bg-BG"/>
        </w:rPr>
        <w:t xml:space="preserve"> </w:t>
      </w:r>
    </w:p>
  </w:footnote>
  <w:footnote w:id="11">
    <w:p w14:paraId="5530F249" w14:textId="61B29A83" w:rsidR="00064F88" w:rsidRPr="00856235" w:rsidRDefault="00064F88" w:rsidP="00856235">
      <w:pPr>
        <w:pStyle w:val="FootnoteText"/>
        <w:ind w:left="567" w:hanging="567"/>
        <w:rPr>
          <w:sz w:val="24"/>
          <w:lang w:val="bg-BG"/>
        </w:rPr>
      </w:pPr>
      <w:r w:rsidRPr="00856235">
        <w:rPr>
          <w:rStyle w:val="FootnoteReference"/>
          <w:sz w:val="24"/>
          <w:lang w:val="bg-BG"/>
        </w:rPr>
        <w:footnoteRef/>
      </w:r>
      <w:r w:rsidR="00856235" w:rsidRPr="00856235">
        <w:rPr>
          <w:sz w:val="24"/>
          <w:lang w:val="bg-BG"/>
        </w:rPr>
        <w:t xml:space="preserve"> </w:t>
      </w:r>
      <w:r w:rsidR="00856235" w:rsidRPr="00856235">
        <w:rPr>
          <w:sz w:val="24"/>
          <w:lang w:val="bg-BG"/>
        </w:rPr>
        <w:tab/>
      </w:r>
      <w:r w:rsidRPr="00856235">
        <w:rPr>
          <w:sz w:val="24"/>
          <w:lang w:val="bg-BG"/>
        </w:rPr>
        <w:t>Регламент (ЕО) № 178/2002 на Европейския парламент и на Съвета от 28 януари 2002 г. за установяване на общите принципи и изисквания на законодателството в областта на храните, за създаване на Европейски орган за безопасност на храните и за определяне на процедури относно безопасността на храните (ОВ L 31, 1.2.2002 г., стр. 1, ELI: </w:t>
      </w:r>
      <w:hyperlink r:id="rId25" w:tgtFrame="Gives%20access%20to%20this%20document%20through%20its%20ELI%20URI." w:history="1">
        <w:r w:rsidRPr="00856235">
          <w:rPr>
            <w:rStyle w:val="Hyperlink"/>
            <w:sz w:val="24"/>
            <w:lang w:val="bg-BG"/>
          </w:rPr>
          <w:t>http://data.europa.eu/eli/reg/2002/178/oj</w:t>
        </w:r>
      </w:hyperlink>
      <w:r w:rsidRPr="00856235">
        <w:rPr>
          <w:sz w:val="24"/>
          <w:lang w:val="bg-B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E79C22" w14:textId="77777777" w:rsidR="00064002" w:rsidRPr="0085623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C07EFA" w14:textId="77777777" w:rsidR="00064002" w:rsidRPr="0085623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E59498" w14:textId="77777777" w:rsidR="00064002" w:rsidRPr="0085623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45580413">
    <w:abstractNumId w:val="9"/>
  </w:num>
  <w:num w:numId="2" w16cid:durableId="1384721259">
    <w:abstractNumId w:val="9"/>
  </w:num>
  <w:num w:numId="3" w16cid:durableId="888997567">
    <w:abstractNumId w:val="7"/>
  </w:num>
  <w:num w:numId="4" w16cid:durableId="383991786">
    <w:abstractNumId w:val="7"/>
  </w:num>
  <w:num w:numId="5" w16cid:durableId="1109156136">
    <w:abstractNumId w:val="6"/>
  </w:num>
  <w:num w:numId="6" w16cid:durableId="1206214669">
    <w:abstractNumId w:val="6"/>
  </w:num>
  <w:num w:numId="7" w16cid:durableId="2128309307">
    <w:abstractNumId w:val="5"/>
  </w:num>
  <w:num w:numId="8" w16cid:durableId="353313035">
    <w:abstractNumId w:val="5"/>
  </w:num>
  <w:num w:numId="9" w16cid:durableId="416904442">
    <w:abstractNumId w:val="4"/>
  </w:num>
  <w:num w:numId="10" w16cid:durableId="1297955189">
    <w:abstractNumId w:val="4"/>
  </w:num>
  <w:num w:numId="11" w16cid:durableId="107747904">
    <w:abstractNumId w:val="8"/>
  </w:num>
  <w:num w:numId="12" w16cid:durableId="244190685">
    <w:abstractNumId w:val="8"/>
  </w:num>
  <w:num w:numId="13" w16cid:durableId="1384793201">
    <w:abstractNumId w:val="3"/>
  </w:num>
  <w:num w:numId="14" w16cid:durableId="1879781407">
    <w:abstractNumId w:val="3"/>
  </w:num>
  <w:num w:numId="15" w16cid:durableId="1252618952">
    <w:abstractNumId w:val="2"/>
  </w:num>
  <w:num w:numId="16" w16cid:durableId="526869475">
    <w:abstractNumId w:val="2"/>
  </w:num>
  <w:num w:numId="17" w16cid:durableId="791241021">
    <w:abstractNumId w:val="1"/>
  </w:num>
  <w:num w:numId="18" w16cid:durableId="1591816612">
    <w:abstractNumId w:val="1"/>
  </w:num>
  <w:num w:numId="19" w16cid:durableId="1178930483">
    <w:abstractNumId w:val="0"/>
  </w:num>
  <w:num w:numId="20" w16cid:durableId="1943293536">
    <w:abstractNumId w:val="0"/>
  </w:num>
  <w:num w:numId="21" w16cid:durableId="157384264">
    <w:abstractNumId w:val="9"/>
  </w:num>
  <w:num w:numId="22" w16cid:durableId="1954483213">
    <w:abstractNumId w:val="7"/>
  </w:num>
  <w:num w:numId="23" w16cid:durableId="15736186">
    <w:abstractNumId w:val="6"/>
  </w:num>
  <w:num w:numId="24" w16cid:durableId="93789692">
    <w:abstractNumId w:val="5"/>
  </w:num>
  <w:num w:numId="25" w16cid:durableId="973019603">
    <w:abstractNumId w:val="4"/>
  </w:num>
  <w:num w:numId="26" w16cid:durableId="346828559">
    <w:abstractNumId w:val="8"/>
  </w:num>
  <w:num w:numId="27" w16cid:durableId="1905142058">
    <w:abstractNumId w:val="3"/>
  </w:num>
  <w:num w:numId="28" w16cid:durableId="1400638645">
    <w:abstractNumId w:val="2"/>
  </w:num>
  <w:num w:numId="29" w16cid:durableId="653679753">
    <w:abstractNumId w:val="1"/>
  </w:num>
  <w:num w:numId="30" w16cid:durableId="1804888768">
    <w:abstractNumId w:val="0"/>
  </w:num>
  <w:num w:numId="31" w16cid:durableId="1664620595">
    <w:abstractNumId w:val="9"/>
  </w:num>
  <w:num w:numId="32" w16cid:durableId="1245992369">
    <w:abstractNumId w:val="7"/>
  </w:num>
  <w:num w:numId="33" w16cid:durableId="1459299658">
    <w:abstractNumId w:val="6"/>
  </w:num>
  <w:num w:numId="34" w16cid:durableId="30808837">
    <w:abstractNumId w:val="5"/>
  </w:num>
  <w:num w:numId="35" w16cid:durableId="2011057200">
    <w:abstractNumId w:val="4"/>
  </w:num>
  <w:num w:numId="36" w16cid:durableId="499735991">
    <w:abstractNumId w:val="8"/>
  </w:num>
  <w:num w:numId="37" w16cid:durableId="211767000">
    <w:abstractNumId w:val="3"/>
  </w:num>
  <w:num w:numId="38" w16cid:durableId="1662081817">
    <w:abstractNumId w:val="2"/>
  </w:num>
  <w:num w:numId="39" w16cid:durableId="1489395088">
    <w:abstractNumId w:val="1"/>
  </w:num>
  <w:num w:numId="40" w16cid:durableId="621497738">
    <w:abstractNumId w:val="0"/>
  </w:num>
  <w:num w:numId="41" w16cid:durableId="1971016445">
    <w:abstractNumId w:val="10"/>
  </w:num>
  <w:num w:numId="42" w16cid:durableId="271522515">
    <w:abstractNumId w:val="10"/>
  </w:num>
  <w:num w:numId="43" w16cid:durableId="1015767921">
    <w:abstractNumId w:val="10"/>
  </w:num>
  <w:num w:numId="44" w16cid:durableId="10163516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59/2025"/>
    <w:docVar w:name="dvlangue" w:val="BG"/>
    <w:docVar w:name="dvnumam" w:val="0"/>
    <w:docVar w:name="dvpe" w:val="779.398"/>
    <w:docVar w:name="dvtitre" w:val="Резолюция на Европейския парламент от ... 2025 г. относно проекта на решение за изпълнение на Комисията за разрешаване на пускането на пазара на храни, хранителни съставки и фуражи, произведени от генетично модифицирано захарно цвекло KWS20-1, съгласно Регламент (ЕО) № 1829/2003 на Европейския парламент и на Съвета(D110122/02 – 2025/2959(RSP))"/>
  </w:docVars>
  <w:rsids>
    <w:rsidRoot w:val="00A6324C"/>
    <w:rsid w:val="00002272"/>
    <w:rsid w:val="00064002"/>
    <w:rsid w:val="00064F88"/>
    <w:rsid w:val="000677B9"/>
    <w:rsid w:val="000831BA"/>
    <w:rsid w:val="000A42CC"/>
    <w:rsid w:val="000B6B9B"/>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D500E"/>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56235"/>
    <w:rsid w:val="00865F67"/>
    <w:rsid w:val="00881A7B"/>
    <w:rsid w:val="008840E5"/>
    <w:rsid w:val="00887B3E"/>
    <w:rsid w:val="008C2AC6"/>
    <w:rsid w:val="00930C23"/>
    <w:rsid w:val="0093193B"/>
    <w:rsid w:val="009509D8"/>
    <w:rsid w:val="00950B64"/>
    <w:rsid w:val="00981893"/>
    <w:rsid w:val="00A1687D"/>
    <w:rsid w:val="00A43E52"/>
    <w:rsid w:val="00A4678D"/>
    <w:rsid w:val="00A6324C"/>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5A4A"/>
    <w:rsid w:val="00D872DF"/>
    <w:rsid w:val="00D91E21"/>
    <w:rsid w:val="00DA7FCD"/>
    <w:rsid w:val="00E365E1"/>
    <w:rsid w:val="00E820A4"/>
    <w:rsid w:val="00EB006A"/>
    <w:rsid w:val="00EB4772"/>
    <w:rsid w:val="00ED169E"/>
    <w:rsid w:val="00ED4235"/>
    <w:rsid w:val="00F04346"/>
    <w:rsid w:val="00F075DC"/>
    <w:rsid w:val="00F149E9"/>
    <w:rsid w:val="00F2245F"/>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18F8A4"/>
  <w15:chartTrackingRefBased/>
  <w15:docId w15:val="{57EC3862-8F4A-422B-9730-15439834B3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uiPriority w:val="99"/>
    <w:rsid w:val="00064F88"/>
    <w:pPr>
      <w:spacing w:before="480" w:after="240"/>
    </w:pPr>
  </w:style>
  <w:style w:type="paragraph" w:customStyle="1" w:styleId="NormalHanging12a">
    <w:name w:val="NormalHanging12a"/>
    <w:basedOn w:val="Normal"/>
    <w:uiPriority w:val="99"/>
    <w:qFormat/>
    <w:rsid w:val="00064F88"/>
    <w:pPr>
      <w:spacing w:after="240"/>
      <w:ind w:left="567" w:hanging="567"/>
    </w:pPr>
  </w:style>
  <w:style w:type="character" w:styleId="Hyperlink">
    <w:name w:val="Hyperlink"/>
    <w:basedOn w:val="DefaultParagraphFont"/>
    <w:uiPriority w:val="99"/>
    <w:rsid w:val="00064F88"/>
    <w:rPr>
      <w:color w:val="0563C1" w:themeColor="hyperlink"/>
      <w:u w:val="single"/>
    </w:rPr>
  </w:style>
  <w:style w:type="paragraph" w:styleId="NormalWeb">
    <w:name w:val="Normal (Web)"/>
    <w:basedOn w:val="Normal"/>
    <w:uiPriority w:val="99"/>
    <w:unhideWhenUsed/>
    <w:rsid w:val="00064F88"/>
    <w:pPr>
      <w:widowControl/>
      <w:spacing w:before="100" w:beforeAutospacing="1" w:after="100" w:afterAutospacing="1"/>
    </w:pPr>
    <w:rPr>
      <w:szCs w:val="24"/>
    </w:rPr>
  </w:style>
  <w:style w:type="paragraph" w:styleId="Revision">
    <w:name w:val="Revision"/>
    <w:hidden/>
    <w:uiPriority w:val="99"/>
    <w:semiHidden/>
    <w:rsid w:val="004D500E"/>
    <w:rPr>
      <w:sz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801/oj" TargetMode="External"/><Relationship Id="rId13" Type="http://schemas.openxmlformats.org/officeDocument/2006/relationships/hyperlink" Target="http://data.europa.eu/eli/C/2025/2247/oj" TargetMode="External"/><Relationship Id="rId18" Type="http://schemas.openxmlformats.org/officeDocument/2006/relationships/hyperlink" Target="https://doi.org/10.1016/j.mrrev.2019.02.001" TargetMode="External"/><Relationship Id="rId3" Type="http://schemas.openxmlformats.org/officeDocument/2006/relationships/hyperlink" Target="https://doi.org/10.2903/j.efsa.2025.9381" TargetMode="External"/><Relationship Id="rId21" Type="http://schemas.openxmlformats.org/officeDocument/2006/relationships/hyperlink" Target="https://doi.org/10.1186/s13045-019-0767-9" TargetMode="External"/><Relationship Id="rId7" Type="http://schemas.openxmlformats.org/officeDocument/2006/relationships/hyperlink" Target="http://data.europa.eu/eli/C/2025/1800/oj" TargetMode="External"/><Relationship Id="rId12" Type="http://schemas.openxmlformats.org/officeDocument/2006/relationships/hyperlink" Target="http://data.europa.eu/eli/C/2025/2246/oj" TargetMode="External"/><Relationship Id="rId17" Type="http://schemas.openxmlformats.org/officeDocument/2006/relationships/hyperlink" Target="https://doi.org/10.1016/j.geoforum.2009.03.009" TargetMode="External"/><Relationship Id="rId25" Type="http://schemas.openxmlformats.org/officeDocument/2006/relationships/hyperlink" Target="http://data.europa.eu/eli/reg/2002/178/oj" TargetMode="External"/><Relationship Id="rId2" Type="http://schemas.openxmlformats.org/officeDocument/2006/relationships/hyperlink" Target="http://data.europa.eu/eli/reg/2011/182/oj" TargetMode="External"/><Relationship Id="rId16" Type="http://schemas.openxmlformats.org/officeDocument/2006/relationships/hyperlink" Target="https://doi.org/10.1002/ps.8105" TargetMode="External"/><Relationship Id="rId20" Type="http://schemas.openxmlformats.org/officeDocument/2006/relationships/hyperlink" Target="https://doi.org/10.1371/journal.pone.0219610" TargetMode="External"/><Relationship Id="rId1" Type="http://schemas.openxmlformats.org/officeDocument/2006/relationships/hyperlink" Target="http://data.europa.eu/eli/reg/2003/1829/oj" TargetMode="External"/><Relationship Id="rId6" Type="http://schemas.openxmlformats.org/officeDocument/2006/relationships/hyperlink" Target="http://data.europa.eu/eli/C/2025/1799/oj" TargetMode="External"/><Relationship Id="rId11" Type="http://schemas.openxmlformats.org/officeDocument/2006/relationships/hyperlink" Target="http://data.europa.eu/eli/C/2025/1804/oj" TargetMode="External"/><Relationship Id="rId24" Type="http://schemas.openxmlformats.org/officeDocument/2006/relationships/hyperlink" Target="https://commission.europa.eu/strategy-and-policy/priorities-2019-2024/european-green-deal/agriculture-and-green-deal/strategic-dialogue-future-eu-agriculture_bg" TargetMode="External"/><Relationship Id="rId5" Type="http://schemas.openxmlformats.org/officeDocument/2006/relationships/hyperlink" Target="http://data.europa.eu/eli/C/2025/1798/oj" TargetMode="External"/><Relationship Id="rId15" Type="http://schemas.openxmlformats.org/officeDocument/2006/relationships/hyperlink" Target="https://doi.org/10.1186/2190-4715-24-24" TargetMode="External"/><Relationship Id="rId23" Type="http://schemas.openxmlformats.org/officeDocument/2006/relationships/hyperlink" Target="https://ec.europa.eu/commission/presscorner/detail/bg/ip_22_7834" TargetMode="External"/><Relationship Id="rId10" Type="http://schemas.openxmlformats.org/officeDocument/2006/relationships/hyperlink" Target="http://data.europa.eu/eli/C/2025/1803/oj" TargetMode="External"/><Relationship Id="rId19" Type="http://schemas.openxmlformats.org/officeDocument/2006/relationships/hyperlink" Target="https://doi.org/10.1093/ije/dyz017" TargetMode="External"/><Relationship Id="rId4" Type="http://schemas.openxmlformats.org/officeDocument/2006/relationships/hyperlink" Target="http://data.europa.eu/eli/C/2025/1797/oj" TargetMode="External"/><Relationship Id="rId9" Type="http://schemas.openxmlformats.org/officeDocument/2006/relationships/hyperlink" Target="http://data.europa.eu/eli/C/2025/1802/oj" TargetMode="External"/><Relationship Id="rId14" Type="http://schemas.openxmlformats.org/officeDocument/2006/relationships/hyperlink" Target="https://doi.org/10.1007/s00267-015-0589-7" TargetMode="External"/><Relationship Id="rId22" Type="http://schemas.openxmlformats.org/officeDocument/2006/relationships/hyperlink" Target="http://data.europa.eu/eli/reg/2009/110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1792</Words>
  <Characters>10518</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GIRGINOV Kiril</dc:creator>
  <cp:keywords/>
  <cp:lastModifiedBy>MINKOVA Maria</cp:lastModifiedBy>
  <cp:revision>2</cp:revision>
  <cp:lastPrinted>2004-11-19T15:42:00Z</cp:lastPrinted>
  <dcterms:created xsi:type="dcterms:W3CDTF">2025-12-16T12:55:00Z</dcterms:created>
  <dcterms:modified xsi:type="dcterms:W3CDTF">2025-12-16T12:55:00Z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B10-0559/2025</vt:lpwstr>
  </property>
  <property fmtid="{D5CDD505-2E9C-101B-9397-08002B2CF9AE}" pid="4" name="&lt;Type&gt;">
    <vt:lpwstr>RR</vt:lpwstr>
  </property>
</Properties>
</file>