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23E0C" w14:paraId="493F22BB" w14:textId="77777777" w:rsidTr="0010095E">
        <w:trPr>
          <w:trHeight w:hRule="exact" w:val="1418"/>
        </w:trPr>
        <w:tc>
          <w:tcPr>
            <w:tcW w:w="6804" w:type="dxa"/>
            <w:shd w:val="clear" w:color="auto" w:fill="auto"/>
            <w:vAlign w:val="center"/>
          </w:tcPr>
          <w:p w14:paraId="5E269767" w14:textId="77777777" w:rsidR="00751A4A" w:rsidRPr="00323E0C" w:rsidRDefault="00F034E9" w:rsidP="0010095E">
            <w:pPr>
              <w:pStyle w:val="EPName"/>
            </w:pPr>
            <w:r w:rsidRPr="00323E0C">
              <w:t>Europa-Parlamentet</w:t>
            </w:r>
          </w:p>
          <w:p w14:paraId="098B2F33" w14:textId="77777777" w:rsidR="00751A4A" w:rsidRPr="00323E0C" w:rsidRDefault="005F1B17" w:rsidP="005F1B17">
            <w:pPr>
              <w:pStyle w:val="EPTerm"/>
              <w:rPr>
                <w:rStyle w:val="HideTWBExt"/>
                <w:noProof w:val="0"/>
                <w:vanish w:val="0"/>
                <w:color w:val="auto"/>
              </w:rPr>
            </w:pPr>
            <w:r w:rsidRPr="00323E0C">
              <w:t>2024</w:t>
            </w:r>
            <w:r w:rsidR="00817416" w:rsidRPr="00323E0C">
              <w:t>-202</w:t>
            </w:r>
            <w:r w:rsidRPr="00323E0C">
              <w:t>9</w:t>
            </w:r>
          </w:p>
        </w:tc>
        <w:tc>
          <w:tcPr>
            <w:tcW w:w="2268" w:type="dxa"/>
            <w:shd w:val="clear" w:color="auto" w:fill="auto"/>
          </w:tcPr>
          <w:p w14:paraId="3B9E76C4" w14:textId="77777777" w:rsidR="00751A4A" w:rsidRPr="00323E0C" w:rsidRDefault="00187494" w:rsidP="0010095E">
            <w:pPr>
              <w:pStyle w:val="EPLogo"/>
            </w:pPr>
            <w:r w:rsidRPr="00323E0C">
              <w:rPr>
                <w:noProof/>
                <w:lang w:eastAsia="ja-JP"/>
              </w:rPr>
              <w:drawing>
                <wp:inline distT="0" distB="0" distL="0" distR="0" wp14:anchorId="0C4E594D" wp14:editId="34C4989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6243E7F" w14:textId="77777777" w:rsidR="00D058B8" w:rsidRPr="00323E0C" w:rsidRDefault="00D058B8" w:rsidP="004C5D52">
      <w:pPr>
        <w:pStyle w:val="LineTop"/>
      </w:pPr>
    </w:p>
    <w:p w14:paraId="077E4A75" w14:textId="77777777" w:rsidR="00680577" w:rsidRPr="00323E0C" w:rsidRDefault="00F034E9" w:rsidP="00680577">
      <w:pPr>
        <w:pStyle w:val="EPBodyTA1"/>
      </w:pPr>
      <w:r w:rsidRPr="00323E0C">
        <w:t>VEDTAGNE TEKSTER</w:t>
      </w:r>
    </w:p>
    <w:p w14:paraId="12FB2673" w14:textId="77777777" w:rsidR="00D058B8" w:rsidRPr="00323E0C" w:rsidRDefault="00D058B8" w:rsidP="00D058B8">
      <w:pPr>
        <w:pStyle w:val="LineBottom"/>
      </w:pPr>
    </w:p>
    <w:p w14:paraId="47FEC93E" w14:textId="1A4211B1" w:rsidR="00F034E9" w:rsidRPr="00323E0C" w:rsidRDefault="00F034E9" w:rsidP="00F034E9">
      <w:pPr>
        <w:pStyle w:val="ATHeading1"/>
      </w:pPr>
      <w:bookmarkStart w:id="0" w:name="TANumber"/>
      <w:r w:rsidRPr="00323E0C">
        <w:t>P10_TA(2025)0</w:t>
      </w:r>
      <w:bookmarkEnd w:id="0"/>
      <w:r w:rsidR="00A61959">
        <w:t>328</w:t>
      </w:r>
    </w:p>
    <w:p w14:paraId="147B2399" w14:textId="6917D88D" w:rsidR="00F034E9" w:rsidRPr="00323E0C" w:rsidRDefault="00956CCA" w:rsidP="00F034E9">
      <w:pPr>
        <w:pStyle w:val="ATHeading2"/>
      </w:pPr>
      <w:r>
        <w:t>G</w:t>
      </w:r>
      <w:r w:rsidRPr="00323E0C">
        <w:t>enetisk modificeret KWS20-1-sukkerroe</w:t>
      </w:r>
    </w:p>
    <w:p w14:paraId="5311506A" w14:textId="77777777" w:rsidR="00F034E9" w:rsidRPr="00323E0C" w:rsidRDefault="00F034E9" w:rsidP="00F034E9">
      <w:pPr>
        <w:rPr>
          <w:i/>
          <w:vanish/>
        </w:rPr>
      </w:pPr>
      <w:r w:rsidRPr="00323E0C">
        <w:rPr>
          <w:i/>
        </w:rPr>
        <w:fldChar w:fldCharType="begin"/>
      </w:r>
      <w:r w:rsidRPr="00323E0C">
        <w:rPr>
          <w:i/>
        </w:rPr>
        <w:instrText xml:space="preserve"> TC"(</w:instrText>
      </w:r>
      <w:bookmarkStart w:id="1" w:name="DocNumber"/>
      <w:r w:rsidRPr="00323E0C">
        <w:rPr>
          <w:i/>
        </w:rPr>
        <w:instrText>B10-0559/2025</w:instrText>
      </w:r>
      <w:bookmarkEnd w:id="1"/>
      <w:r w:rsidRPr="00323E0C">
        <w:rPr>
          <w:i/>
        </w:rPr>
        <w:instrText xml:space="preserve">)"\l3 \n&gt; \* MERGEFORMAT </w:instrText>
      </w:r>
      <w:r w:rsidRPr="00323E0C">
        <w:rPr>
          <w:i/>
        </w:rPr>
        <w:fldChar w:fldCharType="end"/>
      </w:r>
    </w:p>
    <w:p w14:paraId="5A46D650" w14:textId="77777777" w:rsidR="00F034E9" w:rsidRPr="00323E0C" w:rsidRDefault="00F034E9" w:rsidP="00F034E9">
      <w:pPr>
        <w:rPr>
          <w:vanish/>
        </w:rPr>
      </w:pPr>
      <w:bookmarkStart w:id="2" w:name="PE"/>
      <w:r w:rsidRPr="00323E0C">
        <w:rPr>
          <w:vanish/>
        </w:rPr>
        <w:t>PE779.398</w:t>
      </w:r>
      <w:bookmarkEnd w:id="2"/>
    </w:p>
    <w:p w14:paraId="6A9892CD" w14:textId="0AAAC8B0" w:rsidR="00F034E9" w:rsidRPr="00323E0C" w:rsidRDefault="00F034E9" w:rsidP="00F034E9">
      <w:pPr>
        <w:pStyle w:val="ATHeading3"/>
      </w:pPr>
      <w:bookmarkStart w:id="3" w:name="Sujet"/>
      <w:r w:rsidRPr="00323E0C">
        <w:t xml:space="preserve">Europa-Parlamentets beslutning af </w:t>
      </w:r>
      <w:r w:rsidR="00956CCA">
        <w:t>16</w:t>
      </w:r>
      <w:r w:rsidRPr="00323E0C">
        <w:t>.</w:t>
      </w:r>
      <w:r w:rsidR="00FD25D4">
        <w:t xml:space="preserve"> december</w:t>
      </w:r>
      <w:r w:rsidRPr="00323E0C">
        <w:t xml:space="preserve"> 2025 om udkast til Kommissionens gennemførelsesafgørelse om tilladelse til markedsføring af fødevarer, fødevareingredienser og foderstoffer, der er fremstillet af genetisk modificeret KWS20-1-sukkerroe, i henhold til Europa-Parlamentets og Rådets forordning (EF) nr. 1829/2003</w:t>
      </w:r>
      <w:bookmarkEnd w:id="3"/>
      <w:r w:rsidRPr="00323E0C">
        <w:t xml:space="preserve"> </w:t>
      </w:r>
      <w:bookmarkStart w:id="4" w:name="References"/>
      <w:r w:rsidRPr="00323E0C">
        <w:t>(D110122/02 – 2025/2959(RSP))</w:t>
      </w:r>
      <w:bookmarkEnd w:id="4"/>
    </w:p>
    <w:p w14:paraId="518695E9" w14:textId="77777777" w:rsidR="004132B2" w:rsidRPr="00323E0C" w:rsidRDefault="004132B2" w:rsidP="004132B2">
      <w:pPr>
        <w:pStyle w:val="EPComma"/>
      </w:pPr>
      <w:bookmarkStart w:id="5" w:name="TextBodyBegin"/>
      <w:bookmarkEnd w:id="5"/>
      <w:r w:rsidRPr="00323E0C">
        <w:rPr>
          <w:i/>
          <w:iCs/>
        </w:rPr>
        <w:t>Europa-Parlamentet</w:t>
      </w:r>
      <w:r w:rsidRPr="00323E0C">
        <w:t>,</w:t>
      </w:r>
    </w:p>
    <w:p w14:paraId="3331F5E5" w14:textId="77777777" w:rsidR="004132B2" w:rsidRPr="00323E0C" w:rsidRDefault="004132B2" w:rsidP="004132B2">
      <w:pPr>
        <w:pStyle w:val="NormalHanging12a"/>
      </w:pPr>
      <w:r w:rsidRPr="00323E0C">
        <w:t>–</w:t>
      </w:r>
      <w:r w:rsidRPr="00323E0C">
        <w:tab/>
        <w:t>der henviser til udkast til Kommissionens gennemførelsesafgørelse om tilladelse til markedsføring af fødevarer, fødevareingredienser og foderstoffer, der er fremstillet af genetisk modificeret KWS20-1-sukkerroe, i henhold til Europa-Parlamentets og Rådets forordning (EF) nr. 1829/2003 (D110122/02),</w:t>
      </w:r>
    </w:p>
    <w:p w14:paraId="1EB31B66" w14:textId="77777777" w:rsidR="004132B2" w:rsidRPr="00323E0C" w:rsidRDefault="004132B2" w:rsidP="004132B2">
      <w:pPr>
        <w:pStyle w:val="NormalHanging12a"/>
      </w:pPr>
      <w:r w:rsidRPr="00323E0C">
        <w:t>–</w:t>
      </w:r>
      <w:r w:rsidRPr="00323E0C">
        <w:tab/>
        <w:t>der henviser til Europa-Parlamentets og Rådets forordning (EF) nr. 1829/2003 af 22. september 2003 om genetisk modificerede fødevarer og foderstoffer</w:t>
      </w:r>
      <w:r w:rsidRPr="00323E0C">
        <w:rPr>
          <w:vertAlign w:val="superscript"/>
        </w:rPr>
        <w:footnoteReference w:id="1"/>
      </w:r>
      <w:r w:rsidRPr="00323E0C">
        <w:t>, særlig artikel 7, stk. 3, og artikel 19, stk. 3,</w:t>
      </w:r>
    </w:p>
    <w:p w14:paraId="582EDD4A" w14:textId="20ECF41F" w:rsidR="004132B2" w:rsidRPr="00323E0C" w:rsidRDefault="004132B2" w:rsidP="004132B2">
      <w:pPr>
        <w:pStyle w:val="NormalHanging12a"/>
      </w:pPr>
      <w:r w:rsidRPr="00323E0C">
        <w:t>–</w:t>
      </w:r>
      <w:r w:rsidRPr="00323E0C">
        <w:tab/>
        <w:t>der henviser til afstemningen i Den Stående Komité for Planter, Dyr, Fødevarer og Foder, jf. artikel 35 i forordning (EF) nr. 1829/2003, den 14. oktober 2025, som ikke resulterede i en udtalelse,</w:t>
      </w:r>
      <w:r w:rsidR="00956CCA">
        <w:t xml:space="preserve"> </w:t>
      </w:r>
      <w:r w:rsidR="00956CCA" w:rsidRPr="00956CCA">
        <w:t>og afstemningen i appeludvalget den 28. november 2025, hvor der heller ikke blev afgivet nogen udtalelse,</w:t>
      </w:r>
    </w:p>
    <w:p w14:paraId="18EC336E" w14:textId="77777777" w:rsidR="004132B2" w:rsidRPr="00323E0C" w:rsidRDefault="004132B2" w:rsidP="004132B2">
      <w:pPr>
        <w:pStyle w:val="NormalHanging12a"/>
        <w:widowControl/>
      </w:pPr>
      <w:r w:rsidRPr="00323E0C">
        <w:t>–</w:t>
      </w:r>
      <w:r w:rsidRPr="00323E0C">
        <w:tab/>
        <w:t>der henviser til artikel 11 i Europa-Parlamentets og Rådets forordning (EU) nr. 182/2011 af 16. februar 2011 om de generelle regler og principper for, hvordan medlemsstaterne skal kontrollere Kommissionens udøvelse af gennemførelsesbeføjelser</w:t>
      </w:r>
      <w:r w:rsidRPr="00323E0C">
        <w:rPr>
          <w:rStyle w:val="FootnoteReference"/>
          <w:szCs w:val="24"/>
        </w:rPr>
        <w:footnoteReference w:id="2"/>
      </w:r>
      <w:r w:rsidRPr="00323E0C">
        <w:t>,</w:t>
      </w:r>
    </w:p>
    <w:p w14:paraId="387DCABE" w14:textId="77777777" w:rsidR="004132B2" w:rsidRPr="00323E0C" w:rsidRDefault="004132B2" w:rsidP="004132B2">
      <w:pPr>
        <w:pStyle w:val="NormalHanging12a"/>
      </w:pPr>
      <w:r w:rsidRPr="00323E0C">
        <w:t>–</w:t>
      </w:r>
      <w:r w:rsidRPr="00323E0C">
        <w:tab/>
        <w:t>der henviser til den udtalelse, der blev vedtaget af Den Europæiske Fødevaresikkerhedsautoritet (EFSA) den 26. marts 2025 og offentliggjort den 12. maj 2025</w:t>
      </w:r>
      <w:r w:rsidRPr="00323E0C">
        <w:rPr>
          <w:rStyle w:val="FootnoteReference"/>
        </w:rPr>
        <w:footnoteReference w:id="3"/>
      </w:r>
      <w:r w:rsidRPr="00323E0C">
        <w:t>,</w:t>
      </w:r>
    </w:p>
    <w:p w14:paraId="4CD7B550" w14:textId="77777777" w:rsidR="004132B2" w:rsidRPr="00323E0C" w:rsidRDefault="004132B2" w:rsidP="004132B2">
      <w:pPr>
        <w:pStyle w:val="NormalHanging12a"/>
      </w:pPr>
      <w:r w:rsidRPr="00323E0C">
        <w:lastRenderedPageBreak/>
        <w:t>–</w:t>
      </w:r>
      <w:r w:rsidRPr="00323E0C">
        <w:tab/>
        <w:t>der henviser til sine tidligere beslutninger, hvori der gøres indsigelse mod godkendelsen af genetisk modificerede organismer (GMO'er)</w:t>
      </w:r>
      <w:r w:rsidRPr="00323E0C">
        <w:rPr>
          <w:rStyle w:val="FootnoteReference"/>
        </w:rPr>
        <w:footnoteReference w:id="4"/>
      </w:r>
      <w:r w:rsidRPr="00323E0C">
        <w:t>,</w:t>
      </w:r>
    </w:p>
    <w:p w14:paraId="0A53932F" w14:textId="77777777" w:rsidR="004132B2" w:rsidRPr="00323E0C" w:rsidRDefault="004132B2" w:rsidP="004132B2">
      <w:pPr>
        <w:pStyle w:val="NormalHanging12a"/>
      </w:pPr>
      <w:r w:rsidRPr="00323E0C">
        <w:lastRenderedPageBreak/>
        <w:t>–</w:t>
      </w:r>
      <w:r w:rsidRPr="00323E0C">
        <w:tab/>
        <w:t>der henviser til forretningsordenens artikel 115, stk. 2 og 3,</w:t>
      </w:r>
    </w:p>
    <w:p w14:paraId="434232BD" w14:textId="77777777" w:rsidR="004132B2" w:rsidRPr="00323E0C" w:rsidRDefault="004132B2" w:rsidP="004132B2">
      <w:pPr>
        <w:pStyle w:val="NormalHanging12a"/>
      </w:pPr>
      <w:r w:rsidRPr="00323E0C">
        <w:t>–</w:t>
      </w:r>
      <w:r w:rsidRPr="00323E0C">
        <w:tab/>
        <w:t>der henviser til forslag til beslutning fra Udvalget om Miljø, Klima og Fødevaresikkerhed,</w:t>
      </w:r>
    </w:p>
    <w:p w14:paraId="5DA14D22" w14:textId="77777777" w:rsidR="004132B2" w:rsidRPr="00323E0C" w:rsidRDefault="004132B2" w:rsidP="004132B2">
      <w:pPr>
        <w:pStyle w:val="NormalHanging12a"/>
      </w:pPr>
      <w:r w:rsidRPr="00323E0C">
        <w:t>A.</w:t>
      </w:r>
      <w:r w:rsidRPr="00323E0C">
        <w:tab/>
        <w:t xml:space="preserve">der henviser til, at Bayer </w:t>
      </w:r>
      <w:proofErr w:type="spellStart"/>
      <w:r w:rsidRPr="00323E0C">
        <w:t>Agriculture</w:t>
      </w:r>
      <w:proofErr w:type="spellEnd"/>
      <w:r w:rsidRPr="00323E0C">
        <w:t xml:space="preserve"> BV, med hjemsted i Belgien, på vegne af Bayer </w:t>
      </w:r>
      <w:proofErr w:type="spellStart"/>
      <w:r w:rsidRPr="00323E0C">
        <w:t>CropScience</w:t>
      </w:r>
      <w:proofErr w:type="spellEnd"/>
      <w:r w:rsidRPr="00323E0C">
        <w:t xml:space="preserve"> LP, med hjemsted i USA, og KWS SAAT SE &amp; Co. </w:t>
      </w:r>
      <w:proofErr w:type="spellStart"/>
      <w:r w:rsidRPr="00323E0C">
        <w:t>KGaA</w:t>
      </w:r>
      <w:proofErr w:type="spellEnd"/>
      <w:r w:rsidRPr="00323E0C">
        <w:t xml:space="preserve">, med hjemsted i Tyskland, den 30. maj 2023 indgav en ansøgning til den nederlandske kompetente </w:t>
      </w:r>
      <w:r w:rsidRPr="00323E0C">
        <w:lastRenderedPageBreak/>
        <w:t>myndighed om tilladelse til markedsføring af fødevarer, fødevareingredienser og foderstoffer, der indeholder, består af eller er fremstillet af genetisk modificeret KWS20-1-sukkerroe ("genmodificeret sukkerroe") i henhold til artikel 5 og 17 i forordning (EF) nr. 1829/2003;</w:t>
      </w:r>
    </w:p>
    <w:p w14:paraId="1018EE57" w14:textId="77777777" w:rsidR="004132B2" w:rsidRPr="00323E0C" w:rsidRDefault="004132B2" w:rsidP="004132B2">
      <w:pPr>
        <w:pStyle w:val="NormalHanging12a"/>
      </w:pPr>
      <w:r w:rsidRPr="00323E0C">
        <w:t>B.</w:t>
      </w:r>
      <w:r w:rsidRPr="00323E0C">
        <w:tab/>
        <w:t>der henviser til, at EFSA den 12. maj 2025 afgav en positiv udtalelse, hvori den konkluderede, at den genmodificerede sukkerroe er lige så sikker som sit konventionelle modstykke; der henviser til, at denne udtalelse ikke behandlede en række bredere miljømæssige, socioøkonomiske og kumulative virkninger, som EFSA anser for ikke at henhøre under dens ressort;</w:t>
      </w:r>
    </w:p>
    <w:p w14:paraId="277C430B" w14:textId="77777777" w:rsidR="004132B2" w:rsidRPr="00323E0C" w:rsidRDefault="004132B2" w:rsidP="004132B2">
      <w:pPr>
        <w:pStyle w:val="NormalHanging12a"/>
      </w:pPr>
      <w:r w:rsidRPr="00323E0C">
        <w:t>C.</w:t>
      </w:r>
      <w:r w:rsidRPr="00323E0C">
        <w:tab/>
        <w:t xml:space="preserve">der henviser til, at den genmodificerede sukkerroe blev udviklet til at være tolerant over for plantegifte baseret på </w:t>
      </w:r>
      <w:proofErr w:type="spellStart"/>
      <w:r w:rsidRPr="00323E0C">
        <w:t>glyphosat</w:t>
      </w:r>
      <w:proofErr w:type="spellEnd"/>
      <w:r w:rsidRPr="00323E0C">
        <w:t xml:space="preserve">, </w:t>
      </w:r>
      <w:proofErr w:type="spellStart"/>
      <w:r w:rsidRPr="00323E0C">
        <w:t>dicamba</w:t>
      </w:r>
      <w:proofErr w:type="spellEnd"/>
      <w:r w:rsidRPr="00323E0C">
        <w:t xml:space="preserve"> og </w:t>
      </w:r>
      <w:proofErr w:type="spellStart"/>
      <w:r w:rsidRPr="00323E0C">
        <w:t>ammoniumglufosinat</w:t>
      </w:r>
      <w:proofErr w:type="spellEnd"/>
      <w:r w:rsidRPr="00323E0C">
        <w:t>;</w:t>
      </w:r>
    </w:p>
    <w:p w14:paraId="6524C2C1" w14:textId="77777777" w:rsidR="004132B2" w:rsidRPr="00323E0C" w:rsidRDefault="004132B2" w:rsidP="004132B2">
      <w:pPr>
        <w:pStyle w:val="NormalHanging12a"/>
      </w:pPr>
      <w:r w:rsidRPr="00323E0C">
        <w:t>D.</w:t>
      </w:r>
      <w:r w:rsidRPr="00323E0C">
        <w:tab/>
        <w:t xml:space="preserve">der henviser til, at </w:t>
      </w:r>
      <w:proofErr w:type="spellStart"/>
      <w:r w:rsidRPr="00323E0C">
        <w:t>EFSA's</w:t>
      </w:r>
      <w:proofErr w:type="spellEnd"/>
      <w:r w:rsidRPr="00323E0C">
        <w:t xml:space="preserve"> risikovurdering ikke omfattede langsigtede toksikologiske undersøgelser eller detaljerede analyser af kumulative og kombinatoriske virkninger, herunder potentielle interaktioner med restkoncentrationer af pesticider, der almindeligvis anvendes til sukkerroedyrkning; </w:t>
      </w:r>
    </w:p>
    <w:p w14:paraId="4E504413" w14:textId="77777777" w:rsidR="004132B2" w:rsidRPr="00323E0C" w:rsidRDefault="004132B2" w:rsidP="004132B2">
      <w:pPr>
        <w:pStyle w:val="NormalHanging12a"/>
        <w:rPr>
          <w:color w:val="000000" w:themeColor="text1"/>
          <w:szCs w:val="24"/>
        </w:rPr>
      </w:pPr>
      <w:r w:rsidRPr="00323E0C">
        <w:rPr>
          <w:color w:val="000000" w:themeColor="text1"/>
        </w:rPr>
        <w:t>E.</w:t>
      </w:r>
      <w:r w:rsidRPr="00323E0C">
        <w:rPr>
          <w:color w:val="000000" w:themeColor="text1"/>
        </w:rPr>
        <w:tab/>
      </w:r>
      <w:r w:rsidRPr="00323E0C">
        <w:t xml:space="preserve">der henviser til, at langt de fleste GMO-afgrøder, herunder sukkerroen, er blevet genetisk modificeret, således at de er tolerante over for ét eller flere "komplementære" plantegifte, der kan anvendes i GM-afgrødens dyrkningsforløb, uden at afgrøden dør, sådan som det ville være tilfældet med en afgrøde, der ikke er tolerant over for plantegift; </w:t>
      </w:r>
      <w:r w:rsidRPr="00323E0C">
        <w:rPr>
          <w:color w:val="000000" w:themeColor="text1"/>
        </w:rPr>
        <w:t>der henviser til, at en række undersøgelser viser, at herbicidtolerante GM-afgrøder fører til en øget anvendelse af komplementære herbicider, hvilket i stort omfang skyldes fremkomsten af herbicidtolerant ukrudt</w:t>
      </w:r>
      <w:r w:rsidRPr="00323E0C">
        <w:rPr>
          <w:rStyle w:val="FootnoteReference"/>
          <w:color w:val="000000" w:themeColor="text1"/>
          <w:szCs w:val="24"/>
        </w:rPr>
        <w:footnoteReference w:id="5"/>
      </w:r>
      <w:r w:rsidRPr="00323E0C">
        <w:rPr>
          <w:color w:val="000000" w:themeColor="text1"/>
        </w:rPr>
        <w:t>;</w:t>
      </w:r>
    </w:p>
    <w:p w14:paraId="78505E32" w14:textId="77777777" w:rsidR="004132B2" w:rsidRPr="00323E0C" w:rsidRDefault="004132B2" w:rsidP="004132B2">
      <w:pPr>
        <w:spacing w:after="240"/>
        <w:ind w:left="567" w:hanging="567"/>
        <w:rPr>
          <w:szCs w:val="24"/>
        </w:rPr>
      </w:pPr>
      <w:r w:rsidRPr="00323E0C">
        <w:t>F.</w:t>
      </w:r>
      <w:r w:rsidRPr="00323E0C">
        <w:tab/>
        <w:t>der henviser til, at herbicidtolerante GM-afgrøder fastlåser landbrugerne i et ukrudtsforvaltningssystem, der fuldstændigt eller i vid udstrækning eller er afhængigt af herbicider, og gør det ved at opkræve et pristillæg for GM-frø, hvad der kun kan retfærdiggøres, hvis de landbrugere, der køber sådanne frø, også sprøjter med de komplementære herbicider;</w:t>
      </w:r>
      <w:r w:rsidRPr="00323E0C">
        <w:rPr>
          <w:color w:val="000000" w:themeColor="text1"/>
        </w:rPr>
        <w:t xml:space="preserve"> der henviser til, at øget afhængighed af komplementære plantegifte på bedrifter, der dyrker GM-afgrøder, vil fremskynde fremkomsten og spredningen af ukrudt, der er resistent mod disse plantegifte, og dermed skabe behov for at tage endnu flere gifte i brug, hvilket skaber en ond cirkel, undertiden kaldet "plantegifttrædemøllen"; der henviser til, at de negative virkninger af overdreven afhængighed af plantegifte derfor vil forværre jordbundens sundhed, vandkvaliteten og biodiversiteten både over og under jorden og føre til øget eksponering af mennesker og dyr, potentielt også via flere plantegiftrester rester i fødevarer og foder</w:t>
      </w:r>
      <w:r w:rsidRPr="00323E0C">
        <w:rPr>
          <w:rStyle w:val="FootnoteReference"/>
          <w:color w:val="000000" w:themeColor="text1"/>
          <w:szCs w:val="24"/>
        </w:rPr>
        <w:footnoteReference w:id="6"/>
      </w:r>
      <w:r w:rsidRPr="00323E0C">
        <w:rPr>
          <w:color w:val="000000" w:themeColor="text1"/>
        </w:rPr>
        <w:t>;</w:t>
      </w:r>
    </w:p>
    <w:p w14:paraId="3E3AA770" w14:textId="77777777" w:rsidR="004132B2" w:rsidRPr="00323E0C" w:rsidRDefault="004132B2" w:rsidP="004132B2">
      <w:pPr>
        <w:pStyle w:val="NormalHanging12a"/>
      </w:pPr>
      <w:r w:rsidRPr="00323E0C">
        <w:t>G.</w:t>
      </w:r>
      <w:r w:rsidRPr="00323E0C">
        <w:tab/>
        <w:t xml:space="preserve">der henviser til, at der stadigvæk består alvorlige ubesvarede spørgsmål med hensyn til </w:t>
      </w:r>
      <w:proofErr w:type="spellStart"/>
      <w:r w:rsidRPr="00323E0C">
        <w:t>glyphosats</w:t>
      </w:r>
      <w:proofErr w:type="spellEnd"/>
      <w:r w:rsidRPr="00323E0C">
        <w:t xml:space="preserve"> kræftfremkaldende virkning; der henviser til, at EFSA i november 2015 konkluderede, at </w:t>
      </w:r>
      <w:proofErr w:type="spellStart"/>
      <w:r w:rsidRPr="00323E0C">
        <w:t>glyphosat</w:t>
      </w:r>
      <w:proofErr w:type="spellEnd"/>
      <w:r w:rsidRPr="00323E0C">
        <w:t xml:space="preserve"> sandsynligvis ikke var kræftfremkaldende, og at Det </w:t>
      </w:r>
      <w:r w:rsidRPr="00323E0C">
        <w:lastRenderedPageBreak/>
        <w:t xml:space="preserve">Europæiske Kemikalieagentur i marts 2017 konkluderede, at der ikke var behov for en klassificering; der henviser til, at Det Internationale Kræftforskningscenter, som er Verdenssundhedsorganisationens specialiserede kræftagentur, i modsætning hertil i 2015 klassificerede </w:t>
      </w:r>
      <w:proofErr w:type="spellStart"/>
      <w:r w:rsidRPr="00323E0C">
        <w:t>glyphosat</w:t>
      </w:r>
      <w:proofErr w:type="spellEnd"/>
      <w:r w:rsidRPr="00323E0C">
        <w:t xml:space="preserve"> som sandsynligvis kræftfremkaldende hos mennesker; der henviser til, at en række nyere fagfællebedømte videnskabelige undersøgelser bekræfter, at </w:t>
      </w:r>
      <w:proofErr w:type="spellStart"/>
      <w:r w:rsidRPr="00323E0C">
        <w:t>glyphosat</w:t>
      </w:r>
      <w:proofErr w:type="spellEnd"/>
      <w:r w:rsidRPr="00323E0C">
        <w:t xml:space="preserve"> kan have kræftfremkaldende virkning</w:t>
      </w:r>
      <w:r w:rsidRPr="00323E0C">
        <w:rPr>
          <w:rStyle w:val="FootnoteReference"/>
        </w:rPr>
        <w:footnoteReference w:id="7"/>
      </w:r>
      <w:r w:rsidRPr="00323E0C">
        <w:t>;</w:t>
      </w:r>
    </w:p>
    <w:p w14:paraId="6B365684" w14:textId="77777777" w:rsidR="004132B2" w:rsidRPr="00323E0C" w:rsidRDefault="004132B2" w:rsidP="004132B2">
      <w:pPr>
        <w:pStyle w:val="NormalHanging12a"/>
        <w:rPr>
          <w:szCs w:val="24"/>
        </w:rPr>
      </w:pPr>
      <w:r w:rsidRPr="00323E0C">
        <w:t>H.</w:t>
      </w:r>
      <w:r w:rsidRPr="00323E0C">
        <w:tab/>
        <w:t xml:space="preserve">der henviser til, at </w:t>
      </w:r>
      <w:proofErr w:type="spellStart"/>
      <w:r w:rsidRPr="00323E0C">
        <w:t>dicamba</w:t>
      </w:r>
      <w:proofErr w:type="spellEnd"/>
      <w:r w:rsidRPr="00323E0C">
        <w:t xml:space="preserve"> er et meget flygtigt stof, hvilket betyder, at det efter påføring er tilbøjeligt til at fordampe og optages i luften, hvor det så føres med vinden, indtil det føres tilbage mod jordoverfladen, hvor så mennesker, dyr og planter uden for målgruppen, vinstokke, træer og buske udsættes for potentielle og alvorlige skader, navnlig når eksponeringen finder sted over flere år; </w:t>
      </w:r>
      <w:r w:rsidRPr="00323E0C">
        <w:rPr>
          <w:shd w:val="clear" w:color="auto" w:fill="FFFFFF"/>
        </w:rPr>
        <w:t xml:space="preserve">der henviser til, at </w:t>
      </w:r>
      <w:proofErr w:type="spellStart"/>
      <w:r w:rsidRPr="00323E0C">
        <w:rPr>
          <w:shd w:val="clear" w:color="auto" w:fill="FFFFFF"/>
        </w:rPr>
        <w:t>dicamba</w:t>
      </w:r>
      <w:proofErr w:type="spellEnd"/>
      <w:r w:rsidRPr="00323E0C">
        <w:rPr>
          <w:shd w:val="clear" w:color="auto" w:fill="FFFFFF"/>
        </w:rPr>
        <w:t xml:space="preserve">-spredning og dets skader på nærliggende afgrøder, træer og vinstokke er blevet et yderst kontroversielt problem, hvor nogle landbrugere og andre landbrugere og beboere i landdistrikter står i skarp opposition til hinanden, og har resulteret i omfattende retssager om tabte afgrøder og genbeplantningsomkostninger; </w:t>
      </w:r>
    </w:p>
    <w:p w14:paraId="1EA1F633" w14:textId="77777777" w:rsidR="004132B2" w:rsidRPr="00323E0C" w:rsidRDefault="004132B2" w:rsidP="004132B2">
      <w:pPr>
        <w:pStyle w:val="NormalWeb"/>
        <w:widowControl w:val="0"/>
        <w:spacing w:before="0" w:beforeAutospacing="0" w:after="240" w:afterAutospacing="0"/>
        <w:ind w:left="567" w:hanging="567"/>
      </w:pPr>
      <w:r w:rsidRPr="00323E0C">
        <w:t>I.</w:t>
      </w:r>
      <w:r w:rsidRPr="00323E0C">
        <w:tab/>
        <w:t xml:space="preserve">der henviser til, at </w:t>
      </w:r>
      <w:proofErr w:type="spellStart"/>
      <w:r w:rsidRPr="00323E0C">
        <w:t>glufosinat</w:t>
      </w:r>
      <w:proofErr w:type="spellEnd"/>
      <w:r w:rsidRPr="00323E0C">
        <w:t xml:space="preserve"> er klassificeret som reproduktionstoksisk i kategori 1B og dermed opfylder tærskelkriterierne i Europa-Parlamentets og Rådets forordning (EF) nr. 1107/2009</w:t>
      </w:r>
      <w:r w:rsidRPr="00323E0C">
        <w:rPr>
          <w:rStyle w:val="FootnoteReference"/>
        </w:rPr>
        <w:footnoteReference w:id="8"/>
      </w:r>
      <w:r w:rsidRPr="00323E0C">
        <w:t xml:space="preserve">; der henviser til, at godkendelsen af </w:t>
      </w:r>
      <w:proofErr w:type="spellStart"/>
      <w:r w:rsidRPr="00323E0C">
        <w:t>glufosinat</w:t>
      </w:r>
      <w:proofErr w:type="spellEnd"/>
      <w:r w:rsidRPr="00323E0C">
        <w:t xml:space="preserve"> til anvendelse i Unionen udløb den 31. juli 2018;</w:t>
      </w:r>
    </w:p>
    <w:p w14:paraId="466EB9E6" w14:textId="77777777" w:rsidR="004132B2" w:rsidRPr="00323E0C" w:rsidRDefault="004132B2" w:rsidP="004132B2">
      <w:pPr>
        <w:spacing w:after="240"/>
        <w:ind w:left="567" w:hanging="567"/>
      </w:pPr>
      <w:r w:rsidRPr="00323E0C">
        <w:t>J.</w:t>
      </w:r>
      <w:r w:rsidRPr="00323E0C">
        <w:tab/>
        <w:t>der henviser til, at de feltforsøg, der fremlægges til støtte for ansøgningen, blev gennemført under begrænsede geografiske og klimatiske forhold, og kun i USA, hvad der ikke afspejler den fulde mangfoldighed af sukkerroedyrkende regioner, herunder regioner der er stærkt påvirket af belastninger knyttet til klimaforandringer;</w:t>
      </w:r>
    </w:p>
    <w:p w14:paraId="20DE8F50" w14:textId="77777777" w:rsidR="004132B2" w:rsidRPr="00323E0C" w:rsidRDefault="004132B2" w:rsidP="004132B2">
      <w:pPr>
        <w:pStyle w:val="NormalHanging12a"/>
      </w:pPr>
      <w:r w:rsidRPr="00323E0C">
        <w:t xml:space="preserve">K. </w:t>
      </w:r>
      <w:r w:rsidRPr="00323E0C">
        <w:tab/>
        <w:t xml:space="preserve">der henviser til, at uafhængig overvågning og kontrol af potentielle negative virkninger på biodiversiteten, jordbundens sundhed, </w:t>
      </w:r>
      <w:proofErr w:type="spellStart"/>
      <w:r w:rsidRPr="00323E0C">
        <w:t>bestøvere</w:t>
      </w:r>
      <w:proofErr w:type="spellEnd"/>
      <w:r w:rsidRPr="00323E0C">
        <w:t xml:space="preserve"> og organismer uden for målgruppen fortsat ikke er tilstrækkeligt garanteret;</w:t>
      </w:r>
    </w:p>
    <w:p w14:paraId="152CB2FA" w14:textId="77777777" w:rsidR="004132B2" w:rsidRPr="00323E0C" w:rsidRDefault="004132B2" w:rsidP="004132B2">
      <w:pPr>
        <w:spacing w:after="240"/>
        <w:ind w:left="567" w:hanging="567"/>
      </w:pPr>
      <w:r w:rsidRPr="00323E0C">
        <w:t>L.</w:t>
      </w:r>
      <w:r w:rsidRPr="00323E0C">
        <w:tab/>
        <w:t>der henviser til, at forsigtighedsprincippet i artikel 191 i traktaten om Den Europæiske Unions funktionsmåde, bør finde anvendelse i tilfælde, hvor der hersker videnskabelig usikkerhed;</w:t>
      </w:r>
    </w:p>
    <w:p w14:paraId="6EDADC29" w14:textId="77777777" w:rsidR="004132B2" w:rsidRPr="00323E0C" w:rsidRDefault="004132B2" w:rsidP="004132B2">
      <w:pPr>
        <w:spacing w:after="240"/>
        <w:ind w:left="567" w:hanging="567"/>
      </w:pPr>
      <w:r w:rsidRPr="00323E0C">
        <w:t>M.</w:t>
      </w:r>
      <w:r w:rsidRPr="00323E0C">
        <w:tab/>
        <w:t>der henviser til, at forordning (EF) nr. 1829/2003 kræver, at genetisk modificerede fødevarer og foderstoffer ikke må have negative virkninger for menneskers eller dyrs sundhed eller for miljøet;</w:t>
      </w:r>
    </w:p>
    <w:p w14:paraId="5D3D0BB3" w14:textId="77777777" w:rsidR="004132B2" w:rsidRPr="00323E0C" w:rsidRDefault="004132B2" w:rsidP="004132B2">
      <w:pPr>
        <w:pStyle w:val="NormalWeb"/>
        <w:widowControl w:val="0"/>
        <w:spacing w:before="0" w:beforeAutospacing="0" w:after="240" w:afterAutospacing="0"/>
        <w:ind w:left="567" w:hanging="567"/>
      </w:pPr>
      <w:r w:rsidRPr="00323E0C">
        <w:t>N.</w:t>
      </w:r>
      <w:r w:rsidRPr="00323E0C">
        <w:tab/>
        <w:t xml:space="preserve">der henviser til, at hvis Unionen godkender den genmodificerede sukkerroe, vil dette være i uoverensstemmelse med de internationale forpligtelser vedrørende reduktion af </w:t>
      </w:r>
      <w:r w:rsidRPr="00323E0C">
        <w:lastRenderedPageBreak/>
        <w:t>pesticider</w:t>
      </w:r>
      <w:r w:rsidRPr="00323E0C">
        <w:rPr>
          <w:vertAlign w:val="superscript"/>
        </w:rPr>
        <w:footnoteReference w:id="9"/>
      </w:r>
      <w:r w:rsidRPr="00323E0C">
        <w:t>, i betragtning af menneskers og miljøets øgede eksponering for herbicider i lande, der dyrker herbicidtolerante GM-afgrøder, samt de potentielt alvorlige følger for sundheden, der er forbundet hermed;</w:t>
      </w:r>
    </w:p>
    <w:p w14:paraId="09F6C725" w14:textId="77777777" w:rsidR="004132B2" w:rsidRPr="00323E0C" w:rsidRDefault="004132B2" w:rsidP="004132B2">
      <w:pPr>
        <w:spacing w:after="240"/>
        <w:ind w:left="567" w:hanging="567"/>
      </w:pPr>
      <w:r w:rsidRPr="00323E0C">
        <w:t>O.</w:t>
      </w:r>
      <w:r w:rsidRPr="00323E0C">
        <w:tab/>
        <w:t>der henviser til, at hvis udkastet til Kommissionens gennemførelsesafgørelse gennemføres, vil det blive muligt at indføre varer til Unionen, der ikke lever op til de standarder, som Unionens landbrugere skal overholde, således at de bliver konkurrencemæssigt ringere stillede;</w:t>
      </w:r>
    </w:p>
    <w:p w14:paraId="5B42863F" w14:textId="77777777" w:rsidR="004132B2" w:rsidRPr="00323E0C" w:rsidRDefault="004132B2" w:rsidP="004132B2">
      <w:pPr>
        <w:spacing w:after="240"/>
        <w:ind w:left="567" w:hanging="567"/>
      </w:pPr>
      <w:r w:rsidRPr="00323E0C">
        <w:t>P.</w:t>
      </w:r>
      <w:r w:rsidRPr="00323E0C">
        <w:tab/>
        <w:t>der henviser til, at konklusionerne fra den strategiske dialog om fremtiden for EU's landbrug</w:t>
      </w:r>
      <w:r w:rsidRPr="00323E0C">
        <w:rPr>
          <w:rStyle w:val="FootnoteReference"/>
        </w:rPr>
        <w:footnoteReference w:id="10"/>
      </w:r>
      <w:r w:rsidRPr="00323E0C">
        <w:t xml:space="preserve"> opfordrer Kommissionen til at revurdere sin tilgang til markedsadgang for landbrugsfødevarer, der importeres og eksporteres, i betragtning af udfordringen med forskellige standarder i Unionen og hos dens handelspartnere; der henviser til, at mere retfærdige handelsforbindelser på globalt plan, som er i overensstemmelse med målene for et sundt miljø, var et af landbrugernes vigtigste krav under demonstrationerne i 2023 og 2024;</w:t>
      </w:r>
    </w:p>
    <w:p w14:paraId="2224F462" w14:textId="77777777" w:rsidR="004132B2" w:rsidRPr="00323E0C" w:rsidRDefault="004132B2" w:rsidP="004132B2">
      <w:pPr>
        <w:spacing w:after="240"/>
        <w:ind w:left="567" w:hanging="567"/>
      </w:pPr>
      <w:r w:rsidRPr="00323E0C">
        <w:t>Q.</w:t>
      </w:r>
      <w:r w:rsidRPr="00323E0C">
        <w:tab/>
        <w:t>der henviser til, at Parlamentet gentagne gange har understreget, at Kommissionen ikke bør godkende GMO'er i de tilfælde, hvor der ikke er opnået kvalificeret flertal blandt medlemsstaterne i Den Stående Komité for Planter, Dyr, Fødevarer og Foder eller i appeludvalget, med henblik på at afhjælpe det vedvarende demokratiske underskud;</w:t>
      </w:r>
    </w:p>
    <w:p w14:paraId="7EC010BD" w14:textId="77777777" w:rsidR="004132B2" w:rsidRPr="00323E0C" w:rsidRDefault="004132B2" w:rsidP="004132B2">
      <w:pPr>
        <w:pStyle w:val="NormalWeb"/>
        <w:widowControl w:val="0"/>
        <w:shd w:val="clear" w:color="auto" w:fill="FFFFFF"/>
        <w:spacing w:before="0" w:beforeAutospacing="0" w:after="240" w:afterAutospacing="0"/>
        <w:ind w:left="567" w:hanging="567"/>
        <w:rPr>
          <w:color w:val="000000" w:themeColor="text1"/>
        </w:rPr>
      </w:pPr>
      <w:r w:rsidRPr="00323E0C">
        <w:rPr>
          <w:color w:val="000000" w:themeColor="text1"/>
        </w:rPr>
        <w:t>R.</w:t>
      </w:r>
      <w:r w:rsidRPr="00323E0C">
        <w:rPr>
          <w:color w:val="000000" w:themeColor="text1"/>
        </w:rPr>
        <w:tab/>
        <w:t>der henviser til, at Kommissionen, til trods for at den selv erkende det demokratiske underskud, medlemsstaternes manglende tilslutning og Parlamentets indsigelser, fortsat giver tilladelse til genmodificerede organismer;</w:t>
      </w:r>
    </w:p>
    <w:p w14:paraId="294F2B42" w14:textId="77777777" w:rsidR="004132B2" w:rsidRPr="00323E0C" w:rsidRDefault="004132B2" w:rsidP="004132B2">
      <w:pPr>
        <w:spacing w:after="240"/>
        <w:ind w:left="567" w:hanging="567"/>
      </w:pPr>
      <w:r w:rsidRPr="00323E0C">
        <w:t>S.</w:t>
      </w:r>
      <w:r w:rsidRPr="00323E0C">
        <w:tab/>
        <w:t>der henviser til, at One Health-tilgangen kræver, at der tages hensyn til den indbyrdes afhængighed mellem menneskers, dyrs, planters og miljøets sundhed ved vurderingen af GMO'ers bæredygtighed og sikkerhed på lang sigt;</w:t>
      </w:r>
    </w:p>
    <w:p w14:paraId="5D3B3B8C" w14:textId="77777777" w:rsidR="004132B2" w:rsidRPr="00323E0C" w:rsidRDefault="004132B2" w:rsidP="004132B2">
      <w:pPr>
        <w:spacing w:after="240"/>
        <w:ind w:left="567" w:hanging="567"/>
      </w:pPr>
      <w:r w:rsidRPr="00323E0C">
        <w:t>1.</w:t>
      </w:r>
      <w:r w:rsidRPr="00323E0C">
        <w:tab/>
        <w:t>er af den opfattelse, at udkastet til Kommissionens gennemførelsesafgørelse overskrider de gennemførelsesbeføjelser, der er fastsat i forordning (EF) nr. 1829/2003;</w:t>
      </w:r>
    </w:p>
    <w:p w14:paraId="44684905" w14:textId="77777777" w:rsidR="004132B2" w:rsidRPr="00323E0C" w:rsidRDefault="004132B2" w:rsidP="004132B2">
      <w:pPr>
        <w:spacing w:after="240"/>
        <w:ind w:left="567" w:hanging="567"/>
      </w:pPr>
      <w:r w:rsidRPr="00323E0C">
        <w:t>2.</w:t>
      </w:r>
      <w:r w:rsidRPr="00323E0C">
        <w:tab/>
        <w:t>finder, at udkastet til Kommissionens gennemførelsesafgørelse ikke er i overensstemmelse med EU-retten, fordi det er uforeneligt med målet for forordning (EF) nr. 1829/2003, som i overensstemmelse med de generelle principper, der er fastlagt i Europa-Parlamentets og Rådets forordning (EF) nr. 178/2002</w:t>
      </w:r>
      <w:r w:rsidRPr="00323E0C">
        <w:rPr>
          <w:vertAlign w:val="superscript"/>
        </w:rPr>
        <w:footnoteReference w:id="11"/>
      </w:r>
      <w:r w:rsidRPr="00323E0C">
        <w:t>, er at skabe grundlag for at sikre et højt niveau for beskyttelse af menneskers liv og sundhed, af dyrs sundhed og velfærd, af miljøet og af forbrugernes interesser i relation til GM-fødevarer og -foderstoffer, samtidig med at det sikres, at det indre marked fungerer tilfredsstillende;</w:t>
      </w:r>
    </w:p>
    <w:p w14:paraId="6FC61284" w14:textId="77777777" w:rsidR="004132B2" w:rsidRPr="00323E0C" w:rsidRDefault="004132B2" w:rsidP="004132B2">
      <w:pPr>
        <w:spacing w:after="240"/>
        <w:ind w:left="567" w:hanging="567"/>
      </w:pPr>
      <w:r w:rsidRPr="00323E0C">
        <w:lastRenderedPageBreak/>
        <w:t>3.</w:t>
      </w:r>
      <w:r w:rsidRPr="00323E0C">
        <w:tab/>
        <w:t>anmoder Kommissionen om at trække sin gennemførelsesafgørelse tilbage;</w:t>
      </w:r>
    </w:p>
    <w:p w14:paraId="1CC139A8" w14:textId="77777777" w:rsidR="004132B2" w:rsidRPr="00323E0C" w:rsidRDefault="004132B2" w:rsidP="004132B2">
      <w:pPr>
        <w:spacing w:after="240"/>
        <w:ind w:left="567" w:hanging="567"/>
      </w:pPr>
      <w:r w:rsidRPr="00323E0C">
        <w:t>4.</w:t>
      </w:r>
      <w:r w:rsidRPr="00323E0C">
        <w:tab/>
        <w:t>opfordrer Kommissionen til ikke at godkende den genmodificerede sukkerroe, eftersom der ikke foreligger tilstrækkelig dokumentation for de langsigtede virkninger på biodiversiteten, fødevaresikkerheden og landbrugernes eksistensgrundlag i overensstemmelse med One Health-modellen;</w:t>
      </w:r>
    </w:p>
    <w:p w14:paraId="3BCDA47E" w14:textId="77777777" w:rsidR="004132B2" w:rsidRPr="00323E0C" w:rsidRDefault="004132B2" w:rsidP="004132B2">
      <w:pPr>
        <w:spacing w:after="240"/>
        <w:ind w:left="567" w:hanging="567"/>
      </w:pPr>
      <w:r w:rsidRPr="00323E0C">
        <w:t>5.</w:t>
      </w:r>
      <w:r w:rsidRPr="00323E0C">
        <w:tab/>
        <w:t>opfordrer Kommissionen til snarest muligt at fremsætte et lovforslag om reform af beslutningsproceduren for GMO'er med henblik på at reagere på Parlamentets konsekvente indsigelser og den manglende opbakning fra et kvalificeret flertal blandt medlemsstaterne;</w:t>
      </w:r>
    </w:p>
    <w:p w14:paraId="5B2C5408" w14:textId="77777777" w:rsidR="004132B2" w:rsidRPr="00323E0C" w:rsidRDefault="004132B2" w:rsidP="004132B2">
      <w:pPr>
        <w:spacing w:after="240"/>
        <w:ind w:left="567" w:hanging="567"/>
      </w:pPr>
      <w:r w:rsidRPr="00323E0C">
        <w:t>6.</w:t>
      </w:r>
      <w:r w:rsidRPr="00323E0C">
        <w:tab/>
        <w:t xml:space="preserve">fremhæver i den forbindelse, at tilladelse til import til fødevare- eller foderbrug af enhver GM-plante, der er gjort tolerant over for herbicider, der er forbudt i Unionen, såsom </w:t>
      </w:r>
      <w:proofErr w:type="spellStart"/>
      <w:r w:rsidRPr="00323E0C">
        <w:t>glufosinat</w:t>
      </w:r>
      <w:proofErr w:type="spellEnd"/>
      <w:r w:rsidRPr="00323E0C">
        <w:t>, er i strid med Unionens internationale forpligtelser i henhold til bl.a. FN's konvention om den biologiske mangfoldighed og FN's mål for bæredygtig udvikling, herunder Kunming-Montreal-rammen, og skaber ulige vilkår for Unionens landbrugere;</w:t>
      </w:r>
    </w:p>
    <w:p w14:paraId="5188D682" w14:textId="62720E5C" w:rsidR="00E365E1" w:rsidRPr="00323E0C" w:rsidRDefault="004132B2" w:rsidP="00FD25D4">
      <w:pPr>
        <w:spacing w:after="240"/>
        <w:ind w:left="567" w:hanging="567"/>
      </w:pPr>
      <w:r w:rsidRPr="00323E0C">
        <w:t>7.</w:t>
      </w:r>
      <w:r w:rsidRPr="00323E0C">
        <w:tab/>
        <w:t>pålægger sin formand at sende denne beslutning til Rådet og Kommissionen samt til medlemsstaternes regeringer og parlamenter.</w:t>
      </w:r>
    </w:p>
    <w:sectPr w:rsidR="00E365E1" w:rsidRPr="00323E0C" w:rsidSect="00323E0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B3A258" w14:textId="77777777" w:rsidR="00F034E9" w:rsidRPr="00323E0C" w:rsidRDefault="00F034E9">
      <w:r w:rsidRPr="00323E0C">
        <w:separator/>
      </w:r>
    </w:p>
  </w:endnote>
  <w:endnote w:type="continuationSeparator" w:id="0">
    <w:p w14:paraId="665EC513" w14:textId="77777777" w:rsidR="00F034E9" w:rsidRPr="00323E0C" w:rsidRDefault="00F034E9">
      <w:r w:rsidRPr="00323E0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726CE7" w14:textId="77777777" w:rsidR="00064002" w:rsidRPr="00323E0C"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3B697C" w14:textId="77777777" w:rsidR="00064002" w:rsidRPr="00323E0C"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C0F5DE" w14:textId="77777777" w:rsidR="00064002" w:rsidRPr="00323E0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A55B34" w14:textId="77777777" w:rsidR="00F034E9" w:rsidRPr="00323E0C" w:rsidRDefault="00F034E9">
      <w:r w:rsidRPr="00323E0C">
        <w:separator/>
      </w:r>
    </w:p>
  </w:footnote>
  <w:footnote w:type="continuationSeparator" w:id="0">
    <w:p w14:paraId="3B23FFB7" w14:textId="77777777" w:rsidR="00F034E9" w:rsidRPr="00323E0C" w:rsidRDefault="00F034E9">
      <w:r w:rsidRPr="00323E0C">
        <w:continuationSeparator/>
      </w:r>
    </w:p>
  </w:footnote>
  <w:footnote w:id="1">
    <w:p w14:paraId="6A35676E" w14:textId="429E4AC6" w:rsidR="004132B2" w:rsidRPr="00323E0C" w:rsidRDefault="004132B2" w:rsidP="00323E0C">
      <w:pPr>
        <w:pStyle w:val="FootnoteText"/>
        <w:suppressAutoHyphens/>
        <w:ind w:left="567" w:hanging="567"/>
        <w:rPr>
          <w:sz w:val="24"/>
          <w:lang w:val="da-DK"/>
        </w:rPr>
      </w:pPr>
      <w:r w:rsidRPr="00323E0C">
        <w:rPr>
          <w:rStyle w:val="FootnoteReference"/>
          <w:sz w:val="24"/>
          <w:lang w:val="da-DK"/>
        </w:rPr>
        <w:footnoteRef/>
      </w:r>
      <w:r w:rsidR="00323E0C" w:rsidRPr="00323E0C">
        <w:rPr>
          <w:sz w:val="24"/>
          <w:lang w:val="da-DK"/>
        </w:rPr>
        <w:t xml:space="preserve"> </w:t>
      </w:r>
      <w:r w:rsidR="00323E0C" w:rsidRPr="00323E0C">
        <w:rPr>
          <w:sz w:val="24"/>
          <w:lang w:val="da-DK"/>
        </w:rPr>
        <w:tab/>
      </w:r>
      <w:r w:rsidRPr="00323E0C">
        <w:rPr>
          <w:sz w:val="24"/>
          <w:lang w:val="da-DK"/>
        </w:rPr>
        <w:t>EUT L 268 af 18.10.2003, s. 1, ELI: http://data.europa.eu/eli/reg/2003/1829/oj.</w:t>
      </w:r>
    </w:p>
  </w:footnote>
  <w:footnote w:id="2">
    <w:p w14:paraId="1DCDD6AE" w14:textId="2A44C23D" w:rsidR="004132B2" w:rsidRPr="00323E0C" w:rsidRDefault="004132B2" w:rsidP="00323E0C">
      <w:pPr>
        <w:pStyle w:val="FootnoteText"/>
        <w:ind w:left="567" w:hanging="567"/>
        <w:rPr>
          <w:sz w:val="24"/>
          <w:lang w:val="da-DK"/>
        </w:rPr>
      </w:pPr>
      <w:r w:rsidRPr="00323E0C">
        <w:rPr>
          <w:rStyle w:val="FootnoteReference"/>
          <w:sz w:val="24"/>
          <w:lang w:val="da-DK"/>
        </w:rPr>
        <w:footnoteRef/>
      </w:r>
      <w:r w:rsidR="00323E0C" w:rsidRPr="00323E0C">
        <w:rPr>
          <w:sz w:val="24"/>
          <w:lang w:val="da-DK"/>
        </w:rPr>
        <w:t xml:space="preserve"> </w:t>
      </w:r>
      <w:r w:rsidR="00323E0C" w:rsidRPr="00323E0C">
        <w:rPr>
          <w:sz w:val="24"/>
          <w:lang w:val="da-DK"/>
        </w:rPr>
        <w:tab/>
      </w:r>
      <w:r w:rsidRPr="00323E0C">
        <w:rPr>
          <w:sz w:val="24"/>
          <w:lang w:val="da-DK"/>
        </w:rPr>
        <w:t xml:space="preserve">EUT L 55 af 28.2.2011, s. 13, ELI: </w:t>
      </w:r>
      <w:hyperlink r:id="rId1" w:history="1">
        <w:r w:rsidRPr="00323E0C">
          <w:rPr>
            <w:rStyle w:val="Hyperlink"/>
            <w:sz w:val="24"/>
            <w:lang w:val="da-DK"/>
          </w:rPr>
          <w:t>http://data.europa.eu/eli/reg/2011/182/oj</w:t>
        </w:r>
      </w:hyperlink>
      <w:r w:rsidRPr="00323E0C">
        <w:rPr>
          <w:sz w:val="24"/>
          <w:lang w:val="da-DK"/>
        </w:rPr>
        <w:t>.</w:t>
      </w:r>
    </w:p>
  </w:footnote>
  <w:footnote w:id="3">
    <w:p w14:paraId="7CB1A461" w14:textId="66E32A72" w:rsidR="004132B2" w:rsidRPr="00323E0C" w:rsidRDefault="004132B2" w:rsidP="00323E0C">
      <w:pPr>
        <w:pStyle w:val="FootnoteText"/>
        <w:suppressAutoHyphens/>
        <w:ind w:left="567" w:hanging="567"/>
        <w:rPr>
          <w:sz w:val="24"/>
          <w:lang w:val="da-DK"/>
        </w:rPr>
      </w:pPr>
      <w:r w:rsidRPr="00323E0C">
        <w:rPr>
          <w:rStyle w:val="FootnoteReference"/>
          <w:sz w:val="24"/>
          <w:lang w:val="da-DK"/>
        </w:rPr>
        <w:footnoteRef/>
      </w:r>
      <w:r w:rsidR="00323E0C" w:rsidRPr="00323E0C">
        <w:rPr>
          <w:sz w:val="24"/>
          <w:lang w:val="da-DK"/>
        </w:rPr>
        <w:t xml:space="preserve"> </w:t>
      </w:r>
      <w:r w:rsidR="00323E0C" w:rsidRPr="00323E0C">
        <w:rPr>
          <w:sz w:val="24"/>
          <w:lang w:val="da-DK"/>
        </w:rPr>
        <w:tab/>
      </w:r>
      <w:r w:rsidRPr="00323E0C">
        <w:rPr>
          <w:sz w:val="24"/>
          <w:lang w:val="da-DK"/>
        </w:rPr>
        <w:t xml:space="preserve">Videnskabelig udtalelse fra </w:t>
      </w:r>
      <w:proofErr w:type="spellStart"/>
      <w:r w:rsidRPr="00323E0C">
        <w:rPr>
          <w:sz w:val="24"/>
          <w:lang w:val="da-DK"/>
        </w:rPr>
        <w:t>EFSA's</w:t>
      </w:r>
      <w:proofErr w:type="spellEnd"/>
      <w:r w:rsidRPr="00323E0C">
        <w:rPr>
          <w:sz w:val="24"/>
          <w:lang w:val="da-DK"/>
        </w:rPr>
        <w:t xml:space="preserve"> Ekspertpanel for Genetisk Modificerede Organismer om vurdering af genetisk modificeret KWS20-1-sukkerroe (ansøgning GMFF-2023-14732), EFSA Journal 2025;23(5):9381;</w:t>
      </w:r>
      <w:hyperlink r:id="rId2" w:history="1">
        <w:r w:rsidRPr="00323E0C">
          <w:rPr>
            <w:rStyle w:val="Hyperlink"/>
            <w:sz w:val="24"/>
            <w:lang w:val="da-DK"/>
          </w:rPr>
          <w:t>https://doi.org/10.2903/j.efsa.2025.9381</w:t>
        </w:r>
      </w:hyperlink>
      <w:r w:rsidRPr="00323E0C">
        <w:rPr>
          <w:sz w:val="24"/>
          <w:lang w:val="da-DK"/>
        </w:rPr>
        <w:t>.</w:t>
      </w:r>
    </w:p>
  </w:footnote>
  <w:footnote w:id="4">
    <w:p w14:paraId="45FC0EE8" w14:textId="3E71B262" w:rsidR="004132B2" w:rsidRPr="00323E0C" w:rsidRDefault="004132B2" w:rsidP="00323E0C">
      <w:pPr>
        <w:pStyle w:val="FootnoteText"/>
        <w:suppressAutoHyphens/>
        <w:ind w:left="567" w:hanging="567"/>
        <w:rPr>
          <w:color w:val="000000" w:themeColor="text1"/>
          <w:sz w:val="24"/>
          <w:vertAlign w:val="superscript"/>
          <w:lang w:val="da-DK"/>
        </w:rPr>
      </w:pPr>
      <w:r w:rsidRPr="00323E0C">
        <w:rPr>
          <w:rStyle w:val="FootnoteReference"/>
          <w:sz w:val="24"/>
          <w:lang w:val="da-DK"/>
        </w:rPr>
        <w:footnoteRef/>
      </w:r>
      <w:r w:rsidR="00323E0C" w:rsidRPr="00323E0C">
        <w:rPr>
          <w:sz w:val="24"/>
          <w:lang w:val="da-DK"/>
        </w:rPr>
        <w:t xml:space="preserve"> </w:t>
      </w:r>
      <w:r w:rsidR="00323E0C" w:rsidRPr="00323E0C">
        <w:rPr>
          <w:sz w:val="24"/>
          <w:lang w:val="da-DK"/>
        </w:rPr>
        <w:tab/>
      </w:r>
      <w:r w:rsidRPr="00323E0C">
        <w:rPr>
          <w:sz w:val="24"/>
          <w:lang w:val="da-DK"/>
        </w:rPr>
        <w:t>Parlamentet vedtog i sin ottende valgperiode 36 beslutninger og i sin niende valgperiode 38 beslutninger, hvori det gjorde indsigelse mod tilladelse af GMO'er.</w:t>
      </w:r>
      <w:r w:rsidRPr="00323E0C">
        <w:rPr>
          <w:color w:val="000000" w:themeColor="text1"/>
          <w:sz w:val="24"/>
          <w:lang w:val="da-DK"/>
        </w:rPr>
        <w:t xml:space="preserve"> Endvidere har Europa-Parlamentet i tiende valgperiode vedtaget følgende beslutninger:</w:t>
      </w:r>
    </w:p>
    <w:p w14:paraId="71D4A2E2" w14:textId="2AD53A7C" w:rsidR="004132B2" w:rsidRPr="00323E0C" w:rsidRDefault="00323E0C" w:rsidP="00323E0C">
      <w:pPr>
        <w:pStyle w:val="FootnoteText"/>
        <w:suppressAutoHyphens/>
        <w:ind w:left="567" w:hanging="567"/>
        <w:rPr>
          <w:color w:val="000000" w:themeColor="text1"/>
          <w:sz w:val="24"/>
          <w:vertAlign w:val="superscript"/>
          <w:lang w:val="da-DK"/>
        </w:rPr>
      </w:pPr>
      <w:r w:rsidRPr="00323E0C">
        <w:rPr>
          <w:color w:val="000000" w:themeColor="text1"/>
          <w:sz w:val="24"/>
          <w:lang w:val="da-DK"/>
        </w:rPr>
        <w:t xml:space="preserve"> </w:t>
      </w:r>
      <w:r w:rsidRPr="00323E0C">
        <w:rPr>
          <w:color w:val="000000" w:themeColor="text1"/>
          <w:sz w:val="24"/>
          <w:lang w:val="da-DK"/>
        </w:rPr>
        <w:tab/>
      </w:r>
      <w:r w:rsidR="004132B2" w:rsidRPr="00323E0C">
        <w:rPr>
          <w:color w:val="000000" w:themeColor="text1"/>
          <w:sz w:val="24"/>
          <w:lang w:val="da-DK"/>
        </w:rPr>
        <w:t>–</w:t>
      </w:r>
      <w:r w:rsidR="004132B2" w:rsidRPr="00323E0C">
        <w:rPr>
          <w:color w:val="000000" w:themeColor="text1"/>
          <w:sz w:val="24"/>
          <w:lang w:val="da-DK"/>
        </w:rPr>
        <w:tab/>
        <w:t xml:space="preserve">Europa-Parlamentets beslutning af 26. november 2024 om Kommissionens gennemførelsesafgørelse (EU) 2024/2628 om forlængelse af tilladelse til markedsføring af produkter, der indeholder, består af eller er fremstillet af genetisk modificeret MON 89034 × 1507 × NK603-majs, i henhold til Europa-Parlamentets og Rådets forordning (EF) nr. 1829/2003 (EUT C, C/2025/1798, 4.4.2025, ELI: </w:t>
      </w:r>
      <w:hyperlink r:id="rId3" w:history="1">
        <w:r w:rsidR="004132B2" w:rsidRPr="00323E0C">
          <w:rPr>
            <w:rStyle w:val="Hyperlink"/>
            <w:sz w:val="24"/>
            <w:lang w:val="da-DK"/>
          </w:rPr>
          <w:t>http://data.europa.eu/eli/C/2025/1797/oj</w:t>
        </w:r>
      </w:hyperlink>
      <w:r w:rsidR="004132B2" w:rsidRPr="00323E0C">
        <w:rPr>
          <w:color w:val="000000" w:themeColor="text1"/>
          <w:sz w:val="24"/>
          <w:lang w:val="da-DK"/>
        </w:rPr>
        <w:t>).</w:t>
      </w:r>
    </w:p>
    <w:p w14:paraId="0579B8AF" w14:textId="51317B91" w:rsidR="004132B2" w:rsidRPr="00323E0C" w:rsidRDefault="00323E0C" w:rsidP="00323E0C">
      <w:pPr>
        <w:pStyle w:val="FootnoteText"/>
        <w:suppressAutoHyphens/>
        <w:ind w:left="567" w:hanging="567"/>
        <w:rPr>
          <w:color w:val="000000" w:themeColor="text1"/>
          <w:sz w:val="24"/>
          <w:vertAlign w:val="superscript"/>
          <w:lang w:val="da-DK"/>
        </w:rPr>
      </w:pPr>
      <w:r w:rsidRPr="00323E0C">
        <w:rPr>
          <w:color w:val="000000" w:themeColor="text1"/>
          <w:sz w:val="24"/>
          <w:lang w:val="da-DK"/>
        </w:rPr>
        <w:t xml:space="preserve"> </w:t>
      </w:r>
      <w:r w:rsidRPr="00323E0C">
        <w:rPr>
          <w:color w:val="000000" w:themeColor="text1"/>
          <w:sz w:val="24"/>
          <w:lang w:val="da-DK"/>
        </w:rPr>
        <w:tab/>
      </w:r>
      <w:r w:rsidR="004132B2" w:rsidRPr="00323E0C">
        <w:rPr>
          <w:color w:val="000000" w:themeColor="text1"/>
          <w:sz w:val="24"/>
          <w:lang w:val="da-DK"/>
        </w:rPr>
        <w:t>–</w:t>
      </w:r>
      <w:r w:rsidR="004132B2" w:rsidRPr="00323E0C">
        <w:rPr>
          <w:color w:val="000000" w:themeColor="text1"/>
          <w:sz w:val="24"/>
          <w:lang w:val="da-DK"/>
        </w:rPr>
        <w:tab/>
        <w:t xml:space="preserve">Europa-Parlamentets beslutning af 26. november 2024 om Kommissionens gennemførelsesafgørelse (EU) 2024/2627 om tilladelse til markedsføring af produkter, der indeholder, består af eller er fremstillet af genetisk modificeret COT102-bomuld, i henhold til Europa-Parlamentets og Rådets forordning (EF) nr. 1829/2003 (EUT C, C/2025/1798, 4.4.2025, ELI: </w:t>
      </w:r>
      <w:hyperlink r:id="rId4" w:history="1">
        <w:r w:rsidR="004132B2" w:rsidRPr="00323E0C">
          <w:rPr>
            <w:rStyle w:val="Hyperlink"/>
            <w:sz w:val="24"/>
            <w:lang w:val="da-DK"/>
          </w:rPr>
          <w:t>http://data.europa.eu/eli/C/2025/1798/oj</w:t>
        </w:r>
      </w:hyperlink>
      <w:r w:rsidR="004132B2" w:rsidRPr="00323E0C">
        <w:rPr>
          <w:color w:val="000000" w:themeColor="text1"/>
          <w:sz w:val="24"/>
          <w:lang w:val="da-DK"/>
        </w:rPr>
        <w:t>).</w:t>
      </w:r>
    </w:p>
    <w:p w14:paraId="29AEB95D" w14:textId="725E3F51" w:rsidR="004132B2" w:rsidRPr="00323E0C" w:rsidRDefault="00323E0C" w:rsidP="00323E0C">
      <w:pPr>
        <w:pStyle w:val="FootnoteText"/>
        <w:suppressAutoHyphens/>
        <w:ind w:left="567" w:hanging="567"/>
        <w:rPr>
          <w:color w:val="000000" w:themeColor="text1"/>
          <w:sz w:val="24"/>
          <w:vertAlign w:val="superscript"/>
          <w:lang w:val="da-DK"/>
        </w:rPr>
      </w:pPr>
      <w:r w:rsidRPr="00323E0C">
        <w:rPr>
          <w:color w:val="000000" w:themeColor="text1"/>
          <w:sz w:val="24"/>
          <w:lang w:val="da-DK"/>
        </w:rPr>
        <w:t xml:space="preserve"> </w:t>
      </w:r>
      <w:r w:rsidRPr="00323E0C">
        <w:rPr>
          <w:color w:val="000000" w:themeColor="text1"/>
          <w:sz w:val="24"/>
          <w:lang w:val="da-DK"/>
        </w:rPr>
        <w:tab/>
      </w:r>
      <w:r w:rsidR="004132B2" w:rsidRPr="00323E0C">
        <w:rPr>
          <w:color w:val="000000" w:themeColor="text1"/>
          <w:sz w:val="24"/>
          <w:lang w:val="da-DK"/>
        </w:rPr>
        <w:t>–</w:t>
      </w:r>
      <w:r w:rsidR="004132B2" w:rsidRPr="00323E0C">
        <w:rPr>
          <w:color w:val="000000" w:themeColor="text1"/>
          <w:sz w:val="24"/>
          <w:lang w:val="da-DK"/>
        </w:rPr>
        <w:tab/>
        <w:t xml:space="preserve">Europa-Parlamentets beslutning af 26. november 2024 om Kommissionens gennemførelsesafgørelse (EU) 2024/2629 om forlængelse af tilladelse til markedsføring af produkter, der indeholder, består af eller er fremstillet af genetisk modificeret MON 89034 × 1507 × MON 88017 × 59122-majs og otte af dens underkombinationer, i henhold til Europa-Parlamentets og Rådets forordning (EF) nr. 1829/2003 (EUT C, C/2025/1799, 4.4.2025, ELI: </w:t>
      </w:r>
      <w:hyperlink r:id="rId5" w:history="1">
        <w:r w:rsidR="004132B2" w:rsidRPr="00323E0C">
          <w:rPr>
            <w:rStyle w:val="Hyperlink"/>
            <w:sz w:val="24"/>
            <w:lang w:val="da-DK"/>
          </w:rPr>
          <w:t>http://data.europa.eu/eli/C/2025/1799/oj</w:t>
        </w:r>
      </w:hyperlink>
      <w:r w:rsidR="004132B2" w:rsidRPr="00323E0C">
        <w:rPr>
          <w:color w:val="000000" w:themeColor="text1"/>
          <w:sz w:val="24"/>
          <w:lang w:val="da-DK"/>
        </w:rPr>
        <w:t>).</w:t>
      </w:r>
    </w:p>
    <w:p w14:paraId="2F09E992" w14:textId="24AFF7DF" w:rsidR="004132B2" w:rsidRPr="00323E0C" w:rsidRDefault="00323E0C" w:rsidP="00323E0C">
      <w:pPr>
        <w:pStyle w:val="FootnoteText"/>
        <w:ind w:left="567" w:hanging="567"/>
        <w:rPr>
          <w:color w:val="000000" w:themeColor="text1"/>
          <w:sz w:val="24"/>
          <w:vertAlign w:val="superscript"/>
          <w:lang w:val="da-DK"/>
        </w:rPr>
      </w:pPr>
      <w:r w:rsidRPr="00323E0C">
        <w:rPr>
          <w:color w:val="000000" w:themeColor="text1"/>
          <w:sz w:val="24"/>
          <w:lang w:val="da-DK"/>
        </w:rPr>
        <w:t xml:space="preserve"> </w:t>
      </w:r>
      <w:r w:rsidRPr="00323E0C">
        <w:rPr>
          <w:color w:val="000000" w:themeColor="text1"/>
          <w:sz w:val="24"/>
          <w:lang w:val="da-DK"/>
        </w:rPr>
        <w:tab/>
      </w:r>
      <w:r w:rsidR="004132B2" w:rsidRPr="00323E0C">
        <w:rPr>
          <w:color w:val="000000" w:themeColor="text1"/>
          <w:sz w:val="24"/>
          <w:lang w:val="da-DK"/>
        </w:rPr>
        <w:t>–</w:t>
      </w:r>
      <w:r w:rsidR="004132B2" w:rsidRPr="00323E0C">
        <w:rPr>
          <w:color w:val="000000" w:themeColor="text1"/>
          <w:sz w:val="24"/>
          <w:lang w:val="da-DK"/>
        </w:rPr>
        <w:tab/>
        <w:t xml:space="preserve">Europa-Parlamentets beslutning af 26. november 2024 om Kommissionens gennemførelsesafgørelse (EU) 2024/1828 om forlængelse af tilladelsen til markedsføring af foderstoffer, der indeholder, består af og af fødevarer og foderstoffer, der er fremstillet af genetisk modificeret MON 810-majs, i henhold til Europa-Parlamentets og Rådets forordning (EF) nr. 1829/2003, og om ophævelse af Kommissionens gennemførelsesafgørelse (EU) 2017/1207 (EUT C, C/2025/1800, 4.4.2025, ELI: </w:t>
      </w:r>
      <w:hyperlink r:id="rId6" w:history="1">
        <w:r w:rsidR="004132B2" w:rsidRPr="00323E0C">
          <w:rPr>
            <w:rStyle w:val="Hyperlink"/>
            <w:sz w:val="24"/>
            <w:lang w:val="da-DK"/>
          </w:rPr>
          <w:t>http://data.europa.eu/eli/C/2025/1800/oj</w:t>
        </w:r>
      </w:hyperlink>
      <w:r w:rsidR="004132B2" w:rsidRPr="00323E0C">
        <w:rPr>
          <w:color w:val="000000" w:themeColor="text1"/>
          <w:sz w:val="24"/>
          <w:lang w:val="da-DK"/>
        </w:rPr>
        <w:t>).</w:t>
      </w:r>
    </w:p>
    <w:p w14:paraId="2A525624" w14:textId="0DC4D9CA" w:rsidR="004132B2" w:rsidRPr="00323E0C" w:rsidRDefault="00323E0C" w:rsidP="00323E0C">
      <w:pPr>
        <w:pStyle w:val="FootnoteText"/>
        <w:ind w:left="567" w:hanging="567"/>
        <w:rPr>
          <w:color w:val="000000" w:themeColor="text1"/>
          <w:sz w:val="24"/>
          <w:vertAlign w:val="superscript"/>
          <w:lang w:val="da-DK"/>
        </w:rPr>
      </w:pPr>
      <w:r w:rsidRPr="00323E0C">
        <w:rPr>
          <w:color w:val="000000" w:themeColor="text1"/>
          <w:sz w:val="24"/>
          <w:lang w:val="da-DK"/>
        </w:rPr>
        <w:t xml:space="preserve"> </w:t>
      </w:r>
      <w:r w:rsidRPr="00323E0C">
        <w:rPr>
          <w:color w:val="000000" w:themeColor="text1"/>
          <w:sz w:val="24"/>
          <w:lang w:val="da-DK"/>
        </w:rPr>
        <w:tab/>
      </w:r>
      <w:r w:rsidR="004132B2" w:rsidRPr="00323E0C">
        <w:rPr>
          <w:color w:val="000000" w:themeColor="text1"/>
          <w:sz w:val="24"/>
          <w:lang w:val="da-DK"/>
        </w:rPr>
        <w:t>–</w:t>
      </w:r>
      <w:r w:rsidR="004132B2" w:rsidRPr="00323E0C">
        <w:rPr>
          <w:color w:val="000000" w:themeColor="text1"/>
          <w:sz w:val="24"/>
          <w:lang w:val="da-DK"/>
        </w:rPr>
        <w:tab/>
        <w:t xml:space="preserve">Europa-Parlamentets beslutning af 26. november 2024 om Kommissionens gennemførelsesafgørelse (EU) 2024/1822 om tilladelse til markedsføring af produkter, der indeholder, består af eller er fremstillet af genetisk modificeret DP915635-majs i henhold til Europa-Parlamentets og Rådets forordning (EF) nr. 1829/2003 (EUT C, C/2025/1801, 4.4.2025, ELI: </w:t>
      </w:r>
      <w:hyperlink r:id="rId7" w:history="1">
        <w:r w:rsidR="004132B2" w:rsidRPr="00323E0C">
          <w:rPr>
            <w:rStyle w:val="Hyperlink"/>
            <w:sz w:val="24"/>
            <w:lang w:val="da-DK"/>
          </w:rPr>
          <w:t>http://data.europa.eu/eli/C/2025/1801/oj</w:t>
        </w:r>
      </w:hyperlink>
      <w:r w:rsidR="004132B2" w:rsidRPr="00323E0C">
        <w:rPr>
          <w:color w:val="000000" w:themeColor="text1"/>
          <w:sz w:val="24"/>
          <w:lang w:val="da-DK"/>
        </w:rPr>
        <w:t>).</w:t>
      </w:r>
    </w:p>
    <w:p w14:paraId="33BF5D39" w14:textId="53E3E190" w:rsidR="004132B2" w:rsidRPr="00323E0C" w:rsidRDefault="00323E0C" w:rsidP="00323E0C">
      <w:pPr>
        <w:pStyle w:val="FootnoteText"/>
        <w:ind w:left="567" w:hanging="567"/>
        <w:rPr>
          <w:color w:val="000000" w:themeColor="text1"/>
          <w:sz w:val="24"/>
          <w:vertAlign w:val="superscript"/>
          <w:lang w:val="da-DK"/>
        </w:rPr>
      </w:pPr>
      <w:r w:rsidRPr="00323E0C">
        <w:rPr>
          <w:color w:val="000000" w:themeColor="text1"/>
          <w:sz w:val="24"/>
          <w:lang w:val="da-DK"/>
        </w:rPr>
        <w:t xml:space="preserve"> </w:t>
      </w:r>
      <w:r w:rsidRPr="00323E0C">
        <w:rPr>
          <w:color w:val="000000" w:themeColor="text1"/>
          <w:sz w:val="24"/>
          <w:lang w:val="da-DK"/>
        </w:rPr>
        <w:tab/>
      </w:r>
      <w:r w:rsidR="004132B2" w:rsidRPr="00323E0C">
        <w:rPr>
          <w:color w:val="000000" w:themeColor="text1"/>
          <w:sz w:val="24"/>
          <w:lang w:val="da-DK"/>
        </w:rPr>
        <w:t>–</w:t>
      </w:r>
      <w:r w:rsidR="004132B2" w:rsidRPr="00323E0C">
        <w:rPr>
          <w:color w:val="000000" w:themeColor="text1"/>
          <w:sz w:val="24"/>
          <w:lang w:val="da-DK"/>
        </w:rPr>
        <w:tab/>
        <w:t xml:space="preserve">Europa-Parlamentets beslutning af 26. november 2024 om Kommissionens gennemførelsesafgørelse (EU) 2024/1826 om tilladelse til markedsføring af produkter, der indeholder, består af eller er fremstillet af genetisk modificeret DP23211-majs, i henhold til Europa-Parlamentets og Rådets forordning (EF) nr. 1829/2003 (EUT C, C/2025/1802, 4.4.2025, ELI: </w:t>
      </w:r>
      <w:hyperlink r:id="rId8" w:history="1">
        <w:r w:rsidR="004132B2" w:rsidRPr="00323E0C">
          <w:rPr>
            <w:rStyle w:val="Hyperlink"/>
            <w:sz w:val="24"/>
            <w:lang w:val="da-DK"/>
          </w:rPr>
          <w:t>http://data.europa.eu/eli/C/2025/1802/oj</w:t>
        </w:r>
      </w:hyperlink>
      <w:r w:rsidR="004132B2" w:rsidRPr="00323E0C">
        <w:rPr>
          <w:color w:val="000000" w:themeColor="text1"/>
          <w:sz w:val="24"/>
          <w:lang w:val="da-DK"/>
        </w:rPr>
        <w:t>).</w:t>
      </w:r>
    </w:p>
    <w:p w14:paraId="4F682BBF" w14:textId="68514094" w:rsidR="004132B2" w:rsidRPr="00323E0C" w:rsidRDefault="00323E0C" w:rsidP="00323E0C">
      <w:pPr>
        <w:pStyle w:val="FootnoteText"/>
        <w:ind w:left="567" w:hanging="567"/>
        <w:rPr>
          <w:color w:val="000000" w:themeColor="text1"/>
          <w:sz w:val="24"/>
          <w:vertAlign w:val="superscript"/>
          <w:lang w:val="da-DK"/>
        </w:rPr>
      </w:pPr>
      <w:r w:rsidRPr="00323E0C">
        <w:rPr>
          <w:color w:val="000000" w:themeColor="text1"/>
          <w:sz w:val="24"/>
          <w:lang w:val="da-DK"/>
        </w:rPr>
        <w:t xml:space="preserve"> </w:t>
      </w:r>
      <w:r w:rsidRPr="00323E0C">
        <w:rPr>
          <w:color w:val="000000" w:themeColor="text1"/>
          <w:sz w:val="24"/>
          <w:lang w:val="da-DK"/>
        </w:rPr>
        <w:tab/>
      </w:r>
      <w:r w:rsidR="004132B2" w:rsidRPr="00323E0C">
        <w:rPr>
          <w:color w:val="000000" w:themeColor="text1"/>
          <w:sz w:val="24"/>
          <w:lang w:val="da-DK"/>
        </w:rPr>
        <w:t>–</w:t>
      </w:r>
      <w:r w:rsidR="004132B2" w:rsidRPr="00323E0C">
        <w:rPr>
          <w:color w:val="000000" w:themeColor="text1"/>
          <w:sz w:val="24"/>
          <w:lang w:val="da-DK"/>
        </w:rPr>
        <w:tab/>
        <w:t xml:space="preserve">Europa-Parlamentets beslutning af 26. november 2024 om Kommissionens gennemførelsesafgørelse (EU) 2024/2618 om tilladelse til markedsføring af produkter, der indeholder, består af eller er fremstillet af genetisk modificeret DP202216-majs, i henhold til Europa-Parlamentets og Rådets forordning (EF) nr. 1829/2003 (EUT C, C/2025/1803, 4.4.2025, ELI: </w:t>
      </w:r>
      <w:hyperlink r:id="rId9" w:history="1">
        <w:r w:rsidR="004132B2" w:rsidRPr="00323E0C">
          <w:rPr>
            <w:rStyle w:val="Hyperlink"/>
            <w:sz w:val="24"/>
            <w:lang w:val="da-DK"/>
          </w:rPr>
          <w:t>http://data.europa.eu/eli/C/2025/1803/oj</w:t>
        </w:r>
      </w:hyperlink>
      <w:r w:rsidR="004132B2" w:rsidRPr="00323E0C">
        <w:rPr>
          <w:color w:val="000000" w:themeColor="text1"/>
          <w:sz w:val="24"/>
          <w:lang w:val="da-DK"/>
        </w:rPr>
        <w:t>).</w:t>
      </w:r>
    </w:p>
    <w:p w14:paraId="6A6328A2" w14:textId="102763DB" w:rsidR="004132B2" w:rsidRPr="00323E0C" w:rsidRDefault="00323E0C" w:rsidP="00323E0C">
      <w:pPr>
        <w:pStyle w:val="FootnoteText"/>
        <w:ind w:left="567" w:hanging="567"/>
        <w:rPr>
          <w:color w:val="000000" w:themeColor="text1"/>
          <w:sz w:val="24"/>
          <w:vertAlign w:val="superscript"/>
          <w:lang w:val="da-DK"/>
        </w:rPr>
      </w:pPr>
      <w:r w:rsidRPr="00323E0C">
        <w:rPr>
          <w:color w:val="000000" w:themeColor="text1"/>
          <w:sz w:val="24"/>
          <w:lang w:val="da-DK"/>
        </w:rPr>
        <w:t xml:space="preserve"> </w:t>
      </w:r>
      <w:r w:rsidRPr="00323E0C">
        <w:rPr>
          <w:color w:val="000000" w:themeColor="text1"/>
          <w:sz w:val="24"/>
          <w:lang w:val="da-DK"/>
        </w:rPr>
        <w:tab/>
      </w:r>
      <w:r w:rsidR="004132B2" w:rsidRPr="00323E0C">
        <w:rPr>
          <w:color w:val="000000" w:themeColor="text1"/>
          <w:sz w:val="24"/>
          <w:lang w:val="da-DK"/>
        </w:rPr>
        <w:t>–</w:t>
      </w:r>
      <w:r w:rsidR="004132B2" w:rsidRPr="00323E0C">
        <w:rPr>
          <w:color w:val="000000" w:themeColor="text1"/>
          <w:sz w:val="24"/>
          <w:lang w:val="da-DK"/>
        </w:rPr>
        <w:tab/>
        <w:t xml:space="preserve">Europa-Parlamentets beslutning af 26. november 2024 om udkast til Kommissionens gennemførelsesafgørelse om tilladelse til markedsføring af produkter, der indeholder, består af eller er fremstillet af genetisk modificeret MON 94804-majs, i henhold til Europa-Parlamentets og Rådets forordning (EF) nr. 1829/2003 (EUT C, C/2025/1804, 4.4.2025, ELI: </w:t>
      </w:r>
      <w:hyperlink r:id="rId10" w:history="1">
        <w:r w:rsidR="004132B2" w:rsidRPr="00323E0C">
          <w:rPr>
            <w:rStyle w:val="Hyperlink"/>
            <w:sz w:val="24"/>
            <w:lang w:val="da-DK"/>
          </w:rPr>
          <w:t>http://data.europa.eu/eli/C/2025/1804/oj</w:t>
        </w:r>
      </w:hyperlink>
      <w:r w:rsidR="004132B2" w:rsidRPr="00323E0C">
        <w:rPr>
          <w:color w:val="000000" w:themeColor="text1"/>
          <w:sz w:val="24"/>
          <w:lang w:val="da-DK"/>
        </w:rPr>
        <w:t>).</w:t>
      </w:r>
    </w:p>
    <w:p w14:paraId="791ABE6B" w14:textId="522E8639" w:rsidR="004132B2" w:rsidRPr="00323E0C" w:rsidRDefault="00323E0C" w:rsidP="00323E0C">
      <w:pPr>
        <w:pStyle w:val="FootnoteText"/>
        <w:ind w:left="567" w:hanging="567"/>
        <w:rPr>
          <w:sz w:val="24"/>
          <w:vertAlign w:val="superscript"/>
          <w:lang w:val="da-DK"/>
        </w:rPr>
      </w:pPr>
      <w:r w:rsidRPr="00323E0C">
        <w:rPr>
          <w:color w:val="000000" w:themeColor="text1"/>
          <w:sz w:val="24"/>
          <w:lang w:val="da-DK"/>
        </w:rPr>
        <w:t xml:space="preserve"> </w:t>
      </w:r>
      <w:r w:rsidRPr="00323E0C">
        <w:rPr>
          <w:color w:val="000000" w:themeColor="text1"/>
          <w:sz w:val="24"/>
          <w:lang w:val="da-DK"/>
        </w:rPr>
        <w:tab/>
      </w:r>
      <w:r w:rsidR="004132B2" w:rsidRPr="00323E0C">
        <w:rPr>
          <w:color w:val="000000" w:themeColor="text1"/>
          <w:sz w:val="24"/>
          <w:lang w:val="da-DK"/>
        </w:rPr>
        <w:t>–</w:t>
      </w:r>
      <w:r w:rsidR="004132B2" w:rsidRPr="00323E0C">
        <w:rPr>
          <w:color w:val="000000" w:themeColor="text1"/>
          <w:sz w:val="24"/>
          <w:lang w:val="da-DK"/>
        </w:rPr>
        <w:tab/>
      </w:r>
      <w:r w:rsidR="004132B2" w:rsidRPr="00323E0C">
        <w:rPr>
          <w:sz w:val="24"/>
          <w:lang w:val="da-DK"/>
        </w:rPr>
        <w:t xml:space="preserve">Europa-Parlamentets beslutning af 12. februar 2025 om udkast til Kommissionens gennemførelsesafgørelse om tilladelse til markedsføring af produkter, der indeholder, består af eller er fremstillet af genetisk modificeret DP910521-majs, i henhold til Europa-Parlamentets og Rådets forordning (EF) nr. 1829/2003 (EUT C, C/2025/2246, 29.4.2025, ELI: </w:t>
      </w:r>
      <w:hyperlink r:id="rId11" w:tooltip="Giver adgang til dokumentet via dets ELI-URI." w:history="1">
        <w:r w:rsidR="004132B2" w:rsidRPr="00323E0C">
          <w:rPr>
            <w:rStyle w:val="Hyperlink"/>
            <w:sz w:val="24"/>
            <w:lang w:val="da-DK"/>
          </w:rPr>
          <w:t>http://data.europa.eu/eli/C/2025/2246/oj</w:t>
        </w:r>
      </w:hyperlink>
      <w:r w:rsidR="004132B2" w:rsidRPr="00323E0C">
        <w:rPr>
          <w:sz w:val="24"/>
          <w:lang w:val="da-DK"/>
        </w:rPr>
        <w:t>).</w:t>
      </w:r>
    </w:p>
    <w:p w14:paraId="1207FA79" w14:textId="5DE0255A" w:rsidR="004132B2" w:rsidRPr="00323E0C" w:rsidRDefault="00323E0C" w:rsidP="00323E0C">
      <w:pPr>
        <w:pStyle w:val="FootnoteText"/>
        <w:ind w:left="567" w:hanging="567"/>
        <w:rPr>
          <w:sz w:val="24"/>
          <w:vertAlign w:val="superscript"/>
          <w:lang w:val="da-DK"/>
        </w:rPr>
      </w:pPr>
      <w:r w:rsidRPr="00323E0C">
        <w:rPr>
          <w:sz w:val="24"/>
          <w:lang w:val="da-DK"/>
        </w:rPr>
        <w:t xml:space="preserve"> </w:t>
      </w:r>
      <w:r w:rsidRPr="00323E0C">
        <w:rPr>
          <w:sz w:val="24"/>
          <w:lang w:val="da-DK"/>
        </w:rPr>
        <w:tab/>
      </w:r>
      <w:r w:rsidR="004132B2" w:rsidRPr="00323E0C">
        <w:rPr>
          <w:sz w:val="24"/>
          <w:lang w:val="da-DK"/>
        </w:rPr>
        <w:t>–</w:t>
      </w:r>
      <w:r w:rsidR="004132B2" w:rsidRPr="00323E0C">
        <w:rPr>
          <w:sz w:val="24"/>
          <w:lang w:val="da-DK"/>
        </w:rPr>
        <w:tab/>
        <w:t xml:space="preserve">Europa-Parlamentets beslutning af 12. februar 2025 om udkast til Kommissionens gennemførelsesafgørelse om tilladelse til markedsføring af produkter, der indeholder, består af eller er fremstillet af genetisk modificeret MON 95275-majs, i henhold til Europa-Parlamentets og Rådets forordning (EF) nr. 1829/2003 (EUT C, C/2025/2247, 29.4.2025, ELI: </w:t>
      </w:r>
      <w:hyperlink r:id="rId12" w:tooltip="Giver adgang til dokumentet via dets ELI-URI." w:history="1">
        <w:r w:rsidR="004132B2" w:rsidRPr="00323E0C">
          <w:rPr>
            <w:rStyle w:val="Hyperlink"/>
            <w:sz w:val="24"/>
            <w:lang w:val="da-DK"/>
          </w:rPr>
          <w:t>http://data.europa.eu/eli/C/2025/2247/oj</w:t>
        </w:r>
      </w:hyperlink>
      <w:r w:rsidR="004132B2" w:rsidRPr="00323E0C">
        <w:rPr>
          <w:sz w:val="24"/>
          <w:lang w:val="da-DK"/>
        </w:rPr>
        <w:t>).</w:t>
      </w:r>
    </w:p>
    <w:p w14:paraId="5720A123" w14:textId="7B05D611" w:rsidR="004132B2" w:rsidRPr="00323E0C" w:rsidRDefault="00323E0C" w:rsidP="00323E0C">
      <w:pPr>
        <w:pStyle w:val="FootnoteText"/>
        <w:ind w:left="567" w:hanging="567"/>
        <w:rPr>
          <w:sz w:val="24"/>
          <w:vertAlign w:val="superscript"/>
          <w:lang w:val="da-DK"/>
        </w:rPr>
      </w:pPr>
      <w:r w:rsidRPr="00323E0C">
        <w:rPr>
          <w:sz w:val="24"/>
          <w:lang w:val="da-DK"/>
        </w:rPr>
        <w:t xml:space="preserve"> </w:t>
      </w:r>
      <w:r w:rsidRPr="00323E0C">
        <w:rPr>
          <w:sz w:val="24"/>
          <w:lang w:val="da-DK"/>
        </w:rPr>
        <w:tab/>
      </w:r>
      <w:r w:rsidR="004132B2" w:rsidRPr="00323E0C">
        <w:rPr>
          <w:sz w:val="24"/>
          <w:lang w:val="da-DK"/>
        </w:rPr>
        <w:t>–</w:t>
      </w:r>
      <w:r w:rsidR="004132B2" w:rsidRPr="00323E0C">
        <w:rPr>
          <w:sz w:val="24"/>
          <w:lang w:val="da-DK"/>
        </w:rPr>
        <w:tab/>
        <w:t>Europa-Parlamentets beslutning af 8. maj 2025 om udkast til Kommissionens gennemførelsesafgørelse om tilladelse til markedsføring af produkter, der indeholder, består af eller er fremstillet af den genetisk modificerede sojabønne MON 87705 × MON 87708 × MON 89788 i henhold til Europa-Parlamentets og Rådets forordning (EF) nr. 1829/2003 (P10_TA(2025)0106).</w:t>
      </w:r>
    </w:p>
    <w:p w14:paraId="19D2A9DD" w14:textId="29F24B5B" w:rsidR="004132B2" w:rsidRPr="00323E0C" w:rsidRDefault="00323E0C" w:rsidP="00323E0C">
      <w:pPr>
        <w:pStyle w:val="FootnoteText"/>
        <w:ind w:left="567" w:hanging="567"/>
        <w:rPr>
          <w:sz w:val="24"/>
          <w:vertAlign w:val="superscript"/>
          <w:lang w:val="da-DK"/>
        </w:rPr>
      </w:pPr>
      <w:r w:rsidRPr="00323E0C">
        <w:rPr>
          <w:sz w:val="24"/>
          <w:lang w:val="da-DK"/>
        </w:rPr>
        <w:t xml:space="preserve"> </w:t>
      </w:r>
      <w:r w:rsidRPr="00323E0C">
        <w:rPr>
          <w:sz w:val="24"/>
          <w:lang w:val="da-DK"/>
        </w:rPr>
        <w:tab/>
      </w:r>
      <w:r w:rsidR="004132B2" w:rsidRPr="00323E0C">
        <w:rPr>
          <w:sz w:val="24"/>
          <w:lang w:val="da-DK"/>
        </w:rPr>
        <w:t>–</w:t>
      </w:r>
      <w:r w:rsidR="004132B2" w:rsidRPr="00323E0C">
        <w:rPr>
          <w:sz w:val="24"/>
          <w:lang w:val="da-DK"/>
        </w:rPr>
        <w:tab/>
        <w:t>Europa-Parlamentets beslutning af 8. oktober 2025 om Kommissionens gennemførelsesafgørelse (EU) 2025/1898 af 22. september 2025 om tilladelse til markedsføring af produkter, der indeholder, består af eller er fremstillet af genetisk modificeret DP51291-majs, i henhold til Europa-Parlamentets og Rådets forordning (EF) nr. 1829/2003 (P10_TA(2025)0222).</w:t>
      </w:r>
    </w:p>
    <w:p w14:paraId="41CB3736" w14:textId="4F419B3A" w:rsidR="004132B2" w:rsidRPr="00323E0C" w:rsidRDefault="00323E0C" w:rsidP="00323E0C">
      <w:pPr>
        <w:pStyle w:val="FootnoteText"/>
        <w:ind w:left="567" w:hanging="567"/>
        <w:rPr>
          <w:sz w:val="24"/>
          <w:vertAlign w:val="superscript"/>
          <w:lang w:val="da-DK"/>
        </w:rPr>
      </w:pPr>
      <w:r w:rsidRPr="00323E0C">
        <w:rPr>
          <w:sz w:val="24"/>
          <w:lang w:val="da-DK"/>
        </w:rPr>
        <w:t xml:space="preserve"> </w:t>
      </w:r>
      <w:r w:rsidRPr="00323E0C">
        <w:rPr>
          <w:sz w:val="24"/>
          <w:lang w:val="da-DK"/>
        </w:rPr>
        <w:tab/>
      </w:r>
      <w:r w:rsidR="004132B2" w:rsidRPr="00323E0C">
        <w:rPr>
          <w:sz w:val="24"/>
          <w:lang w:val="da-DK"/>
        </w:rPr>
        <w:t>–</w:t>
      </w:r>
      <w:r w:rsidR="004132B2" w:rsidRPr="00323E0C">
        <w:rPr>
          <w:sz w:val="24"/>
          <w:lang w:val="da-DK"/>
        </w:rPr>
        <w:tab/>
        <w:t>Europa-Parlamentets beslutning af 25. november 2025 om udkast til Kommissionens gennemførelsesafgørelse om tilladelse til markedsføring af produkter, der indeholder, består af eller er fremstillet af genetisk modificeret DAS1131-majs, i henhold til Europa-Parlamentets og Rådets forordning (EF) nr. 1829/2003 (P10_TA(2025)0288).</w:t>
      </w:r>
    </w:p>
    <w:p w14:paraId="2C11E7BD" w14:textId="22ECF09D" w:rsidR="004132B2" w:rsidRPr="00323E0C" w:rsidRDefault="00323E0C" w:rsidP="00323E0C">
      <w:pPr>
        <w:pStyle w:val="FootnoteText"/>
        <w:ind w:left="567" w:hanging="567"/>
        <w:rPr>
          <w:sz w:val="24"/>
          <w:vertAlign w:val="superscript"/>
          <w:lang w:val="da-DK"/>
        </w:rPr>
      </w:pPr>
      <w:r w:rsidRPr="00323E0C">
        <w:rPr>
          <w:sz w:val="24"/>
          <w:lang w:val="da-DK"/>
        </w:rPr>
        <w:t xml:space="preserve"> </w:t>
      </w:r>
      <w:r w:rsidRPr="00323E0C">
        <w:rPr>
          <w:sz w:val="24"/>
          <w:lang w:val="da-DK"/>
        </w:rPr>
        <w:tab/>
      </w:r>
      <w:r w:rsidR="004132B2" w:rsidRPr="00323E0C">
        <w:rPr>
          <w:sz w:val="24"/>
          <w:lang w:val="da-DK"/>
        </w:rPr>
        <w:t>–</w:t>
      </w:r>
      <w:r w:rsidR="004132B2" w:rsidRPr="00323E0C">
        <w:rPr>
          <w:sz w:val="24"/>
          <w:lang w:val="da-DK"/>
        </w:rPr>
        <w:tab/>
        <w:t>Europa-Parlamentets beslutning af 25. november 2025 om udkast til Kommissionens gennemførelsesafgørelse om forlængelse af tilladelsen til markedsføring af produkter, der indeholder, består af eller er fremstillet af genetisk modificeret MON 88913-bomuld (MON-88913-8), i henhold til Europa-Parlamentets og Rådets forordning (EF) nr. 1829/2003 (P10_TA(2025)0289).</w:t>
      </w:r>
    </w:p>
    <w:p w14:paraId="45F3FE53" w14:textId="76D78A21" w:rsidR="004132B2" w:rsidRPr="00323E0C" w:rsidRDefault="00323E0C" w:rsidP="00323E0C">
      <w:pPr>
        <w:pStyle w:val="FootnoteText"/>
        <w:ind w:left="567" w:hanging="567"/>
        <w:rPr>
          <w:sz w:val="24"/>
          <w:vertAlign w:val="superscript"/>
          <w:lang w:val="da-DK"/>
        </w:rPr>
      </w:pPr>
      <w:r w:rsidRPr="00323E0C">
        <w:rPr>
          <w:sz w:val="24"/>
          <w:lang w:val="da-DK"/>
        </w:rPr>
        <w:t xml:space="preserve"> </w:t>
      </w:r>
      <w:r w:rsidRPr="00323E0C">
        <w:rPr>
          <w:sz w:val="24"/>
          <w:lang w:val="da-DK"/>
        </w:rPr>
        <w:tab/>
      </w:r>
      <w:r w:rsidR="004132B2" w:rsidRPr="00323E0C">
        <w:rPr>
          <w:sz w:val="24"/>
          <w:lang w:val="da-DK"/>
        </w:rPr>
        <w:t>–</w:t>
      </w:r>
      <w:r w:rsidR="004132B2" w:rsidRPr="00323E0C">
        <w:rPr>
          <w:sz w:val="24"/>
          <w:lang w:val="da-DK"/>
        </w:rPr>
        <w:tab/>
        <w:t>Europa-Parlamentets beslutning af 25. november 2025 om udkast til Kommissionens gennemførelsesafgørelse om forlængelse af tilladelsen til markedsføring af produkter, der indeholder, består af eller er fremstillet af genetisk modificeret MON 88302-raps i henhold til Europa-Parlamentets og Rådets forordning (EF) nr. 1829/2003 (P10_TA(2025)0290).</w:t>
      </w:r>
    </w:p>
    <w:p w14:paraId="3C7086A0" w14:textId="45DAFEB0" w:rsidR="004132B2" w:rsidRPr="00323E0C" w:rsidRDefault="00323E0C" w:rsidP="00323E0C">
      <w:pPr>
        <w:pStyle w:val="FootnoteText"/>
        <w:ind w:left="567" w:hanging="567"/>
        <w:rPr>
          <w:sz w:val="24"/>
          <w:vertAlign w:val="superscript"/>
          <w:lang w:val="da-DK"/>
        </w:rPr>
      </w:pPr>
      <w:r w:rsidRPr="00323E0C">
        <w:rPr>
          <w:sz w:val="24"/>
          <w:lang w:val="da-DK"/>
        </w:rPr>
        <w:t xml:space="preserve"> </w:t>
      </w:r>
      <w:r w:rsidRPr="00323E0C">
        <w:rPr>
          <w:sz w:val="24"/>
          <w:lang w:val="da-DK"/>
        </w:rPr>
        <w:tab/>
      </w:r>
      <w:r w:rsidR="004132B2" w:rsidRPr="00323E0C">
        <w:rPr>
          <w:sz w:val="24"/>
          <w:lang w:val="da-DK"/>
        </w:rPr>
        <w:t>–</w:t>
      </w:r>
      <w:r w:rsidR="004132B2" w:rsidRPr="00323E0C">
        <w:rPr>
          <w:sz w:val="24"/>
          <w:lang w:val="da-DK"/>
        </w:rPr>
        <w:tab/>
        <w:t>Europa-Parlamentets beslutning af 25. november 2025 om udkast til Kommissionens gennemførelsesafgørelse om forlængelse af tilladelsen til markedsføring af produkter, der indeholder, består af eller er fremstillet af genetisk modificeret MON 87708-sojabønne, i henhold til Europa-Parlamentets og Rådets forordning (EF) nr. 1829/2003 (P10_TA(2025)0291).</w:t>
      </w:r>
    </w:p>
    <w:p w14:paraId="43E9851C" w14:textId="7D697296" w:rsidR="004132B2" w:rsidRPr="00323E0C" w:rsidRDefault="00323E0C" w:rsidP="00323E0C">
      <w:pPr>
        <w:pStyle w:val="FootnoteText"/>
        <w:ind w:left="567" w:hanging="567"/>
        <w:rPr>
          <w:sz w:val="24"/>
          <w:lang w:val="da-DK"/>
        </w:rPr>
      </w:pPr>
      <w:r w:rsidRPr="00323E0C">
        <w:rPr>
          <w:sz w:val="24"/>
          <w:lang w:val="da-DK"/>
        </w:rPr>
        <w:t xml:space="preserve"> </w:t>
      </w:r>
      <w:r w:rsidRPr="00323E0C">
        <w:rPr>
          <w:sz w:val="24"/>
          <w:lang w:val="da-DK"/>
        </w:rPr>
        <w:tab/>
      </w:r>
      <w:r w:rsidR="004132B2" w:rsidRPr="00323E0C">
        <w:rPr>
          <w:sz w:val="24"/>
          <w:lang w:val="da-DK"/>
        </w:rPr>
        <w:t>–</w:t>
      </w:r>
      <w:r w:rsidR="004132B2" w:rsidRPr="00323E0C">
        <w:rPr>
          <w:sz w:val="24"/>
          <w:lang w:val="da-DK"/>
        </w:rPr>
        <w:tab/>
        <w:t>Europa-Parlamentets beslutning af 25. november 2025 om udkast til Kommissionens gennemførelsesafgørelse om forlængelse af tilladelsen til markedsføring af produkter, der indeholder, består af eller er fremstillet af genetisk modificeret MON 87427-majs, i henhold til Europa-Parlamentets og Rådets forordning (EF) nr. 1829/2003 (P10_TA(2025)0292).</w:t>
      </w:r>
    </w:p>
  </w:footnote>
  <w:footnote w:id="5">
    <w:p w14:paraId="70A46CF8" w14:textId="06924E1B" w:rsidR="004132B2" w:rsidRPr="00E0071D" w:rsidRDefault="004132B2" w:rsidP="00323E0C">
      <w:pPr>
        <w:pStyle w:val="FootnoteText"/>
        <w:ind w:left="567" w:hanging="567"/>
        <w:rPr>
          <w:sz w:val="24"/>
          <w:lang w:val="en-GB"/>
        </w:rPr>
      </w:pPr>
      <w:r w:rsidRPr="00323E0C">
        <w:rPr>
          <w:rStyle w:val="FootnoteReference"/>
          <w:sz w:val="24"/>
          <w:lang w:val="da-DK"/>
        </w:rPr>
        <w:footnoteRef/>
      </w:r>
      <w:r w:rsidR="00323E0C" w:rsidRPr="00E0071D">
        <w:rPr>
          <w:sz w:val="24"/>
          <w:shd w:val="clear" w:color="auto" w:fill="FFFFFF"/>
          <w:lang w:val="en-GB"/>
        </w:rPr>
        <w:t xml:space="preserve"> </w:t>
      </w:r>
      <w:r w:rsidR="00323E0C" w:rsidRPr="00E0071D">
        <w:rPr>
          <w:sz w:val="24"/>
          <w:shd w:val="clear" w:color="auto" w:fill="FFFFFF"/>
          <w:lang w:val="en-GB"/>
        </w:rPr>
        <w:tab/>
      </w:r>
      <w:r w:rsidRPr="00E0071D">
        <w:rPr>
          <w:sz w:val="24"/>
          <w:shd w:val="clear" w:color="auto" w:fill="FFFFFF"/>
          <w:lang w:val="en-GB"/>
        </w:rPr>
        <w:t xml:space="preserve">Se </w:t>
      </w:r>
      <w:proofErr w:type="spellStart"/>
      <w:r w:rsidRPr="00E0071D">
        <w:rPr>
          <w:sz w:val="24"/>
          <w:shd w:val="clear" w:color="auto" w:fill="FFFFFF"/>
          <w:lang w:val="en-GB"/>
        </w:rPr>
        <w:t>f.eks</w:t>
      </w:r>
      <w:proofErr w:type="spellEnd"/>
      <w:r w:rsidRPr="00E0071D">
        <w:rPr>
          <w:sz w:val="24"/>
          <w:shd w:val="clear" w:color="auto" w:fill="FFFFFF"/>
          <w:lang w:val="en-GB"/>
        </w:rPr>
        <w:t xml:space="preserve">. S., </w:t>
      </w:r>
      <w:r w:rsidRPr="00E0071D">
        <w:rPr>
          <w:i/>
          <w:iCs/>
          <w:sz w:val="24"/>
          <w:shd w:val="clear" w:color="auto" w:fill="FFFFFF"/>
          <w:lang w:val="en-GB"/>
        </w:rPr>
        <w:t>Genetically Modified Herbicide-Tolerant Crops, Weeds, and Herbicides: Overview and Impact</w:t>
      </w:r>
      <w:r w:rsidRPr="00E0071D">
        <w:rPr>
          <w:sz w:val="24"/>
          <w:shd w:val="clear" w:color="auto" w:fill="FFFFFF"/>
          <w:lang w:val="en-GB"/>
        </w:rPr>
        <w:t xml:space="preserve">, Environmental Management, </w:t>
      </w:r>
      <w:proofErr w:type="spellStart"/>
      <w:r w:rsidRPr="00E0071D">
        <w:rPr>
          <w:sz w:val="24"/>
          <w:shd w:val="clear" w:color="auto" w:fill="FFFFFF"/>
          <w:lang w:val="en-GB"/>
        </w:rPr>
        <w:t>januar</w:t>
      </w:r>
      <w:proofErr w:type="spellEnd"/>
      <w:r w:rsidRPr="00E0071D">
        <w:rPr>
          <w:sz w:val="24"/>
          <w:shd w:val="clear" w:color="auto" w:fill="FFFFFF"/>
          <w:lang w:val="en-GB"/>
        </w:rPr>
        <w:t xml:space="preserve"> 2016;57(1), s. 31-48</w:t>
      </w:r>
      <w:r w:rsidRPr="00E0071D">
        <w:rPr>
          <w:sz w:val="24"/>
          <w:lang w:val="en-GB"/>
        </w:rPr>
        <w:t xml:space="preserve">, </w:t>
      </w:r>
      <w:hyperlink r:id="rId13" w:history="1">
        <w:r w:rsidRPr="00E0071D">
          <w:rPr>
            <w:rStyle w:val="Hyperlink"/>
            <w:sz w:val="24"/>
            <w:shd w:val="clear" w:color="auto" w:fill="FFFFFF"/>
            <w:lang w:val="en-GB"/>
          </w:rPr>
          <w:t>https://doi.org/10.1007/s00267-015-0589-7</w:t>
        </w:r>
      </w:hyperlink>
      <w:r w:rsidRPr="00E0071D">
        <w:rPr>
          <w:sz w:val="24"/>
          <w:lang w:val="en-GB"/>
        </w:rPr>
        <w:t xml:space="preserve"> </w:t>
      </w:r>
      <w:proofErr w:type="spellStart"/>
      <w:r w:rsidRPr="00E0071D">
        <w:rPr>
          <w:sz w:val="24"/>
          <w:shd w:val="clear" w:color="auto" w:fill="FFFFFF"/>
          <w:lang w:val="en-GB"/>
        </w:rPr>
        <w:t>og</w:t>
      </w:r>
      <w:proofErr w:type="spellEnd"/>
      <w:r w:rsidRPr="00E0071D">
        <w:rPr>
          <w:sz w:val="24"/>
          <w:shd w:val="clear" w:color="auto" w:fill="FFFFFF"/>
          <w:lang w:val="en-GB"/>
        </w:rPr>
        <w:t xml:space="preserve"> Benbrook, C.M., </w:t>
      </w:r>
      <w:r w:rsidRPr="00E0071D">
        <w:rPr>
          <w:i/>
          <w:iCs/>
          <w:sz w:val="24"/>
          <w:shd w:val="clear" w:color="auto" w:fill="FFFFFF"/>
          <w:lang w:val="en-GB"/>
        </w:rPr>
        <w:t>Impacts of genetically engineered crops on pesticide use in the U.S. – the first sixteen years</w:t>
      </w:r>
      <w:r w:rsidRPr="00E0071D">
        <w:rPr>
          <w:sz w:val="24"/>
          <w:shd w:val="clear" w:color="auto" w:fill="FFFFFF"/>
          <w:lang w:val="en-GB"/>
        </w:rPr>
        <w:t xml:space="preserve">, Environmental Sciences Europe; </w:t>
      </w:r>
      <w:r w:rsidR="00690F9F">
        <w:rPr>
          <w:sz w:val="24"/>
          <w:shd w:val="clear" w:color="auto" w:fill="FFFFFF"/>
          <w:lang w:val="en-GB"/>
        </w:rPr>
        <w:t xml:space="preserve">den </w:t>
      </w:r>
      <w:r w:rsidRPr="00E0071D">
        <w:rPr>
          <w:sz w:val="24"/>
          <w:shd w:val="clear" w:color="auto" w:fill="FFFFFF"/>
          <w:lang w:val="en-GB"/>
        </w:rPr>
        <w:t>28</w:t>
      </w:r>
      <w:r w:rsidR="00690F9F">
        <w:rPr>
          <w:sz w:val="24"/>
          <w:shd w:val="clear" w:color="auto" w:fill="FFFFFF"/>
          <w:lang w:val="en-GB"/>
        </w:rPr>
        <w:t>.</w:t>
      </w:r>
      <w:r w:rsidRPr="00E0071D">
        <w:rPr>
          <w:sz w:val="24"/>
          <w:shd w:val="clear" w:color="auto" w:fill="FFFFFF"/>
          <w:lang w:val="en-GB"/>
        </w:rPr>
        <w:t xml:space="preserve"> </w:t>
      </w:r>
      <w:r w:rsidR="00690F9F">
        <w:rPr>
          <w:sz w:val="24"/>
          <w:shd w:val="clear" w:color="auto" w:fill="FFFFFF"/>
          <w:lang w:val="en-GB"/>
        </w:rPr>
        <w:t>s</w:t>
      </w:r>
      <w:r w:rsidRPr="00E0071D">
        <w:rPr>
          <w:sz w:val="24"/>
          <w:shd w:val="clear" w:color="auto" w:fill="FFFFFF"/>
          <w:lang w:val="en-GB"/>
        </w:rPr>
        <w:t>eptember 2012, Vol. 24(1)</w:t>
      </w:r>
      <w:r w:rsidRPr="00E0071D">
        <w:rPr>
          <w:sz w:val="24"/>
          <w:lang w:val="en-GB"/>
        </w:rPr>
        <w:t xml:space="preserve">, </w:t>
      </w:r>
      <w:hyperlink r:id="rId14" w:history="1">
        <w:r w:rsidRPr="00E0071D">
          <w:rPr>
            <w:rStyle w:val="Hyperlink"/>
            <w:sz w:val="24"/>
            <w:lang w:val="en-GB"/>
          </w:rPr>
          <w:t>https://doi.org/10.1186/2190-4715-24-24</w:t>
        </w:r>
      </w:hyperlink>
      <w:r w:rsidRPr="00E0071D">
        <w:rPr>
          <w:rStyle w:val="Hyperlink"/>
          <w:sz w:val="24"/>
          <w:shd w:val="clear" w:color="auto" w:fill="FFFFFF"/>
          <w:lang w:val="en-GB"/>
        </w:rPr>
        <w:t>.</w:t>
      </w:r>
    </w:p>
  </w:footnote>
  <w:footnote w:id="6">
    <w:p w14:paraId="545FE604" w14:textId="32FE717A" w:rsidR="004132B2" w:rsidRPr="00323E0C" w:rsidRDefault="004132B2" w:rsidP="00323E0C">
      <w:pPr>
        <w:pStyle w:val="FootnoteText"/>
        <w:ind w:left="567" w:hanging="567"/>
        <w:rPr>
          <w:sz w:val="24"/>
          <w:lang w:val="da-DK"/>
        </w:rPr>
      </w:pPr>
      <w:r w:rsidRPr="00323E0C">
        <w:rPr>
          <w:rStyle w:val="FootnoteReference"/>
          <w:sz w:val="24"/>
          <w:lang w:val="da-DK"/>
        </w:rPr>
        <w:footnoteRef/>
      </w:r>
      <w:r w:rsidR="00323E0C" w:rsidRPr="00323E0C">
        <w:rPr>
          <w:sz w:val="24"/>
          <w:lang w:val="da-DK"/>
        </w:rPr>
        <w:t xml:space="preserve"> </w:t>
      </w:r>
      <w:r w:rsidR="00323E0C" w:rsidRPr="00323E0C">
        <w:rPr>
          <w:sz w:val="24"/>
          <w:lang w:val="da-DK"/>
        </w:rPr>
        <w:tab/>
      </w:r>
      <w:r w:rsidRPr="00323E0C">
        <w:rPr>
          <w:sz w:val="24"/>
          <w:lang w:val="da-DK"/>
        </w:rPr>
        <w:t xml:space="preserve">Se f.eks.: </w:t>
      </w:r>
      <w:hyperlink r:id="rId15" w:history="1">
        <w:r w:rsidRPr="00323E0C">
          <w:rPr>
            <w:rStyle w:val="Hyperlink"/>
            <w:sz w:val="24"/>
            <w:lang w:val="da-DK"/>
          </w:rPr>
          <w:t>https://doi.org/10.1002/ps.8105</w:t>
        </w:r>
      </w:hyperlink>
      <w:r w:rsidRPr="00323E0C">
        <w:rPr>
          <w:sz w:val="24"/>
          <w:lang w:val="da-DK"/>
        </w:rPr>
        <w:t>,</w:t>
      </w:r>
      <w:r w:rsidR="00323E0C" w:rsidRPr="00323E0C">
        <w:rPr>
          <w:sz w:val="24"/>
          <w:lang w:val="da-DK"/>
        </w:rPr>
        <w:t xml:space="preserve"> </w:t>
      </w:r>
      <w:hyperlink r:id="rId16" w:tgtFrame="_blank" w:tooltip="Persistent link using digital object identifier" w:history="1">
        <w:r w:rsidRPr="00323E0C">
          <w:rPr>
            <w:rStyle w:val="Hyperlink"/>
            <w:sz w:val="24"/>
            <w:lang w:val="da-DK"/>
          </w:rPr>
          <w:t>https://doi.org/10.1016/j.geoforum.2009.03.009</w:t>
        </w:r>
      </w:hyperlink>
      <w:r w:rsidRPr="00323E0C">
        <w:rPr>
          <w:sz w:val="24"/>
          <w:lang w:val="da-DK"/>
        </w:rPr>
        <w:t>.</w:t>
      </w:r>
    </w:p>
  </w:footnote>
  <w:footnote w:id="7">
    <w:p w14:paraId="7E07FFCA" w14:textId="1F4FA705" w:rsidR="004132B2" w:rsidRPr="00323E0C" w:rsidRDefault="004132B2" w:rsidP="00323E0C">
      <w:pPr>
        <w:pStyle w:val="FootnoteText"/>
        <w:ind w:left="567" w:hanging="567"/>
        <w:rPr>
          <w:sz w:val="24"/>
          <w:lang w:val="da-DK"/>
        </w:rPr>
      </w:pPr>
      <w:r w:rsidRPr="00323E0C">
        <w:rPr>
          <w:rStyle w:val="FootnoteReference"/>
          <w:sz w:val="24"/>
          <w:lang w:val="da-DK"/>
        </w:rPr>
        <w:footnoteRef/>
      </w:r>
      <w:r w:rsidR="00323E0C" w:rsidRPr="00323E0C">
        <w:rPr>
          <w:sz w:val="24"/>
          <w:lang w:val="da-DK"/>
        </w:rPr>
        <w:t xml:space="preserve"> </w:t>
      </w:r>
      <w:r w:rsidR="00323E0C" w:rsidRPr="00323E0C">
        <w:rPr>
          <w:sz w:val="24"/>
          <w:lang w:val="da-DK"/>
        </w:rPr>
        <w:tab/>
      </w:r>
      <w:r w:rsidRPr="00323E0C">
        <w:rPr>
          <w:sz w:val="24"/>
          <w:lang w:val="da-DK"/>
        </w:rPr>
        <w:t>Se f.eks.:</w:t>
      </w:r>
      <w:r w:rsidRPr="00323E0C">
        <w:rPr>
          <w:sz w:val="24"/>
          <w:lang w:val="da-DK"/>
        </w:rPr>
        <w:br/>
      </w:r>
      <w:hyperlink r:id="rId17" w:tgtFrame="_blank" w:tooltip="Persistent link using digital object identifier" w:history="1">
        <w:r w:rsidRPr="00323E0C">
          <w:rPr>
            <w:rStyle w:val="Hyperlink"/>
            <w:sz w:val="24"/>
            <w:lang w:val="da-DK"/>
          </w:rPr>
          <w:t>https://doi.org/10.1016/j.mrrev.2019.02.001</w:t>
        </w:r>
      </w:hyperlink>
      <w:r w:rsidRPr="00323E0C">
        <w:rPr>
          <w:sz w:val="24"/>
          <w:lang w:val="da-DK"/>
        </w:rPr>
        <w:t>,</w:t>
      </w:r>
      <w:r w:rsidRPr="00323E0C">
        <w:rPr>
          <w:sz w:val="24"/>
          <w:lang w:val="da-DK"/>
        </w:rPr>
        <w:br/>
      </w:r>
      <w:hyperlink r:id="rId18" w:history="1">
        <w:r w:rsidRPr="00323E0C">
          <w:rPr>
            <w:rStyle w:val="Hyperlink"/>
            <w:sz w:val="24"/>
            <w:lang w:val="da-DK"/>
          </w:rPr>
          <w:t>https://doi.org/10.1093/ije/dyz017</w:t>
        </w:r>
      </w:hyperlink>
      <w:r w:rsidRPr="00323E0C">
        <w:rPr>
          <w:sz w:val="24"/>
          <w:lang w:val="da-DK"/>
        </w:rPr>
        <w:t>,</w:t>
      </w:r>
      <w:r w:rsidRPr="00323E0C">
        <w:rPr>
          <w:sz w:val="24"/>
          <w:lang w:val="da-DK"/>
        </w:rPr>
        <w:br/>
      </w:r>
      <w:hyperlink r:id="rId19" w:history="1">
        <w:r w:rsidRPr="00323E0C">
          <w:rPr>
            <w:rStyle w:val="Hyperlink"/>
            <w:sz w:val="24"/>
            <w:lang w:val="da-DK"/>
          </w:rPr>
          <w:t>https://doi.org/10.1371/journal.pone.0219610</w:t>
        </w:r>
      </w:hyperlink>
      <w:r w:rsidRPr="00323E0C">
        <w:rPr>
          <w:sz w:val="24"/>
          <w:lang w:val="da-DK"/>
        </w:rPr>
        <w:t xml:space="preserve"> og</w:t>
      </w:r>
      <w:r w:rsidRPr="00323E0C">
        <w:rPr>
          <w:sz w:val="24"/>
          <w:lang w:val="da-DK"/>
        </w:rPr>
        <w:br/>
      </w:r>
      <w:hyperlink r:id="rId20" w:history="1">
        <w:r w:rsidRPr="00323E0C">
          <w:rPr>
            <w:rStyle w:val="Hyperlink"/>
            <w:sz w:val="24"/>
            <w:lang w:val="da-DK"/>
          </w:rPr>
          <w:t>https://doi.org/10.1186/s13045-019-0767-9</w:t>
        </w:r>
      </w:hyperlink>
      <w:r w:rsidRPr="00323E0C">
        <w:rPr>
          <w:sz w:val="24"/>
          <w:lang w:val="da-DK"/>
        </w:rPr>
        <w:t>.</w:t>
      </w:r>
    </w:p>
  </w:footnote>
  <w:footnote w:id="8">
    <w:p w14:paraId="13ECEE82" w14:textId="6DFB5139" w:rsidR="004132B2" w:rsidRPr="00323E0C" w:rsidRDefault="004132B2" w:rsidP="00323E0C">
      <w:pPr>
        <w:pStyle w:val="FootnoteText"/>
        <w:ind w:left="567" w:hanging="567"/>
        <w:rPr>
          <w:sz w:val="24"/>
          <w:lang w:val="da-DK"/>
        </w:rPr>
      </w:pPr>
      <w:r w:rsidRPr="00323E0C">
        <w:rPr>
          <w:rStyle w:val="FootnoteReference"/>
          <w:sz w:val="24"/>
          <w:lang w:val="da-DK"/>
        </w:rPr>
        <w:footnoteRef/>
      </w:r>
      <w:r w:rsidR="00323E0C" w:rsidRPr="00323E0C">
        <w:rPr>
          <w:sz w:val="24"/>
          <w:lang w:val="da-DK"/>
        </w:rPr>
        <w:t xml:space="preserve"> </w:t>
      </w:r>
      <w:r w:rsidR="00323E0C" w:rsidRPr="00323E0C">
        <w:rPr>
          <w:sz w:val="24"/>
          <w:lang w:val="da-DK"/>
        </w:rPr>
        <w:tab/>
      </w:r>
      <w:r w:rsidRPr="00323E0C">
        <w:rPr>
          <w:sz w:val="24"/>
          <w:lang w:val="da-DK"/>
        </w:rPr>
        <w:t xml:space="preserve">Europa-Parlamentets og Rådets forordning (EF) nr. 1107/2009 af 21. oktober 2009 om markedsføring af plantebeskyttelsesmidler og om ophævelse af Rådets direktiv 79/117/EØF og 91/414/EØF (EUT L 309 af 24.11.2009, s. 1 ELI: </w:t>
      </w:r>
      <w:hyperlink r:id="rId21" w:tooltip="Giver adgang til dokumentet via dets ELI-URI." w:history="1">
        <w:r w:rsidRPr="00323E0C">
          <w:rPr>
            <w:rStyle w:val="Hyperlink"/>
            <w:sz w:val="24"/>
            <w:lang w:val="da-DK"/>
          </w:rPr>
          <w:t>http://data.europa.eu/eli/reg/2009/1107/oj</w:t>
        </w:r>
      </w:hyperlink>
      <w:r w:rsidRPr="00323E0C">
        <w:rPr>
          <w:sz w:val="24"/>
          <w:lang w:val="da-DK"/>
        </w:rPr>
        <w:t>).</w:t>
      </w:r>
    </w:p>
  </w:footnote>
  <w:footnote w:id="9">
    <w:p w14:paraId="0386AA1A" w14:textId="74D2E31A" w:rsidR="004132B2" w:rsidRPr="00323E0C" w:rsidRDefault="004132B2" w:rsidP="00323E0C">
      <w:pPr>
        <w:pStyle w:val="FootnoteText"/>
        <w:ind w:left="567" w:hanging="567"/>
        <w:rPr>
          <w:sz w:val="24"/>
          <w:lang w:val="da-DK"/>
        </w:rPr>
      </w:pPr>
      <w:r w:rsidRPr="00323E0C">
        <w:rPr>
          <w:rStyle w:val="FootnoteReference"/>
          <w:sz w:val="24"/>
          <w:lang w:val="da-DK"/>
        </w:rPr>
        <w:footnoteRef/>
      </w:r>
      <w:r w:rsidR="00323E0C" w:rsidRPr="00323E0C">
        <w:rPr>
          <w:sz w:val="24"/>
          <w:lang w:val="da-DK"/>
        </w:rPr>
        <w:t xml:space="preserve"> </w:t>
      </w:r>
      <w:r w:rsidR="00323E0C" w:rsidRPr="00323E0C">
        <w:rPr>
          <w:sz w:val="24"/>
          <w:lang w:val="da-DK"/>
        </w:rPr>
        <w:tab/>
      </w:r>
      <w:r w:rsidRPr="00323E0C">
        <w:rPr>
          <w:sz w:val="24"/>
          <w:lang w:val="da-DK"/>
        </w:rPr>
        <w:t xml:space="preserve">Der blev på COP15 i december 2022 vedtaget en global ramme for biodiversitet under De Forenede Nationers konvention om den biologiske mangfoldighed, som omfatter et globalt mål om at reducere risikoen ved pesticider med mindst 50 % inden 2030 (se: </w:t>
      </w:r>
      <w:r w:rsidRPr="00323E0C">
        <w:rPr>
          <w:color w:val="000000" w:themeColor="text1"/>
          <w:sz w:val="24"/>
          <w:lang w:val="da-DK"/>
        </w:rPr>
        <w:t xml:space="preserve"> </w:t>
      </w:r>
      <w:hyperlink r:id="rId22" w:history="1">
        <w:r w:rsidRPr="00323E0C">
          <w:rPr>
            <w:rStyle w:val="Hyperlink"/>
            <w:sz w:val="24"/>
            <w:lang w:val="da-DK"/>
          </w:rPr>
          <w:t>https://ec.europa.eu/commission/presscorner/detail/en/ip_22_7834</w:t>
        </w:r>
      </w:hyperlink>
      <w:r w:rsidRPr="00323E0C">
        <w:rPr>
          <w:sz w:val="24"/>
          <w:lang w:val="da-DK"/>
        </w:rPr>
        <w:t xml:space="preserve">) </w:t>
      </w:r>
    </w:p>
  </w:footnote>
  <w:footnote w:id="10">
    <w:p w14:paraId="603855C0" w14:textId="3772A082" w:rsidR="004132B2" w:rsidRPr="00323E0C" w:rsidRDefault="004132B2" w:rsidP="00323E0C">
      <w:pPr>
        <w:pStyle w:val="FootnoteText"/>
        <w:ind w:left="567" w:hanging="567"/>
        <w:rPr>
          <w:sz w:val="24"/>
          <w:lang w:val="da-DK"/>
        </w:rPr>
      </w:pPr>
      <w:r w:rsidRPr="00323E0C">
        <w:rPr>
          <w:rStyle w:val="FootnoteReference"/>
          <w:sz w:val="24"/>
          <w:lang w:val="da-DK"/>
        </w:rPr>
        <w:footnoteRef/>
      </w:r>
      <w:r w:rsidR="00323E0C" w:rsidRPr="00323E0C">
        <w:rPr>
          <w:sz w:val="24"/>
          <w:lang w:val="da-DK"/>
        </w:rPr>
        <w:t xml:space="preserve"> </w:t>
      </w:r>
      <w:r w:rsidR="00323E0C" w:rsidRPr="00323E0C">
        <w:rPr>
          <w:sz w:val="24"/>
          <w:lang w:val="da-DK"/>
        </w:rPr>
        <w:tab/>
      </w:r>
      <w:hyperlink r:id="rId23" w:history="1">
        <w:r w:rsidRPr="00323E0C">
          <w:rPr>
            <w:rStyle w:val="Hyperlink"/>
            <w:sz w:val="24"/>
            <w:lang w:val="da-DK"/>
          </w:rPr>
          <w:t>https://commission.europa.eu/topics/agriculture-and-rural-development/strategic-dialogue-future-eu-agriculture_da</w:t>
        </w:r>
      </w:hyperlink>
      <w:r w:rsidRPr="00323E0C">
        <w:rPr>
          <w:sz w:val="24"/>
          <w:lang w:val="da-DK"/>
        </w:rPr>
        <w:t xml:space="preserve"> </w:t>
      </w:r>
    </w:p>
  </w:footnote>
  <w:footnote w:id="11">
    <w:p w14:paraId="6C3E8A54" w14:textId="49A614B4" w:rsidR="004132B2" w:rsidRPr="00323E0C" w:rsidRDefault="004132B2" w:rsidP="00323E0C">
      <w:pPr>
        <w:pStyle w:val="FootnoteText"/>
        <w:ind w:left="567" w:hanging="567"/>
        <w:rPr>
          <w:sz w:val="24"/>
          <w:lang w:val="da-DK"/>
        </w:rPr>
      </w:pPr>
      <w:r w:rsidRPr="00323E0C">
        <w:rPr>
          <w:rStyle w:val="FootnoteReference"/>
          <w:sz w:val="24"/>
          <w:lang w:val="da-DK"/>
        </w:rPr>
        <w:footnoteRef/>
      </w:r>
      <w:r w:rsidR="00323E0C" w:rsidRPr="00323E0C">
        <w:rPr>
          <w:sz w:val="24"/>
          <w:lang w:val="da-DK"/>
        </w:rPr>
        <w:t xml:space="preserve"> </w:t>
      </w:r>
      <w:r w:rsidR="00323E0C" w:rsidRPr="00323E0C">
        <w:rPr>
          <w:sz w:val="24"/>
          <w:lang w:val="da-DK"/>
        </w:rPr>
        <w:tab/>
      </w:r>
      <w:r w:rsidRPr="00323E0C">
        <w:rPr>
          <w:sz w:val="24"/>
          <w:lang w:val="da-DK"/>
        </w:rPr>
        <w:t>Europa-Parlamentets og Rådets forordning (EF) nr. 178/2002 af 28. januar 2002 om generelle principper og krav i fødevarelovgivningen, om oprettelse af Den Europæiske Fødevaresikkerhedsautoritet og om procedurer vedrørende fødevaresikkerhed (EFT L 31 af 1.2.2002, s. 1, ELI: </w:t>
      </w:r>
      <w:hyperlink r:id="rId24" w:tgtFrame="Gives%20access%20to%20this%20document%20through%20its%20ELI%20URI." w:history="1">
        <w:r w:rsidRPr="00323E0C">
          <w:rPr>
            <w:rStyle w:val="Hyperlink"/>
            <w:sz w:val="24"/>
            <w:lang w:val="da-DK"/>
          </w:rPr>
          <w:t>http://data.europa.eu/eli/reg/2002/178/oj</w:t>
        </w:r>
      </w:hyperlink>
      <w:r w:rsidRPr="00323E0C">
        <w:rPr>
          <w:sz w:val="24"/>
          <w:lang w:val="da-D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10B46F" w14:textId="77777777" w:rsidR="00064002" w:rsidRPr="00323E0C"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B1A548" w14:textId="77777777" w:rsidR="00064002" w:rsidRPr="00323E0C"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7888CE" w14:textId="77777777" w:rsidR="00064002" w:rsidRPr="00323E0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87663230">
    <w:abstractNumId w:val="9"/>
  </w:num>
  <w:num w:numId="2" w16cid:durableId="2058509129">
    <w:abstractNumId w:val="9"/>
  </w:num>
  <w:num w:numId="3" w16cid:durableId="1023358585">
    <w:abstractNumId w:val="7"/>
  </w:num>
  <w:num w:numId="4" w16cid:durableId="1429276208">
    <w:abstractNumId w:val="7"/>
  </w:num>
  <w:num w:numId="5" w16cid:durableId="1631091011">
    <w:abstractNumId w:val="6"/>
  </w:num>
  <w:num w:numId="6" w16cid:durableId="1661348917">
    <w:abstractNumId w:val="6"/>
  </w:num>
  <w:num w:numId="7" w16cid:durableId="1058745744">
    <w:abstractNumId w:val="5"/>
  </w:num>
  <w:num w:numId="8" w16cid:durableId="265308097">
    <w:abstractNumId w:val="5"/>
  </w:num>
  <w:num w:numId="9" w16cid:durableId="498814180">
    <w:abstractNumId w:val="4"/>
  </w:num>
  <w:num w:numId="10" w16cid:durableId="1107579065">
    <w:abstractNumId w:val="4"/>
  </w:num>
  <w:num w:numId="11" w16cid:durableId="1142505659">
    <w:abstractNumId w:val="8"/>
  </w:num>
  <w:num w:numId="12" w16cid:durableId="16195730">
    <w:abstractNumId w:val="8"/>
  </w:num>
  <w:num w:numId="13" w16cid:durableId="99186033">
    <w:abstractNumId w:val="3"/>
  </w:num>
  <w:num w:numId="14" w16cid:durableId="2049521720">
    <w:abstractNumId w:val="3"/>
  </w:num>
  <w:num w:numId="15" w16cid:durableId="1701055756">
    <w:abstractNumId w:val="2"/>
  </w:num>
  <w:num w:numId="16" w16cid:durableId="1227455966">
    <w:abstractNumId w:val="2"/>
  </w:num>
  <w:num w:numId="17" w16cid:durableId="841091716">
    <w:abstractNumId w:val="1"/>
  </w:num>
  <w:num w:numId="18" w16cid:durableId="942758887">
    <w:abstractNumId w:val="1"/>
  </w:num>
  <w:num w:numId="19" w16cid:durableId="1909880596">
    <w:abstractNumId w:val="0"/>
  </w:num>
  <w:num w:numId="20" w16cid:durableId="223806171">
    <w:abstractNumId w:val="0"/>
  </w:num>
  <w:num w:numId="21" w16cid:durableId="2077897584">
    <w:abstractNumId w:val="9"/>
  </w:num>
  <w:num w:numId="22" w16cid:durableId="571476336">
    <w:abstractNumId w:val="7"/>
  </w:num>
  <w:num w:numId="23" w16cid:durableId="862207693">
    <w:abstractNumId w:val="6"/>
  </w:num>
  <w:num w:numId="24" w16cid:durableId="2146003911">
    <w:abstractNumId w:val="5"/>
  </w:num>
  <w:num w:numId="25" w16cid:durableId="1976257364">
    <w:abstractNumId w:val="4"/>
  </w:num>
  <w:num w:numId="26" w16cid:durableId="1829906560">
    <w:abstractNumId w:val="8"/>
  </w:num>
  <w:num w:numId="27" w16cid:durableId="1063722579">
    <w:abstractNumId w:val="3"/>
  </w:num>
  <w:num w:numId="28" w16cid:durableId="585453811">
    <w:abstractNumId w:val="2"/>
  </w:num>
  <w:num w:numId="29" w16cid:durableId="927617141">
    <w:abstractNumId w:val="1"/>
  </w:num>
  <w:num w:numId="30" w16cid:durableId="1718313187">
    <w:abstractNumId w:val="0"/>
  </w:num>
  <w:num w:numId="31" w16cid:durableId="705329448">
    <w:abstractNumId w:val="9"/>
  </w:num>
  <w:num w:numId="32" w16cid:durableId="822041710">
    <w:abstractNumId w:val="7"/>
  </w:num>
  <w:num w:numId="33" w16cid:durableId="2016034640">
    <w:abstractNumId w:val="6"/>
  </w:num>
  <w:num w:numId="34" w16cid:durableId="392504936">
    <w:abstractNumId w:val="5"/>
  </w:num>
  <w:num w:numId="35" w16cid:durableId="1328047920">
    <w:abstractNumId w:val="4"/>
  </w:num>
  <w:num w:numId="36" w16cid:durableId="1626227518">
    <w:abstractNumId w:val="8"/>
  </w:num>
  <w:num w:numId="37" w16cid:durableId="2129348116">
    <w:abstractNumId w:val="3"/>
  </w:num>
  <w:num w:numId="38" w16cid:durableId="1876653093">
    <w:abstractNumId w:val="2"/>
  </w:num>
  <w:num w:numId="39" w16cid:durableId="543368636">
    <w:abstractNumId w:val="1"/>
  </w:num>
  <w:num w:numId="40" w16cid:durableId="888145463">
    <w:abstractNumId w:val="0"/>
  </w:num>
  <w:num w:numId="41" w16cid:durableId="342711585">
    <w:abstractNumId w:val="10"/>
  </w:num>
  <w:num w:numId="42" w16cid:durableId="1598445636">
    <w:abstractNumId w:val="10"/>
  </w:num>
  <w:num w:numId="43" w16cid:durableId="1042486357">
    <w:abstractNumId w:val="10"/>
  </w:num>
  <w:num w:numId="44" w16cid:durableId="157982813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559/2025"/>
    <w:docVar w:name="dvlangue" w:val="DA"/>
    <w:docVar w:name="dvnumam" w:val="0"/>
    <w:docVar w:name="dvpe" w:val="779.398"/>
    <w:docVar w:name="dvtitre" w:val="Europa-Parlamentets beslutning af xx.xx 2025 om udkast til Kommissionens gennemførelsesafgørelse om tilladelse til markedsføring af fødevarer, fødevareingredienser og foderstoffer, der er fremstillet af genetisk modificeret KWS20-1-sukkerroe, i henhold til Europa-Parlamentets og Rådets forordning (EF) nr. 1829/2003(D110122/02 – 2025/2959(RSP))"/>
  </w:docVars>
  <w:rsids>
    <w:rsidRoot w:val="00F034E9"/>
    <w:rsid w:val="00002272"/>
    <w:rsid w:val="00064002"/>
    <w:rsid w:val="000677B9"/>
    <w:rsid w:val="000831BA"/>
    <w:rsid w:val="000A42CC"/>
    <w:rsid w:val="000E7DD9"/>
    <w:rsid w:val="0010095E"/>
    <w:rsid w:val="00125B37"/>
    <w:rsid w:val="00187494"/>
    <w:rsid w:val="001F32AE"/>
    <w:rsid w:val="002767FF"/>
    <w:rsid w:val="002B18FE"/>
    <w:rsid w:val="002B5493"/>
    <w:rsid w:val="00321F45"/>
    <w:rsid w:val="00323E0C"/>
    <w:rsid w:val="00343214"/>
    <w:rsid w:val="00361C00"/>
    <w:rsid w:val="00367165"/>
    <w:rsid w:val="00395FA1"/>
    <w:rsid w:val="003E15D4"/>
    <w:rsid w:val="00411CCE"/>
    <w:rsid w:val="004132B2"/>
    <w:rsid w:val="0041666E"/>
    <w:rsid w:val="00421060"/>
    <w:rsid w:val="00471C19"/>
    <w:rsid w:val="004867E3"/>
    <w:rsid w:val="00494A28"/>
    <w:rsid w:val="004C0004"/>
    <w:rsid w:val="004C5D52"/>
    <w:rsid w:val="0050519A"/>
    <w:rsid w:val="005072A1"/>
    <w:rsid w:val="00514517"/>
    <w:rsid w:val="00545827"/>
    <w:rsid w:val="00560270"/>
    <w:rsid w:val="00574916"/>
    <w:rsid w:val="005C2568"/>
    <w:rsid w:val="005F1B17"/>
    <w:rsid w:val="006037C0"/>
    <w:rsid w:val="006631B6"/>
    <w:rsid w:val="00680577"/>
    <w:rsid w:val="00690F9F"/>
    <w:rsid w:val="006A72E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56CCA"/>
    <w:rsid w:val="00981893"/>
    <w:rsid w:val="00A1687D"/>
    <w:rsid w:val="00A43E52"/>
    <w:rsid w:val="00A4678D"/>
    <w:rsid w:val="00A61959"/>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0071D"/>
    <w:rsid w:val="00E365E1"/>
    <w:rsid w:val="00E820A4"/>
    <w:rsid w:val="00EB006A"/>
    <w:rsid w:val="00EB4772"/>
    <w:rsid w:val="00ED169E"/>
    <w:rsid w:val="00ED4235"/>
    <w:rsid w:val="00F034E9"/>
    <w:rsid w:val="00F04346"/>
    <w:rsid w:val="00F075DC"/>
    <w:rsid w:val="00F149E9"/>
    <w:rsid w:val="00F5134D"/>
    <w:rsid w:val="00F74202"/>
    <w:rsid w:val="00F87713"/>
    <w:rsid w:val="00FB4360"/>
    <w:rsid w:val="00FD0C70"/>
    <w:rsid w:val="00FD25D4"/>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10261BC"/>
  <w15:chartTrackingRefBased/>
  <w15:docId w15:val="{732D84BC-7240-4BC3-B080-BC218E7C56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uiPriority w:val="99"/>
    <w:rsid w:val="004132B2"/>
    <w:pPr>
      <w:spacing w:before="480" w:after="240"/>
    </w:pPr>
  </w:style>
  <w:style w:type="paragraph" w:customStyle="1" w:styleId="NormalHanging12a">
    <w:name w:val="NormalHanging12a"/>
    <w:basedOn w:val="Normal"/>
    <w:uiPriority w:val="99"/>
    <w:qFormat/>
    <w:rsid w:val="004132B2"/>
    <w:pPr>
      <w:spacing w:after="240"/>
      <w:ind w:left="567" w:hanging="567"/>
    </w:pPr>
  </w:style>
  <w:style w:type="paragraph" w:customStyle="1" w:styleId="NormalBold">
    <w:name w:val="NormalBold"/>
    <w:basedOn w:val="Normal"/>
    <w:uiPriority w:val="99"/>
    <w:rsid w:val="004132B2"/>
    <w:rPr>
      <w:b/>
    </w:rPr>
  </w:style>
  <w:style w:type="character" w:styleId="Hyperlink">
    <w:name w:val="Hyperlink"/>
    <w:basedOn w:val="DefaultParagraphFont"/>
    <w:uiPriority w:val="99"/>
    <w:rsid w:val="004132B2"/>
    <w:rPr>
      <w:color w:val="0563C1" w:themeColor="hyperlink"/>
      <w:u w:val="single"/>
    </w:rPr>
  </w:style>
  <w:style w:type="paragraph" w:styleId="NormalWeb">
    <w:name w:val="Normal (Web)"/>
    <w:basedOn w:val="Normal"/>
    <w:uiPriority w:val="99"/>
    <w:unhideWhenUsed/>
    <w:rsid w:val="004132B2"/>
    <w:pPr>
      <w:widowControl/>
      <w:spacing w:before="100" w:beforeAutospacing="1" w:after="100" w:afterAutospacing="1"/>
    </w:pPr>
    <w:rPr>
      <w:szCs w:val="24"/>
    </w:rPr>
  </w:style>
  <w:style w:type="paragraph" w:styleId="Revision">
    <w:name w:val="Revision"/>
    <w:hidden/>
    <w:uiPriority w:val="99"/>
    <w:semiHidden/>
    <w:rsid w:val="00FD25D4"/>
    <w:rPr>
      <w:sz w:val="24"/>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1802/oj" TargetMode="External"/><Relationship Id="rId13" Type="http://schemas.openxmlformats.org/officeDocument/2006/relationships/hyperlink" Target="https://doi.org/10.1007/s00267-015-0589-7" TargetMode="External"/><Relationship Id="rId18" Type="http://schemas.openxmlformats.org/officeDocument/2006/relationships/hyperlink" Target="https://doi.org/10.1093/ije/dyz017" TargetMode="External"/><Relationship Id="rId3" Type="http://schemas.openxmlformats.org/officeDocument/2006/relationships/hyperlink" Target="http://data.europa.eu/eli/C/2025/1797/oj" TargetMode="External"/><Relationship Id="rId21" Type="http://schemas.openxmlformats.org/officeDocument/2006/relationships/hyperlink" Target="http://data.europa.eu/eli/reg/2009/1107/oj" TargetMode="External"/><Relationship Id="rId7" Type="http://schemas.openxmlformats.org/officeDocument/2006/relationships/hyperlink" Target="http://data.europa.eu/eli/C/2025/1801/oj" TargetMode="External"/><Relationship Id="rId12" Type="http://schemas.openxmlformats.org/officeDocument/2006/relationships/hyperlink" Target="http://data.europa.eu/eli/C/2025/2247/oj" TargetMode="External"/><Relationship Id="rId17" Type="http://schemas.openxmlformats.org/officeDocument/2006/relationships/hyperlink" Target="https://doi.org/10.1016/j.mrrev.2019.02.001" TargetMode="External"/><Relationship Id="rId2" Type="http://schemas.openxmlformats.org/officeDocument/2006/relationships/hyperlink" Target="https://doi.org/10.2903/j.efsa.2025.9381" TargetMode="External"/><Relationship Id="rId16" Type="http://schemas.openxmlformats.org/officeDocument/2006/relationships/hyperlink" Target="https://doi.org/10.1016/j.geoforum.2009.03.009" TargetMode="External"/><Relationship Id="rId20" Type="http://schemas.openxmlformats.org/officeDocument/2006/relationships/hyperlink" Target="https://doi.org/10.1186/s13045-019-0767-9" TargetMode="External"/><Relationship Id="rId1" Type="http://schemas.openxmlformats.org/officeDocument/2006/relationships/hyperlink" Target="http://data.europa.eu/eli/reg/2011/182/oj" TargetMode="External"/><Relationship Id="rId6" Type="http://schemas.openxmlformats.org/officeDocument/2006/relationships/hyperlink" Target="http://data.europa.eu/eli/C/2025/1800/oj" TargetMode="External"/><Relationship Id="rId11" Type="http://schemas.openxmlformats.org/officeDocument/2006/relationships/hyperlink" Target="http://data.europa.eu/eli/C/2025/2246/oj" TargetMode="External"/><Relationship Id="rId24" Type="http://schemas.openxmlformats.org/officeDocument/2006/relationships/hyperlink" Target="http://data.europa.eu/eli/reg/2002/178/oj" TargetMode="External"/><Relationship Id="rId5" Type="http://schemas.openxmlformats.org/officeDocument/2006/relationships/hyperlink" Target="http://data.europa.eu/eli/C/2025/1799/oj" TargetMode="External"/><Relationship Id="rId15" Type="http://schemas.openxmlformats.org/officeDocument/2006/relationships/hyperlink" Target="https://doi.org/10.1002/ps.8105" TargetMode="External"/><Relationship Id="rId23" Type="http://schemas.openxmlformats.org/officeDocument/2006/relationships/hyperlink" Target="https://commission.europa.eu/topics/agriculture-and-rural-development/strategic-dialogue-future-eu-agriculture_da" TargetMode="External"/><Relationship Id="rId10" Type="http://schemas.openxmlformats.org/officeDocument/2006/relationships/hyperlink" Target="http://data.europa.eu/eli/C/2025/1804/oj" TargetMode="External"/><Relationship Id="rId19" Type="http://schemas.openxmlformats.org/officeDocument/2006/relationships/hyperlink" Target="https://doi.org/10.1371/journal.pone.0219610" TargetMode="External"/><Relationship Id="rId4" Type="http://schemas.openxmlformats.org/officeDocument/2006/relationships/hyperlink" Target="http://data.europa.eu/eli/C/2025/1798/oj" TargetMode="External"/><Relationship Id="rId9" Type="http://schemas.openxmlformats.org/officeDocument/2006/relationships/hyperlink" Target="http://data.europa.eu/eli/C/2025/1803/oj" TargetMode="External"/><Relationship Id="rId14" Type="http://schemas.openxmlformats.org/officeDocument/2006/relationships/hyperlink" Target="https://doi.org/10.1186/2190-4715-24-24" TargetMode="External"/><Relationship Id="rId22" Type="http://schemas.openxmlformats.org/officeDocument/2006/relationships/hyperlink" Target="https://ec.europa.eu/commission/presscorner/detail/en/ip_22_783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1588</Words>
  <Characters>10016</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ANDERSEN Anne Fonnesbaek</cp:lastModifiedBy>
  <cp:revision>2</cp:revision>
  <cp:lastPrinted>2004-11-19T15:42:00Z</cp:lastPrinted>
  <dcterms:created xsi:type="dcterms:W3CDTF">2026-01-27T10:59:00Z</dcterms:created>
  <dcterms:modified xsi:type="dcterms:W3CDTF">2026-01-27T10:59:00Z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B10-0559/2025</vt:lpwstr>
  </property>
  <property fmtid="{D5CDD505-2E9C-101B-9397-08002B2CF9AE}" pid="4" name="&lt;Type&gt;">
    <vt:lpwstr>RR</vt:lpwstr>
  </property>
</Properties>
</file>