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0C1B" w14:paraId="7CF1FE22" w14:textId="77777777" w:rsidTr="0010095E">
        <w:trPr>
          <w:trHeight w:hRule="exact" w:val="1418"/>
        </w:trPr>
        <w:tc>
          <w:tcPr>
            <w:tcW w:w="6804" w:type="dxa"/>
            <w:shd w:val="clear" w:color="auto" w:fill="auto"/>
            <w:vAlign w:val="center"/>
          </w:tcPr>
          <w:p w14:paraId="2BB3F275" w14:textId="7CAB2F65" w:rsidR="00751A4A" w:rsidRPr="000E0C1B" w:rsidRDefault="00FB3B96" w:rsidP="0010095E">
            <w:pPr>
              <w:pStyle w:val="EPName"/>
            </w:pPr>
            <w:r w:rsidRPr="000E0C1B">
              <w:t>Europäisches Parlament</w:t>
            </w:r>
          </w:p>
          <w:p w14:paraId="31694560" w14:textId="77777777" w:rsidR="00751A4A" w:rsidRPr="000E0C1B" w:rsidRDefault="005F1B17" w:rsidP="005F1B17">
            <w:pPr>
              <w:pStyle w:val="EPTerm"/>
              <w:rPr>
                <w:rStyle w:val="HideTWBExt"/>
                <w:noProof w:val="0"/>
                <w:vanish w:val="0"/>
                <w:color w:val="auto"/>
              </w:rPr>
            </w:pPr>
            <w:r w:rsidRPr="000E0C1B">
              <w:t>2024</w:t>
            </w:r>
            <w:r w:rsidR="00817416" w:rsidRPr="000E0C1B">
              <w:t>-202</w:t>
            </w:r>
            <w:r w:rsidRPr="000E0C1B">
              <w:t>9</w:t>
            </w:r>
          </w:p>
        </w:tc>
        <w:tc>
          <w:tcPr>
            <w:tcW w:w="2268" w:type="dxa"/>
            <w:shd w:val="clear" w:color="auto" w:fill="auto"/>
          </w:tcPr>
          <w:p w14:paraId="2E9749AB" w14:textId="77777777" w:rsidR="00751A4A" w:rsidRPr="000E0C1B" w:rsidRDefault="00187494" w:rsidP="0010095E">
            <w:pPr>
              <w:pStyle w:val="EPLogo"/>
            </w:pPr>
            <w:r w:rsidRPr="000E0C1B">
              <w:rPr>
                <w:noProof/>
                <w:lang w:eastAsia="ja-JP"/>
              </w:rPr>
              <w:drawing>
                <wp:inline distT="0" distB="0" distL="0" distR="0" wp14:anchorId="7167060D" wp14:editId="18600C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AF5676" w14:textId="77777777" w:rsidR="00D058B8" w:rsidRPr="000E0C1B" w:rsidRDefault="00D058B8" w:rsidP="004C5D52">
      <w:pPr>
        <w:pStyle w:val="LineTop"/>
      </w:pPr>
    </w:p>
    <w:p w14:paraId="6394CD4C" w14:textId="74A2D9FA" w:rsidR="00680577" w:rsidRPr="000E0C1B" w:rsidRDefault="00FB3B96" w:rsidP="00680577">
      <w:pPr>
        <w:pStyle w:val="EPBodyTA1"/>
      </w:pPr>
      <w:r w:rsidRPr="000E0C1B">
        <w:t>ANGENOMMENE TEXTE</w:t>
      </w:r>
    </w:p>
    <w:p w14:paraId="5E94D40B" w14:textId="77777777" w:rsidR="00D058B8" w:rsidRPr="000E0C1B" w:rsidRDefault="00D058B8" w:rsidP="00D058B8">
      <w:pPr>
        <w:pStyle w:val="LineBottom"/>
      </w:pPr>
    </w:p>
    <w:p w14:paraId="010B554D" w14:textId="172784DC" w:rsidR="00FB3B96" w:rsidRPr="000E0C1B" w:rsidRDefault="00FB3B96" w:rsidP="00FB3B96">
      <w:pPr>
        <w:pStyle w:val="ATHeading1"/>
      </w:pPr>
      <w:bookmarkStart w:id="0" w:name="TANumber"/>
      <w:r w:rsidRPr="000E0C1B">
        <w:t>P10_</w:t>
      </w:r>
      <w:proofErr w:type="gramStart"/>
      <w:r w:rsidRPr="000E0C1B">
        <w:t>TA(</w:t>
      </w:r>
      <w:proofErr w:type="gramEnd"/>
      <w:r w:rsidRPr="000E0C1B">
        <w:t>2025)0</w:t>
      </w:r>
      <w:bookmarkEnd w:id="0"/>
      <w:r w:rsidR="007537C7" w:rsidRPr="000E0C1B">
        <w:t>328</w:t>
      </w:r>
    </w:p>
    <w:p w14:paraId="799D7C94" w14:textId="6220AF0E" w:rsidR="00FB3B96" w:rsidRPr="000E0C1B" w:rsidRDefault="005A40D1" w:rsidP="00FB3B96">
      <w:pPr>
        <w:pStyle w:val="ATHeading2"/>
      </w:pPr>
      <w:bookmarkStart w:id="1" w:name="title"/>
      <w:r w:rsidRPr="000E0C1B">
        <w:t>G</w:t>
      </w:r>
      <w:r w:rsidR="00FB3B96" w:rsidRPr="000E0C1B">
        <w:t>enetisch veränderte Zuckerrübensorte KWS20-1</w:t>
      </w:r>
      <w:bookmarkEnd w:id="1"/>
    </w:p>
    <w:p w14:paraId="290329E5" w14:textId="77777777" w:rsidR="00FB3B96" w:rsidRPr="000E0C1B" w:rsidRDefault="00FB3B96" w:rsidP="00FB3B96">
      <w:pPr>
        <w:rPr>
          <w:i/>
          <w:vanish/>
        </w:rPr>
      </w:pPr>
      <w:r w:rsidRPr="000E0C1B">
        <w:rPr>
          <w:i/>
        </w:rPr>
        <w:fldChar w:fldCharType="begin"/>
      </w:r>
      <w:r w:rsidRPr="000E0C1B">
        <w:rPr>
          <w:i/>
        </w:rPr>
        <w:instrText xml:space="preserve"> TC"(</w:instrText>
      </w:r>
      <w:bookmarkStart w:id="2" w:name="DocNumber"/>
      <w:r w:rsidRPr="000E0C1B">
        <w:rPr>
          <w:i/>
        </w:rPr>
        <w:instrText>B10-0559/2025</w:instrText>
      </w:r>
      <w:bookmarkEnd w:id="2"/>
      <w:r w:rsidRPr="000E0C1B">
        <w:rPr>
          <w:i/>
        </w:rPr>
        <w:instrText xml:space="preserve">)"\l3 \n&gt; \* MERGEFORMAT </w:instrText>
      </w:r>
      <w:r w:rsidRPr="000E0C1B">
        <w:rPr>
          <w:i/>
        </w:rPr>
        <w:fldChar w:fldCharType="end"/>
      </w:r>
    </w:p>
    <w:p w14:paraId="7725375F" w14:textId="77777777" w:rsidR="00FB3B96" w:rsidRPr="000E0C1B" w:rsidRDefault="00FB3B96" w:rsidP="00FB3B96">
      <w:pPr>
        <w:rPr>
          <w:vanish/>
        </w:rPr>
      </w:pPr>
      <w:bookmarkStart w:id="3" w:name="PE"/>
      <w:r w:rsidRPr="000E0C1B">
        <w:rPr>
          <w:vanish/>
        </w:rPr>
        <w:t>PE779.398</w:t>
      </w:r>
      <w:bookmarkEnd w:id="3"/>
    </w:p>
    <w:p w14:paraId="07367C9A" w14:textId="76284F17" w:rsidR="00FB3B96" w:rsidRPr="000E0C1B" w:rsidRDefault="00FB3B96" w:rsidP="00FB3B96">
      <w:pPr>
        <w:pStyle w:val="ATHeading3"/>
      </w:pPr>
      <w:bookmarkStart w:id="4" w:name="Sujet"/>
      <w:r w:rsidRPr="000E0C1B">
        <w:t xml:space="preserve">Entschließung des Europäischen Parlaments vom </w:t>
      </w:r>
      <w:r w:rsidR="00516085" w:rsidRPr="000E0C1B">
        <w:t>16</w:t>
      </w:r>
      <w:r w:rsidRPr="000E0C1B">
        <w:t>.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w:t>
      </w:r>
      <w:bookmarkEnd w:id="4"/>
      <w:r w:rsidRPr="000E0C1B">
        <w:t xml:space="preserve"> </w:t>
      </w:r>
      <w:bookmarkStart w:id="5" w:name="References"/>
      <w:r w:rsidRPr="000E0C1B">
        <w:t>(D110122/02 – 2025/2959(RSP))</w:t>
      </w:r>
      <w:bookmarkEnd w:id="5"/>
    </w:p>
    <w:p w14:paraId="585F1C7B" w14:textId="77777777" w:rsidR="00416401" w:rsidRPr="000E0C1B" w:rsidRDefault="00416401" w:rsidP="00416401">
      <w:pPr>
        <w:pStyle w:val="EPComma"/>
      </w:pPr>
      <w:bookmarkStart w:id="6" w:name="TextBodyBegin"/>
      <w:bookmarkEnd w:id="6"/>
      <w:r w:rsidRPr="000E0C1B">
        <w:rPr>
          <w:i/>
        </w:rPr>
        <w:t>Das Europäische Parlament</w:t>
      </w:r>
      <w:r w:rsidRPr="000E0C1B">
        <w:t>,</w:t>
      </w:r>
    </w:p>
    <w:p w14:paraId="53D48E5F" w14:textId="77777777" w:rsidR="00416401" w:rsidRPr="000E0C1B" w:rsidRDefault="00416401" w:rsidP="00416401">
      <w:pPr>
        <w:pStyle w:val="NormalHanging12a"/>
      </w:pPr>
      <w:r w:rsidRPr="000E0C1B">
        <w:t>–</w:t>
      </w:r>
      <w:r w:rsidRPr="000E0C1B">
        <w:tab/>
        <w:t>unter Hinweis auf den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 (D110122/02),</w:t>
      </w:r>
    </w:p>
    <w:p w14:paraId="1C66BDBD" w14:textId="77777777" w:rsidR="00416401" w:rsidRPr="000E0C1B" w:rsidRDefault="00416401" w:rsidP="00416401">
      <w:pPr>
        <w:pStyle w:val="NormalHanging12a"/>
      </w:pPr>
      <w:r w:rsidRPr="000E0C1B">
        <w:t>–</w:t>
      </w:r>
      <w:r w:rsidRPr="000E0C1B">
        <w:tab/>
        <w:t>gestützt auf die Verordnung (EG) Nr. 1829/2003 des Europäischen Parlaments und des Rates vom 22. September 2003 über genetisch veränderte Lebensmittel und Futtermittel</w:t>
      </w:r>
      <w:r w:rsidRPr="000E0C1B">
        <w:rPr>
          <w:vertAlign w:val="superscript"/>
        </w:rPr>
        <w:footnoteReference w:id="1"/>
      </w:r>
      <w:r w:rsidRPr="000E0C1B">
        <w:t>, insbesondere auf Artikel 7 Absatz 3 und Artikel 19 Absatz 3,</w:t>
      </w:r>
    </w:p>
    <w:p w14:paraId="2C89AC5D" w14:textId="542E8274" w:rsidR="00416401" w:rsidRPr="000E0C1B" w:rsidRDefault="00416401" w:rsidP="00416401">
      <w:pPr>
        <w:pStyle w:val="NormalHanging12a"/>
      </w:pPr>
      <w:r w:rsidRPr="000E0C1B">
        <w:t>–</w:t>
      </w:r>
      <w:r w:rsidRPr="000E0C1B">
        <w:tab/>
        <w:t>unter Hinweis auf die Abstimmung vom 14. Oktober 2025 in dem in Artikel 35 der Verordnung (EG) Nr. 1829/2003 genannten Ständigen Ausschuss für Pflanzen, Tiere, Lebensmittel und Futtermittel, aus der keine Stellungnahme hervorging,</w:t>
      </w:r>
      <w:r w:rsidR="0087543C" w:rsidRPr="000E0C1B">
        <w:t xml:space="preserve"> und die Abstimmung im Berufungsausschuss vom 28. November 2025, aus der ebenfalls keine Stellungnahme hervorging,</w:t>
      </w:r>
    </w:p>
    <w:p w14:paraId="38A6482C" w14:textId="77777777" w:rsidR="00416401" w:rsidRPr="000E0C1B" w:rsidRDefault="00416401" w:rsidP="00416401">
      <w:pPr>
        <w:pStyle w:val="NormalHanging12a"/>
        <w:widowControl/>
      </w:pPr>
      <w:r w:rsidRPr="000E0C1B">
        <w:t>–</w:t>
      </w:r>
      <w:r w:rsidRPr="000E0C1B">
        <w:tab/>
        <w:t>unter Hinweis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0E0C1B">
        <w:rPr>
          <w:rStyle w:val="FootnoteReference"/>
          <w:szCs w:val="24"/>
        </w:rPr>
        <w:footnoteReference w:id="2"/>
      </w:r>
      <w:r w:rsidRPr="000E0C1B">
        <w:t>,</w:t>
      </w:r>
    </w:p>
    <w:p w14:paraId="5E2B9866" w14:textId="77777777" w:rsidR="00416401" w:rsidRPr="000E0C1B" w:rsidRDefault="00416401" w:rsidP="00416401">
      <w:pPr>
        <w:pStyle w:val="NormalHanging12a"/>
      </w:pPr>
      <w:r w:rsidRPr="000E0C1B">
        <w:t>–</w:t>
      </w:r>
      <w:r w:rsidRPr="000E0C1B">
        <w:tab/>
        <w:t xml:space="preserve">unter Hinweis auf die am 26. März 2025 angenommene und am 12. Mai 2025 veröffentlichte Stellungnahme der Europäischen Behörde für Lebensmittelsicherheit </w:t>
      </w:r>
      <w:r w:rsidRPr="000E0C1B">
        <w:lastRenderedPageBreak/>
        <w:t>(EFSA)</w:t>
      </w:r>
      <w:r w:rsidRPr="000E0C1B">
        <w:rPr>
          <w:rStyle w:val="FootnoteReference"/>
        </w:rPr>
        <w:footnoteReference w:id="3"/>
      </w:r>
      <w:r w:rsidRPr="000E0C1B">
        <w:t>,</w:t>
      </w:r>
    </w:p>
    <w:p w14:paraId="498267C8" w14:textId="77777777" w:rsidR="00416401" w:rsidRPr="000E0C1B" w:rsidRDefault="00416401" w:rsidP="00416401">
      <w:pPr>
        <w:pStyle w:val="NormalHanging12a"/>
      </w:pPr>
      <w:r w:rsidRPr="000E0C1B">
        <w:t>–</w:t>
      </w:r>
      <w:r w:rsidRPr="000E0C1B">
        <w:tab/>
        <w:t>unter Hinweis auf seine früheren Entschließungen mit Einwänden gegen die Zulassung genetisch veränderter Organismen (GVO)</w:t>
      </w:r>
      <w:r w:rsidRPr="000E0C1B">
        <w:rPr>
          <w:rStyle w:val="FootnoteReference"/>
        </w:rPr>
        <w:footnoteReference w:id="4"/>
      </w:r>
      <w:r w:rsidRPr="000E0C1B">
        <w:t>,</w:t>
      </w:r>
    </w:p>
    <w:p w14:paraId="2AD43E9F" w14:textId="77777777" w:rsidR="00416401" w:rsidRPr="000E0C1B" w:rsidRDefault="00416401" w:rsidP="00416401">
      <w:pPr>
        <w:pStyle w:val="NormalHanging12a"/>
      </w:pPr>
      <w:r w:rsidRPr="000E0C1B">
        <w:lastRenderedPageBreak/>
        <w:t>–</w:t>
      </w:r>
      <w:r w:rsidRPr="000E0C1B">
        <w:tab/>
        <w:t>gestützt auf Artikel 115 Absätze 2 und 3 seiner Geschäftsordnung,</w:t>
      </w:r>
    </w:p>
    <w:p w14:paraId="2B7320DF" w14:textId="77777777" w:rsidR="00416401" w:rsidRPr="000E0C1B" w:rsidRDefault="00416401" w:rsidP="00416401">
      <w:pPr>
        <w:pStyle w:val="NormalHanging12a"/>
      </w:pPr>
      <w:r w:rsidRPr="000E0C1B">
        <w:t>–</w:t>
      </w:r>
      <w:r w:rsidRPr="000E0C1B">
        <w:tab/>
        <w:t>unter Hinweis auf den Entschließungsantrag des Ausschusses für Umwelt, Klima und Lebensmittelsicherheit,</w:t>
      </w:r>
    </w:p>
    <w:p w14:paraId="7AC0CCF2" w14:textId="77777777" w:rsidR="00416401" w:rsidRPr="000E0C1B" w:rsidRDefault="00416401" w:rsidP="00416401">
      <w:pPr>
        <w:pStyle w:val="NormalHanging12a"/>
      </w:pPr>
      <w:r w:rsidRPr="000E0C1B">
        <w:t>A.</w:t>
      </w:r>
      <w:r w:rsidRPr="000E0C1B">
        <w:tab/>
        <w:t xml:space="preserve">in der Erwägung, dass Bayer </w:t>
      </w:r>
      <w:proofErr w:type="spellStart"/>
      <w:r w:rsidRPr="000E0C1B">
        <w:t>Agriculture</w:t>
      </w:r>
      <w:proofErr w:type="spellEnd"/>
      <w:r w:rsidRPr="000E0C1B">
        <w:t xml:space="preserve"> B.V. mit Sitz in Belgien am 30. Mai 2023 im Namen von Bayer CropScience LP mit Sitz in den Vereinigten Staaten und KWS SAAT SE &amp; Co. KGaA mit Sitz in Deutschland bei der zuständigen niederländischen Behörde gemäß den Artikeln 5 und 17 der Verordnung (EG) Nr. 1829/2003 einen Antrag auf das Inverkehrbringen von Lebensmitteln, Lebensmittelzutaten und Futtermitteln gestellt hat, die aus genetisch veränderten Zuckerrüben der Sorte KWS20-1 (im Folgenden „genetisch veränderte Zuckerrüben“) hergestellt werden;</w:t>
      </w:r>
    </w:p>
    <w:p w14:paraId="51835A1F" w14:textId="77777777" w:rsidR="00416401" w:rsidRPr="000E0C1B" w:rsidRDefault="00416401" w:rsidP="00416401">
      <w:pPr>
        <w:pStyle w:val="NormalHanging12a"/>
      </w:pPr>
      <w:r w:rsidRPr="000E0C1B">
        <w:t>B.</w:t>
      </w:r>
      <w:r w:rsidRPr="000E0C1B">
        <w:tab/>
        <w:t xml:space="preserve">in der Erwägung, dass die EFSA am 12. Mai 2025 eine befürwortende wissenschaftliche Stellungnahme abgegeben hat, in der sie zu dem Schluss kam, dass genetisch veränderte Zuckerrüben genauso sicher sind wie das entsprechende herkömmliche Äquivalent; in der Erwägung, dass in dieser Stellungnahme nicht </w:t>
      </w:r>
      <w:proofErr w:type="gramStart"/>
      <w:r w:rsidRPr="000E0C1B">
        <w:t>auf mehrere umfassendere ökologische, sozioökonomische und kumulative Auswirkungen</w:t>
      </w:r>
      <w:proofErr w:type="gramEnd"/>
      <w:r w:rsidRPr="000E0C1B">
        <w:t xml:space="preserve"> eingegangen wurde, die nach Ansicht der EFSA nicht in ihren Zuständigkeitsbereich fallen;</w:t>
      </w:r>
    </w:p>
    <w:p w14:paraId="37253AFE" w14:textId="77777777" w:rsidR="00416401" w:rsidRPr="000E0C1B" w:rsidRDefault="00416401" w:rsidP="00416401">
      <w:pPr>
        <w:pStyle w:val="NormalHanging12a"/>
      </w:pPr>
      <w:r w:rsidRPr="000E0C1B">
        <w:t>C.</w:t>
      </w:r>
      <w:r w:rsidRPr="000E0C1B">
        <w:tab/>
        <w:t xml:space="preserve">in der Erwägung, dass genetisch veränderte Zuckerrüben mit dem Ziel entwickelt wurden, dass sie gegenüber Herbiziden auf Glyphosat-, </w:t>
      </w:r>
      <w:proofErr w:type="spellStart"/>
      <w:r w:rsidRPr="000E0C1B">
        <w:t>Dicamba</w:t>
      </w:r>
      <w:proofErr w:type="spellEnd"/>
      <w:r w:rsidRPr="000E0C1B">
        <w:t xml:space="preserve">- und </w:t>
      </w:r>
      <w:proofErr w:type="spellStart"/>
      <w:r w:rsidRPr="000E0C1B">
        <w:t>Glufosinat</w:t>
      </w:r>
      <w:proofErr w:type="spellEnd"/>
      <w:r w:rsidRPr="000E0C1B">
        <w:t>-Ammonium-Basis resistent sind;</w:t>
      </w:r>
    </w:p>
    <w:p w14:paraId="2A54F30C" w14:textId="77777777" w:rsidR="00416401" w:rsidRPr="000E0C1B" w:rsidRDefault="00416401" w:rsidP="00416401">
      <w:pPr>
        <w:pStyle w:val="NormalHanging12a"/>
      </w:pPr>
      <w:r w:rsidRPr="000E0C1B">
        <w:t>D.</w:t>
      </w:r>
      <w:r w:rsidRPr="000E0C1B">
        <w:tab/>
        <w:t xml:space="preserve">in der Erwägung, dass die von der EFSA durchgeführte Risikobewertung keine langfristigen toxikologischen Studien oder detaillierten Analysen der kumulativen und </w:t>
      </w:r>
      <w:r w:rsidRPr="000E0C1B">
        <w:lastRenderedPageBreak/>
        <w:t xml:space="preserve">kombinatorischen Auswirkungen, einschließlich möglicher Wechselwirkungen mit Rückständen von Pestiziden, die üblicherweise beim Anbau von Zuckerrüben verwendet werden, umfasste; </w:t>
      </w:r>
    </w:p>
    <w:p w14:paraId="17FCE5DC" w14:textId="77777777" w:rsidR="00416401" w:rsidRPr="000E0C1B" w:rsidRDefault="00416401" w:rsidP="00416401">
      <w:pPr>
        <w:pStyle w:val="NormalHanging12a"/>
        <w:keepNext/>
        <w:keepLines/>
        <w:rPr>
          <w:color w:val="000000" w:themeColor="text1"/>
          <w:szCs w:val="24"/>
        </w:rPr>
      </w:pPr>
      <w:r w:rsidRPr="000E0C1B">
        <w:rPr>
          <w:color w:val="000000" w:themeColor="text1"/>
        </w:rPr>
        <w:t>E.</w:t>
      </w:r>
      <w:r w:rsidRPr="000E0C1B">
        <w:rPr>
          <w:color w:val="000000" w:themeColor="text1"/>
        </w:rPr>
        <w:tab/>
      </w:r>
      <w:r w:rsidRPr="000E0C1B">
        <w:t xml:space="preserve">in der Erwägung, dass die meisten genetisch veränderten Pflanzen, einschließlich genetisch veränderter Zuckerrüben, genetisch verändert wurden, damit sie gegenüber einem oder mehreren „Komplementärherbiziden“ resistent sind, die beim Anbau der genetisch veränderten Pflanzen eingesetzt werden können, ohne dass die Pflanzen absterben, was bei nicht </w:t>
      </w:r>
      <w:proofErr w:type="spellStart"/>
      <w:r w:rsidRPr="000E0C1B">
        <w:t>herbizidtoleranten</w:t>
      </w:r>
      <w:proofErr w:type="spellEnd"/>
      <w:r w:rsidRPr="000E0C1B">
        <w:t xml:space="preserve"> Pflanzen der Fall wäre; </w:t>
      </w:r>
      <w:r w:rsidRPr="000E0C1B">
        <w:rPr>
          <w:color w:val="000000" w:themeColor="text1"/>
        </w:rPr>
        <w:t xml:space="preserve">in der Erwägung, dass aus mehreren Studien hervorgeht, dass bei </w:t>
      </w:r>
      <w:proofErr w:type="spellStart"/>
      <w:r w:rsidRPr="000E0C1B">
        <w:rPr>
          <w:color w:val="000000" w:themeColor="text1"/>
        </w:rPr>
        <w:t>herbizidtoleranten</w:t>
      </w:r>
      <w:proofErr w:type="spellEnd"/>
      <w:r w:rsidRPr="000E0C1B">
        <w:rPr>
          <w:color w:val="000000" w:themeColor="text1"/>
        </w:rPr>
        <w:t xml:space="preserve"> genetisch veränderten Kulturen vermehrt Komplementärherbizide zum Einsatz kommen, was zum großen Teil dem Auftreten </w:t>
      </w:r>
      <w:proofErr w:type="spellStart"/>
      <w:r w:rsidRPr="000E0C1B">
        <w:rPr>
          <w:color w:val="000000" w:themeColor="text1"/>
        </w:rPr>
        <w:t>herbizidtoleranter</w:t>
      </w:r>
      <w:proofErr w:type="spellEnd"/>
      <w:r w:rsidRPr="000E0C1B">
        <w:rPr>
          <w:color w:val="000000" w:themeColor="text1"/>
        </w:rPr>
        <w:t xml:space="preserve"> Unkräuter geschuldet ist</w:t>
      </w:r>
      <w:r w:rsidRPr="000E0C1B">
        <w:rPr>
          <w:rStyle w:val="FootnoteReference"/>
          <w:color w:val="000000" w:themeColor="text1"/>
          <w:szCs w:val="24"/>
        </w:rPr>
        <w:footnoteReference w:id="5"/>
      </w:r>
      <w:r w:rsidRPr="000E0C1B">
        <w:rPr>
          <w:color w:val="000000" w:themeColor="text1"/>
        </w:rPr>
        <w:t>;</w:t>
      </w:r>
    </w:p>
    <w:p w14:paraId="5C0ADBDF" w14:textId="77777777" w:rsidR="00416401" w:rsidRPr="000E0C1B" w:rsidRDefault="00416401" w:rsidP="00416401">
      <w:pPr>
        <w:spacing w:after="240"/>
        <w:ind w:left="567" w:hanging="567"/>
        <w:rPr>
          <w:szCs w:val="24"/>
        </w:rPr>
      </w:pPr>
      <w:r w:rsidRPr="000E0C1B">
        <w:t>F.</w:t>
      </w:r>
      <w:r w:rsidRPr="000E0C1B">
        <w:tab/>
        <w:t xml:space="preserve">in der Erwägung, dass </w:t>
      </w:r>
      <w:proofErr w:type="spellStart"/>
      <w:r w:rsidRPr="000E0C1B">
        <w:rPr>
          <w:color w:val="000000" w:themeColor="text1"/>
        </w:rPr>
        <w:t>herbizidtolerante</w:t>
      </w:r>
      <w:proofErr w:type="spellEnd"/>
      <w:r w:rsidRPr="000E0C1B">
        <w:rPr>
          <w:color w:val="000000" w:themeColor="text1"/>
        </w:rPr>
        <w:t xml:space="preserv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sprühen; in der Erwägung, dass der verstärkte Einsatz von Komplementärherbiziden in landwirtschaftlichen Betrieben, die genetisch veränderte Zuckerrüben anbauen, zur Folge haben wird, dass gegen diese Herbizide resistente Unkräuter schneller auftreten und sich rascher ausbreiten, wodurch der Bedarf an Herbizid noch steigt, und es sich hier um einen Teufelskreis handelt, der auch als „Herbizid-Tretmühle“ bezeichnet wird; in der Erwägung, dass sich die nachteiligen Auswirkungen der übermäßigen Abhängigkeit von Herbiziden auf die Bodengesundheit, die Wasserqualität und die oberirdische und unterirdische biologische Vielfalt folglich verschlimmern und eine verstärkte Exposition von Menschen und Tieren hervorrufen werden, und zwar möglicherweise auch im Wege höherer </w:t>
      </w:r>
      <w:proofErr w:type="spellStart"/>
      <w:r w:rsidRPr="000E0C1B">
        <w:rPr>
          <w:color w:val="000000" w:themeColor="text1"/>
        </w:rPr>
        <w:t>Herbizidrückstände</w:t>
      </w:r>
      <w:proofErr w:type="spellEnd"/>
      <w:r w:rsidRPr="000E0C1B">
        <w:rPr>
          <w:color w:val="000000" w:themeColor="text1"/>
        </w:rPr>
        <w:t xml:space="preserve"> in Lebens- und Futtermitteln</w:t>
      </w:r>
      <w:r w:rsidRPr="000E0C1B">
        <w:rPr>
          <w:rStyle w:val="FootnoteReference"/>
          <w:color w:val="000000" w:themeColor="text1"/>
          <w:szCs w:val="24"/>
        </w:rPr>
        <w:footnoteReference w:id="6"/>
      </w:r>
      <w:r w:rsidRPr="000E0C1B">
        <w:rPr>
          <w:color w:val="000000" w:themeColor="text1"/>
        </w:rPr>
        <w:t>;</w:t>
      </w:r>
    </w:p>
    <w:p w14:paraId="27A1E7A2" w14:textId="77777777" w:rsidR="00416401" w:rsidRPr="000E0C1B" w:rsidRDefault="00416401" w:rsidP="00416401">
      <w:pPr>
        <w:pStyle w:val="NormalHanging12a"/>
      </w:pPr>
      <w:r w:rsidRPr="000E0C1B">
        <w:t>G.</w:t>
      </w:r>
      <w:r w:rsidRPr="000E0C1B">
        <w:tab/>
        <w:t xml:space="preserve">in der Erwägung, dass nach wie vor ernsthafte Bedenken hinsichtlich der krebserzeugenden Wirkung von Glyphosat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für den Menschen wahrscheinlich krebserzeugend eingestuft hat; in der Erwägung, dass das krebserzeugende Potenzial von Glyphosat in einer Reihe von aktuellen wissenschaftlichen Studien, die einer Peer-Review unterzogen wurden, bestätigt </w:t>
      </w:r>
      <w:r w:rsidRPr="000E0C1B">
        <w:lastRenderedPageBreak/>
        <w:t>wurde</w:t>
      </w:r>
      <w:r w:rsidRPr="000E0C1B">
        <w:rPr>
          <w:rStyle w:val="FootnoteReference"/>
        </w:rPr>
        <w:footnoteReference w:id="7"/>
      </w:r>
      <w:r w:rsidRPr="000E0C1B">
        <w:t>;</w:t>
      </w:r>
    </w:p>
    <w:p w14:paraId="094001BB" w14:textId="77777777" w:rsidR="00416401" w:rsidRPr="000E0C1B" w:rsidRDefault="00416401" w:rsidP="00416401">
      <w:pPr>
        <w:pStyle w:val="NormalHanging12a"/>
        <w:rPr>
          <w:szCs w:val="24"/>
        </w:rPr>
      </w:pPr>
      <w:r w:rsidRPr="000E0C1B">
        <w:t>H.</w:t>
      </w:r>
      <w:r w:rsidRPr="000E0C1B">
        <w:tab/>
        <w:t xml:space="preserve">in der Erwägung, dass </w:t>
      </w:r>
      <w:proofErr w:type="spellStart"/>
      <w:r w:rsidRPr="000E0C1B">
        <w:t>Dicamba</w:t>
      </w:r>
      <w:proofErr w:type="spellEnd"/>
      <w:r w:rsidRPr="000E0C1B">
        <w:t xml:space="preserve"> leicht flüchtig ist, was bedeutet, dass es sich nach seiner Anwendung verflüchtigt, in die Luft gelangt und vom Wind getragen wird, bis es auf den Boden niedergeht, wo Menschen, Tiere und Nichtzielpflanzen, Reben, Bäume und Sträucher Gefahr laufen, potenziell schwere Schäden zu erleiden, und zwar insbesondere dann, wenn die Exposition über mehrere Jahre anhält; </w:t>
      </w:r>
      <w:r w:rsidRPr="000E0C1B">
        <w:rPr>
          <w:shd w:val="clear" w:color="auto" w:fill="FFFFFF"/>
        </w:rPr>
        <w:t xml:space="preserve">in der Erwägung, dass die leichte Ausbreitung von </w:t>
      </w:r>
      <w:proofErr w:type="spellStart"/>
      <w:r w:rsidRPr="000E0C1B">
        <w:rPr>
          <w:shd w:val="clear" w:color="auto" w:fill="FFFFFF"/>
        </w:rPr>
        <w:t>Dicamba</w:t>
      </w:r>
      <w:proofErr w:type="spellEnd"/>
      <w:r w:rsidRPr="000E0C1B">
        <w:rPr>
          <w:shd w:val="clear" w:color="auto" w:fill="FFFFFF"/>
        </w:rPr>
        <w:t xml:space="preserve"> und die Schädigung benachbarter Kulturpflanzen, Bäume und Reben zu einer zunehmenden Spaltung geführt haben, bei der Landwirte Auseinandersetzungen untereinander bzw. mit Nachbarn auf dem Land austragen und es zu zahlreichen Streitigkeiten über den Verlust von Kulturpflanzen und die Kosten für die Neuanpflanzung kommt; </w:t>
      </w:r>
    </w:p>
    <w:p w14:paraId="778F082B" w14:textId="77777777" w:rsidR="00416401" w:rsidRPr="000E0C1B" w:rsidRDefault="00416401" w:rsidP="00416401">
      <w:pPr>
        <w:pStyle w:val="NormalWeb"/>
        <w:widowControl w:val="0"/>
        <w:spacing w:before="0" w:beforeAutospacing="0" w:after="240" w:afterAutospacing="0"/>
        <w:ind w:left="567" w:hanging="567"/>
      </w:pPr>
      <w:r w:rsidRPr="000E0C1B">
        <w:t>I.</w:t>
      </w:r>
      <w:r w:rsidRPr="000E0C1B">
        <w:tab/>
        <w:t xml:space="preserve">in der Erwägung, dass </w:t>
      </w:r>
      <w:proofErr w:type="spellStart"/>
      <w:r w:rsidRPr="000E0C1B">
        <w:t>Glufosinat</w:t>
      </w:r>
      <w:proofErr w:type="spellEnd"/>
      <w:r w:rsidRPr="000E0C1B">
        <w:t xml:space="preserve"> als reproduktionstoxisch (1B) eingestuft wird und demnach unter die in der Verordnung (EG) Nr. 1107/2009 des Europäischen Parlaments und des Rates festgelegten Ausschlusskriterien fällt</w:t>
      </w:r>
      <w:r w:rsidRPr="000E0C1B">
        <w:rPr>
          <w:rStyle w:val="FootnoteReference"/>
        </w:rPr>
        <w:footnoteReference w:id="8"/>
      </w:r>
      <w:r w:rsidRPr="000E0C1B">
        <w:t xml:space="preserve">; in der Erwägung, dass die Genehmigung für die Verwendung von </w:t>
      </w:r>
      <w:proofErr w:type="spellStart"/>
      <w:r w:rsidRPr="000E0C1B">
        <w:t>Glufosinat</w:t>
      </w:r>
      <w:proofErr w:type="spellEnd"/>
      <w:r w:rsidRPr="000E0C1B">
        <w:t xml:space="preserve"> in der Union am 31. Juli 2018 ausgelaufen ist;</w:t>
      </w:r>
    </w:p>
    <w:p w14:paraId="45396463" w14:textId="77777777" w:rsidR="00416401" w:rsidRPr="000E0C1B" w:rsidRDefault="00416401" w:rsidP="00416401">
      <w:pPr>
        <w:spacing w:after="240"/>
        <w:ind w:left="567" w:hanging="567"/>
      </w:pPr>
      <w:r w:rsidRPr="000E0C1B">
        <w:t>J.</w:t>
      </w:r>
      <w:r w:rsidRPr="000E0C1B">
        <w:tab/>
        <w:t>in der Erwägung, dass die Feldversuche, die den Antrag stützen, unter begrenzten geografischen und klimatischen Bedingungen durchgeführt wurden, und zwar ausschließlich in den Vereinigten Staaten von Amerika, die nicht die gesamte Vielfalt der Zuckerrübenanbaugebiete widerspiegeln, einschließlich derjenigen, die stark von klimawandelbedingten Stressfaktoren betroffen sind;</w:t>
      </w:r>
    </w:p>
    <w:p w14:paraId="45CD1317" w14:textId="114C79D3" w:rsidR="00416401" w:rsidRPr="000E0C1B" w:rsidRDefault="00416401" w:rsidP="00416401">
      <w:pPr>
        <w:pStyle w:val="NormalHanging12a"/>
      </w:pPr>
      <w:r w:rsidRPr="000E0C1B">
        <w:t>K.</w:t>
      </w:r>
      <w:r w:rsidRPr="000E0C1B">
        <w:tab/>
        <w:t>in der Erwägung, dass eine unabhängige Überwachung und Beobachtung potenzieller nachteiliger Auswirkungen auf die biologische Vielfalt, die Bodengesundheit, Bestäuber und Nichtzielorganismen nach wie vor nicht ausreichend gewährleistet ist;</w:t>
      </w:r>
    </w:p>
    <w:p w14:paraId="67622D20" w14:textId="77777777" w:rsidR="00416401" w:rsidRPr="000E0C1B" w:rsidRDefault="00416401" w:rsidP="00416401">
      <w:pPr>
        <w:spacing w:after="240"/>
        <w:ind w:left="567" w:hanging="567"/>
      </w:pPr>
      <w:r w:rsidRPr="000E0C1B">
        <w:t>L.</w:t>
      </w:r>
      <w:r w:rsidRPr="000E0C1B">
        <w:tab/>
        <w:t>in der Erwägung, dass der in Artikel 191 des Vertrags über die Arbeitsweise der Europäischen Union verankerte Grundsatz der Vorsorge bei wissenschaftlicher Unsicherheit Anwendung finden sollte;</w:t>
      </w:r>
    </w:p>
    <w:p w14:paraId="3C6A0150" w14:textId="77777777" w:rsidR="00416401" w:rsidRPr="000E0C1B" w:rsidRDefault="00416401" w:rsidP="00416401">
      <w:pPr>
        <w:spacing w:after="240"/>
        <w:ind w:left="567" w:hanging="567"/>
      </w:pPr>
      <w:r w:rsidRPr="000E0C1B">
        <w:t>M.</w:t>
      </w:r>
      <w:r w:rsidRPr="000E0C1B">
        <w:tab/>
        <w:t xml:space="preserve">in der Erwägung, dass in der Verordnung (EG) Nr. 1829/2003 festgelegt ist, dass genetisch veränderte Lebensmittel und Futtermittel keine nachteiligen Auswirkungen auf die Gesundheit </w:t>
      </w:r>
      <w:proofErr w:type="gramStart"/>
      <w:r w:rsidRPr="000E0C1B">
        <w:t>von Mensch</w:t>
      </w:r>
      <w:proofErr w:type="gramEnd"/>
      <w:r w:rsidRPr="000E0C1B">
        <w:t xml:space="preserve"> und Tier oder die Umwelt haben dürfen;</w:t>
      </w:r>
    </w:p>
    <w:p w14:paraId="49C127FD" w14:textId="77777777" w:rsidR="00416401" w:rsidRPr="000E0C1B" w:rsidRDefault="00416401" w:rsidP="00416401">
      <w:pPr>
        <w:pStyle w:val="NormalWeb"/>
        <w:widowControl w:val="0"/>
        <w:spacing w:before="0" w:beforeAutospacing="0" w:after="240" w:afterAutospacing="0"/>
        <w:ind w:left="567" w:hanging="567"/>
      </w:pPr>
      <w:r w:rsidRPr="000E0C1B">
        <w:t>N.</w:t>
      </w:r>
      <w:r w:rsidRPr="000E0C1B">
        <w:tab/>
        <w:t xml:space="preserve">in der Erwägung, dass die Zulassung der genetisch veränderten Zuckerrüben durch die Union nicht im Einklang mit den internationalen Verpflichtungen zur Verringerung des </w:t>
      </w:r>
      <w:r w:rsidRPr="000E0C1B">
        <w:lastRenderedPageBreak/>
        <w:t>Gebrauchs von Pestiziden</w:t>
      </w:r>
      <w:r w:rsidRPr="000E0C1B">
        <w:rPr>
          <w:vertAlign w:val="superscript"/>
        </w:rPr>
        <w:footnoteReference w:id="9"/>
      </w:r>
      <w:r w:rsidRPr="000E0C1B">
        <w:t xml:space="preserve"> stehen würde, da die Exposition von Menschen, Tieren und der Umwelt gegenüber Glyphosat, </w:t>
      </w:r>
      <w:proofErr w:type="spellStart"/>
      <w:r w:rsidRPr="000E0C1B">
        <w:t>Dicamba</w:t>
      </w:r>
      <w:proofErr w:type="spellEnd"/>
      <w:r w:rsidRPr="000E0C1B">
        <w:t xml:space="preserve"> und </w:t>
      </w:r>
      <w:proofErr w:type="spellStart"/>
      <w:r w:rsidRPr="000E0C1B">
        <w:t>Glufosinat</w:t>
      </w:r>
      <w:proofErr w:type="spellEnd"/>
      <w:r w:rsidRPr="000E0C1B">
        <w:t xml:space="preserve"> in Ländern, in denen diese </w:t>
      </w:r>
      <w:proofErr w:type="spellStart"/>
      <w:r w:rsidRPr="000E0C1B">
        <w:t>herbizidtolerante</w:t>
      </w:r>
      <w:proofErr w:type="spellEnd"/>
      <w:r w:rsidRPr="000E0C1B">
        <w:t xml:space="preserve"> genetisch veränderte Kulturpflanze angebaut wird, steigt und die gesundheitlichen Beeinträchtigungen möglicherweise schwerwiegend sind;</w:t>
      </w:r>
    </w:p>
    <w:p w14:paraId="1227EB28" w14:textId="77777777" w:rsidR="00416401" w:rsidRPr="000E0C1B" w:rsidRDefault="00416401" w:rsidP="00416401">
      <w:pPr>
        <w:spacing w:after="240"/>
        <w:ind w:left="567" w:hanging="567"/>
      </w:pPr>
      <w:r w:rsidRPr="000E0C1B">
        <w:t>O.</w:t>
      </w:r>
      <w:r w:rsidRPr="000E0C1B">
        <w:tab/>
        <w:t>in der Erwägung, dass mit dem Durchführungsbeschluss der Kommission Einfuhren von Erzeugnissen in die Union ermöglicht würden, die nicht den von den Landwirten in der Union eingehaltenen Standards entsprechen, wodurch diese im Wettbewerb benachteiligt würden;</w:t>
      </w:r>
    </w:p>
    <w:p w14:paraId="207513A2" w14:textId="77777777" w:rsidR="00416401" w:rsidRPr="000E0C1B" w:rsidRDefault="00416401" w:rsidP="00416401">
      <w:pPr>
        <w:keepNext/>
        <w:keepLines/>
        <w:spacing w:after="240"/>
        <w:ind w:left="567" w:hanging="567"/>
      </w:pPr>
      <w:r w:rsidRPr="000E0C1B">
        <w:t>P.</w:t>
      </w:r>
      <w:r w:rsidRPr="000E0C1B">
        <w:tab/>
        <w:t>in der Erwägung, dass die Kommission in den Schlussfolgerungen des strategischen Dialogs zur Zukunft der Landwirtschaft in der EU</w:t>
      </w:r>
      <w:r w:rsidRPr="000E0C1B">
        <w:rPr>
          <w:rStyle w:val="FootnoteReference"/>
        </w:rPr>
        <w:footnoteReference w:id="10"/>
      </w:r>
      <w:r w:rsidRPr="000E0C1B">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und 2024 zählten;</w:t>
      </w:r>
    </w:p>
    <w:p w14:paraId="467EE6DF" w14:textId="77777777" w:rsidR="00416401" w:rsidRPr="000E0C1B" w:rsidRDefault="00416401" w:rsidP="00416401">
      <w:pPr>
        <w:spacing w:after="240"/>
        <w:ind w:left="567" w:hanging="567"/>
      </w:pPr>
      <w:r w:rsidRPr="000E0C1B">
        <w:t>Q.</w:t>
      </w:r>
      <w:r w:rsidRPr="000E0C1B">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14:paraId="0D6BDB9F" w14:textId="77777777" w:rsidR="00416401" w:rsidRPr="000E0C1B" w:rsidRDefault="00416401" w:rsidP="00416401">
      <w:pPr>
        <w:pStyle w:val="NormalWeb"/>
        <w:widowControl w:val="0"/>
        <w:shd w:val="clear" w:color="auto" w:fill="FFFFFF"/>
        <w:spacing w:before="0" w:beforeAutospacing="0" w:after="240" w:afterAutospacing="0"/>
        <w:ind w:left="567" w:hanging="567"/>
        <w:rPr>
          <w:color w:val="000000" w:themeColor="text1"/>
        </w:rPr>
      </w:pPr>
      <w:r w:rsidRPr="000E0C1B">
        <w:rPr>
          <w:color w:val="000000" w:themeColor="text1"/>
        </w:rPr>
        <w:t>R.</w:t>
      </w:r>
      <w:r w:rsidRPr="000E0C1B">
        <w:rPr>
          <w:color w:val="000000" w:themeColor="text1"/>
        </w:rPr>
        <w:tab/>
        <w:t>in der Erwägung, dass die Kommission trotz der von ihr selbst eingeräumten demokratischen Defizite, der fehlenden Unterstützung durch die Mitgliedstaaten und der Einwände des Europäischen Parlaments nach wie vor GVO zulässt;</w:t>
      </w:r>
    </w:p>
    <w:p w14:paraId="7DD517BC" w14:textId="77777777" w:rsidR="00416401" w:rsidRPr="000E0C1B" w:rsidRDefault="00416401" w:rsidP="00416401">
      <w:pPr>
        <w:spacing w:after="240"/>
        <w:ind w:left="567" w:hanging="567"/>
      </w:pPr>
      <w:r w:rsidRPr="000E0C1B">
        <w:t>S.</w:t>
      </w:r>
      <w:r w:rsidRPr="000E0C1B">
        <w:tab/>
        <w:t>in der Erwägung, dass im Rahmen des Konzepts „Eine Gesundheit“ bei der Bewertung der langfristigen Nachhaltigkeit und Sicherheit von GVO die Wechselbeziehungen zwischen der Gesundheit von Menschen, Tieren, Pflanzen und der Umwelt berücksichtigt werden müssen;</w:t>
      </w:r>
    </w:p>
    <w:p w14:paraId="72FC713E" w14:textId="77777777" w:rsidR="00416401" w:rsidRPr="000E0C1B" w:rsidRDefault="00416401" w:rsidP="00416401">
      <w:pPr>
        <w:spacing w:after="240"/>
        <w:ind w:left="567" w:hanging="567"/>
      </w:pPr>
      <w:r w:rsidRPr="000E0C1B">
        <w:t>1.</w:t>
      </w:r>
      <w:r w:rsidRPr="000E0C1B">
        <w:tab/>
        <w:t>vertritt die Auffassung, dass der Entwurf eines Durchführungsbeschlusses der Kommission über die in der Verordnung (EG) Nr. 1829/2003 vorgesehenen Durchführungsbefugnisse hinausgeht;</w:t>
      </w:r>
    </w:p>
    <w:p w14:paraId="599151BB" w14:textId="77777777" w:rsidR="00416401" w:rsidRPr="000E0C1B" w:rsidRDefault="00416401" w:rsidP="00416401">
      <w:pPr>
        <w:spacing w:after="240"/>
        <w:ind w:left="567" w:hanging="567"/>
      </w:pPr>
      <w:r w:rsidRPr="000E0C1B">
        <w:t>2.</w:t>
      </w:r>
      <w:r w:rsidRPr="000E0C1B">
        <w:tab/>
        <w:t xml:space="preserve">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w:t>
      </w:r>
      <w:r w:rsidRPr="000E0C1B">
        <w:lastRenderedPageBreak/>
        <w:t>Rates</w:t>
      </w:r>
      <w:r w:rsidRPr="000E0C1B">
        <w:rPr>
          <w:vertAlign w:val="superscript"/>
        </w:rPr>
        <w:footnoteReference w:id="11"/>
      </w:r>
      <w:r w:rsidRPr="000E0C1B">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14:paraId="36F956AA" w14:textId="77777777" w:rsidR="00416401" w:rsidRPr="000E0C1B" w:rsidRDefault="00416401" w:rsidP="00416401">
      <w:pPr>
        <w:spacing w:after="240"/>
        <w:ind w:left="567" w:hanging="567"/>
      </w:pPr>
      <w:r w:rsidRPr="000E0C1B">
        <w:t>3.</w:t>
      </w:r>
      <w:r w:rsidRPr="000E0C1B">
        <w:tab/>
        <w:t>fordert die Kommission auf, ihren Durchführungsbeschluss zurückzuziehen;</w:t>
      </w:r>
    </w:p>
    <w:p w14:paraId="167E8889" w14:textId="77777777" w:rsidR="00416401" w:rsidRPr="000E0C1B" w:rsidRDefault="00416401" w:rsidP="00416401">
      <w:pPr>
        <w:spacing w:after="240"/>
        <w:ind w:left="567" w:hanging="567"/>
      </w:pPr>
      <w:r w:rsidRPr="000E0C1B">
        <w:t>4.</w:t>
      </w:r>
      <w:r w:rsidRPr="000E0C1B">
        <w:tab/>
        <w:t>fordert die Kommission auf, die genetisch veränderten Zuckerrüben aufgrund fehlender ausreichender Nachweise über die langfristigen Auswirkungen auf die biologische Vielfalt, die Lebensmittelsicherheit, die Lebensgrundlage der Landwirte und die Tiergesundheit im Einklang mit dem Konzept „Eine Gesundheit“ nicht zuzulassen;</w:t>
      </w:r>
    </w:p>
    <w:p w14:paraId="0F489BE8" w14:textId="77777777" w:rsidR="00416401" w:rsidRPr="000E0C1B" w:rsidRDefault="00416401" w:rsidP="00416401">
      <w:pPr>
        <w:keepNext/>
        <w:keepLines/>
        <w:spacing w:after="240"/>
        <w:ind w:left="567" w:hanging="567"/>
      </w:pPr>
      <w:r w:rsidRPr="000E0C1B">
        <w:t>5.</w:t>
      </w:r>
      <w:r w:rsidRPr="000E0C1B">
        <w:tab/>
        <w:t>fordert die Kommission auf, umgehend einen Gesetzgebungsvorschlag zur Reform des Beschlussfassungsverfahrens in Bezug auf GVO vorzulegen, um auf die wiederholten Einwände des Parlaments und das Fehlen einer qualifizierten Mehrheit unter den Mitgliedstaaten zu reagieren;</w:t>
      </w:r>
    </w:p>
    <w:p w14:paraId="6F91C63B" w14:textId="77777777" w:rsidR="00416401" w:rsidRPr="000E0C1B" w:rsidRDefault="00416401" w:rsidP="00416401">
      <w:pPr>
        <w:spacing w:after="240"/>
        <w:ind w:left="567" w:hanging="567"/>
      </w:pPr>
      <w:r w:rsidRPr="000E0C1B">
        <w:t>6.</w:t>
      </w:r>
      <w:r w:rsidRPr="000E0C1B">
        <w:tab/>
        <w:t xml:space="preserve">betont in diesem Zusammenhang, dass die Zulassung der Einfuhr von genetisch veränderten Pflanzen, die gegen in der Union verbotene Herbizide wie </w:t>
      </w:r>
      <w:proofErr w:type="spellStart"/>
      <w:r w:rsidRPr="000E0C1B">
        <w:t>Glufosinat</w:t>
      </w:r>
      <w:proofErr w:type="spellEnd"/>
      <w:r w:rsidRPr="000E0C1B">
        <w:t xml:space="preserve"> resistent gemacht wurden, für die Verwendung als Lebens- oder Futtermittel nicht mit den internationalen Verpflichtungen der Union unter anderem im Rahmen des Übereinkommens der Vereinten Nationen über die biologische Vielfalt und der Ziele der Vereinten Nationen für nachhaltige Entwicklung, einschließlich des Globalen Biodiversitätsrahmens von Kunming-Montreal, vereinbar ist und ungleiche Wettbewerbsbedingungen für die Landwirte in der Union schafft;</w:t>
      </w:r>
    </w:p>
    <w:p w14:paraId="681C322F" w14:textId="43E18BD6" w:rsidR="00E365E1" w:rsidRPr="000E0C1B" w:rsidRDefault="00416401" w:rsidP="005A40D1">
      <w:pPr>
        <w:ind w:left="567" w:hanging="567"/>
      </w:pPr>
      <w:r w:rsidRPr="000E0C1B">
        <w:t>7.</w:t>
      </w:r>
      <w:r w:rsidRPr="000E0C1B">
        <w:tab/>
        <w:t xml:space="preserve">beauftragt seine Präsidentin, diese Entschließung dem Rat und der Kommission sowie den Regierungen und Parlamenten der Mitgliedstaaten </w:t>
      </w:r>
      <w:r w:rsidR="00B850D0" w:rsidRPr="000E0C1B">
        <w:t>zu übermitteln.</w:t>
      </w:r>
    </w:p>
    <w:sectPr w:rsidR="00E365E1" w:rsidRPr="000E0C1B" w:rsidSect="00B850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D64EA" w14:textId="77777777" w:rsidR="00FB3B96" w:rsidRPr="00B850D0" w:rsidRDefault="00FB3B96">
      <w:r w:rsidRPr="00B850D0">
        <w:separator/>
      </w:r>
    </w:p>
  </w:endnote>
  <w:endnote w:type="continuationSeparator" w:id="0">
    <w:p w14:paraId="57E19712" w14:textId="77777777" w:rsidR="00FB3B96" w:rsidRPr="00B850D0" w:rsidRDefault="00FB3B96">
      <w:r w:rsidRPr="00B850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C14DF" w14:textId="77777777" w:rsidR="00064002" w:rsidRPr="00B850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23FF8" w14:textId="77777777" w:rsidR="00064002" w:rsidRPr="00B850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E4E96" w14:textId="77777777" w:rsidR="00064002" w:rsidRPr="00B850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CA006" w14:textId="77777777" w:rsidR="00FB3B96" w:rsidRPr="00B850D0" w:rsidRDefault="00FB3B96">
      <w:r w:rsidRPr="00B850D0">
        <w:separator/>
      </w:r>
    </w:p>
  </w:footnote>
  <w:footnote w:type="continuationSeparator" w:id="0">
    <w:p w14:paraId="616730B6" w14:textId="77777777" w:rsidR="00FB3B96" w:rsidRPr="00B850D0" w:rsidRDefault="00FB3B96">
      <w:r w:rsidRPr="00B850D0">
        <w:continuationSeparator/>
      </w:r>
    </w:p>
  </w:footnote>
  <w:footnote w:id="1">
    <w:p w14:paraId="3A205BD7" w14:textId="64CDDE8E" w:rsidR="00416401" w:rsidRPr="00B850D0" w:rsidRDefault="00416401" w:rsidP="00B850D0">
      <w:pPr>
        <w:pStyle w:val="FootnoteText"/>
        <w:suppressAutoHyphens/>
        <w:ind w:left="567" w:hanging="567"/>
        <w:rPr>
          <w:sz w:val="24"/>
          <w:lang w:val="de-DE"/>
        </w:rPr>
      </w:pPr>
      <w:r w:rsidRPr="00B850D0">
        <w:rPr>
          <w:rStyle w:val="FootnoteReference"/>
          <w:sz w:val="24"/>
          <w:lang w:val="de-DE"/>
        </w:rPr>
        <w:footnoteRef/>
      </w:r>
      <w:r w:rsidR="00B850D0" w:rsidRPr="00B850D0">
        <w:rPr>
          <w:sz w:val="24"/>
          <w:lang w:val="de-DE"/>
        </w:rPr>
        <w:t xml:space="preserve"> </w:t>
      </w:r>
      <w:r w:rsidR="00B850D0" w:rsidRPr="00B850D0">
        <w:rPr>
          <w:sz w:val="24"/>
          <w:lang w:val="de-DE"/>
        </w:rPr>
        <w:tab/>
      </w:r>
      <w:proofErr w:type="spellStart"/>
      <w:r w:rsidRPr="00B850D0">
        <w:rPr>
          <w:sz w:val="24"/>
          <w:lang w:val="de-DE"/>
        </w:rPr>
        <w:t>ABl.</w:t>
      </w:r>
      <w:proofErr w:type="spellEnd"/>
      <w:r w:rsidRPr="00B850D0">
        <w:rPr>
          <w:sz w:val="24"/>
          <w:lang w:val="de-DE"/>
        </w:rPr>
        <w:t xml:space="preserve"> L 268 vom 18.10.2003, S. 1, ELI: </w:t>
      </w:r>
      <w:hyperlink r:id="rId1" w:tooltip="Gives access to this document through its ELI URI." w:history="1">
        <w:r w:rsidRPr="00B850D0">
          <w:rPr>
            <w:rStyle w:val="Hyperlink"/>
            <w:sz w:val="24"/>
            <w:lang w:val="de-DE"/>
          </w:rPr>
          <w:t>http://data.europa.eu/eli/reg/2003/1829/oj</w:t>
        </w:r>
      </w:hyperlink>
      <w:r w:rsidRPr="00B850D0">
        <w:rPr>
          <w:sz w:val="24"/>
          <w:lang w:val="de-DE"/>
        </w:rPr>
        <w:t>.</w:t>
      </w:r>
    </w:p>
  </w:footnote>
  <w:footnote w:id="2">
    <w:p w14:paraId="06702764" w14:textId="3061ECFD" w:rsidR="00416401" w:rsidRPr="00B850D0" w:rsidRDefault="00416401" w:rsidP="00B850D0">
      <w:pPr>
        <w:pStyle w:val="FootnoteText"/>
        <w:ind w:left="567" w:hanging="567"/>
        <w:rPr>
          <w:sz w:val="24"/>
          <w:lang w:val="de-DE"/>
        </w:rPr>
      </w:pPr>
      <w:r w:rsidRPr="00B850D0">
        <w:rPr>
          <w:rStyle w:val="FootnoteReference"/>
          <w:sz w:val="24"/>
          <w:lang w:val="de-DE"/>
        </w:rPr>
        <w:footnoteRef/>
      </w:r>
      <w:r w:rsidR="00B850D0" w:rsidRPr="00B850D0">
        <w:rPr>
          <w:sz w:val="24"/>
          <w:lang w:val="de-DE"/>
        </w:rPr>
        <w:t xml:space="preserve"> </w:t>
      </w:r>
      <w:r w:rsidR="00B850D0" w:rsidRPr="00B850D0">
        <w:rPr>
          <w:sz w:val="24"/>
          <w:lang w:val="de-DE"/>
        </w:rPr>
        <w:tab/>
      </w:r>
      <w:proofErr w:type="spellStart"/>
      <w:r w:rsidRPr="00B850D0">
        <w:rPr>
          <w:sz w:val="24"/>
          <w:lang w:val="de-DE"/>
        </w:rPr>
        <w:t>ABl.</w:t>
      </w:r>
      <w:proofErr w:type="spellEnd"/>
      <w:r w:rsidRPr="00B850D0">
        <w:rPr>
          <w:sz w:val="24"/>
          <w:lang w:val="de-DE"/>
        </w:rPr>
        <w:t xml:space="preserve"> L 55 vom 28.2.2011, S. 13, ELI: </w:t>
      </w:r>
      <w:hyperlink r:id="rId2" w:history="1">
        <w:r w:rsidRPr="00B850D0">
          <w:rPr>
            <w:rStyle w:val="Hyperlink"/>
            <w:sz w:val="24"/>
            <w:lang w:val="de-DE"/>
          </w:rPr>
          <w:t>http://data.europa.eu/eli/reg/2011/182/oj</w:t>
        </w:r>
      </w:hyperlink>
      <w:r w:rsidRPr="00B850D0">
        <w:rPr>
          <w:sz w:val="24"/>
          <w:lang w:val="de-DE"/>
        </w:rPr>
        <w:t>.</w:t>
      </w:r>
    </w:p>
  </w:footnote>
  <w:footnote w:id="3">
    <w:p w14:paraId="17A3EA77" w14:textId="7C45FA23" w:rsidR="00416401" w:rsidRPr="00B850D0" w:rsidRDefault="00416401" w:rsidP="00B850D0">
      <w:pPr>
        <w:pStyle w:val="FootnoteText"/>
        <w:suppressAutoHyphens/>
        <w:ind w:left="567" w:hanging="567"/>
        <w:rPr>
          <w:sz w:val="24"/>
          <w:lang w:val="de-DE"/>
        </w:rPr>
      </w:pPr>
      <w:r w:rsidRPr="00B850D0">
        <w:rPr>
          <w:rStyle w:val="FootnoteReference"/>
          <w:sz w:val="24"/>
          <w:lang w:val="de-DE"/>
        </w:rPr>
        <w:footnoteRef/>
      </w:r>
      <w:r w:rsidR="00B850D0" w:rsidRPr="00B850D0">
        <w:rPr>
          <w:sz w:val="24"/>
          <w:lang w:val="de-DE"/>
        </w:rPr>
        <w:t xml:space="preserve"> </w:t>
      </w:r>
      <w:r w:rsidR="00B850D0" w:rsidRPr="00B850D0">
        <w:rPr>
          <w:sz w:val="24"/>
          <w:lang w:val="de-DE"/>
        </w:rPr>
        <w:tab/>
      </w:r>
      <w:r w:rsidRPr="00B850D0">
        <w:rPr>
          <w:sz w:val="24"/>
          <w:lang w:val="de-DE"/>
        </w:rPr>
        <w:t xml:space="preserve">Wissenschaftliche Stellungnahme des Gremiums der EFSA für genetisch veränderte Organismen zur Bewertung von genetisch veränderten Zuckerrüben der Sorte KWS20-1 (Antrag GMFF-2023-14732), </w:t>
      </w:r>
      <w:proofErr w:type="gramStart"/>
      <w:r w:rsidRPr="00B850D0">
        <w:rPr>
          <w:sz w:val="24"/>
          <w:lang w:val="de-DE"/>
        </w:rPr>
        <w:t>EFSA Journal</w:t>
      </w:r>
      <w:proofErr w:type="gramEnd"/>
      <w:r w:rsidRPr="00B850D0">
        <w:rPr>
          <w:sz w:val="24"/>
          <w:lang w:val="de-DE"/>
        </w:rPr>
        <w:t xml:space="preserve"> 2025; 23(5):9381, </w:t>
      </w:r>
      <w:hyperlink r:id="rId3" w:history="1">
        <w:r w:rsidRPr="00B850D0">
          <w:rPr>
            <w:rStyle w:val="Hyperlink"/>
            <w:sz w:val="24"/>
            <w:lang w:val="de-DE"/>
          </w:rPr>
          <w:t>https://doi.org/10.2903/j.efsa.2025.9381</w:t>
        </w:r>
      </w:hyperlink>
      <w:r w:rsidRPr="00B850D0">
        <w:rPr>
          <w:sz w:val="24"/>
          <w:lang w:val="de-DE"/>
        </w:rPr>
        <w:t>.</w:t>
      </w:r>
    </w:p>
  </w:footnote>
  <w:footnote w:id="4">
    <w:p w14:paraId="0666A77C" w14:textId="75F5F4BB" w:rsidR="00416401" w:rsidRPr="00B850D0" w:rsidRDefault="00416401" w:rsidP="00B850D0">
      <w:pPr>
        <w:pStyle w:val="FootnoteText"/>
        <w:suppressAutoHyphens/>
        <w:ind w:left="567" w:hanging="567"/>
        <w:rPr>
          <w:color w:val="000000" w:themeColor="text1"/>
          <w:sz w:val="24"/>
          <w:vertAlign w:val="superscript"/>
          <w:lang w:val="de-DE"/>
        </w:rPr>
      </w:pPr>
      <w:r w:rsidRPr="00B850D0">
        <w:rPr>
          <w:rStyle w:val="FootnoteReference"/>
          <w:sz w:val="24"/>
          <w:lang w:val="de-DE"/>
        </w:rPr>
        <w:footnoteRef/>
      </w:r>
      <w:r w:rsidR="00B850D0" w:rsidRPr="00B850D0">
        <w:rPr>
          <w:color w:val="000000" w:themeColor="text1"/>
          <w:sz w:val="24"/>
          <w:lang w:val="de-DE"/>
        </w:rPr>
        <w:t xml:space="preserve"> </w:t>
      </w:r>
      <w:r w:rsidR="00B850D0" w:rsidRPr="00B850D0">
        <w:rPr>
          <w:color w:val="000000" w:themeColor="text1"/>
          <w:sz w:val="24"/>
          <w:lang w:val="de-DE"/>
        </w:rPr>
        <w:tab/>
      </w:r>
      <w:r w:rsidRPr="00B850D0">
        <w:rPr>
          <w:color w:val="000000" w:themeColor="text1"/>
          <w:sz w:val="24"/>
          <w:lang w:val="de-DE"/>
        </w:rPr>
        <w:t>In der achten Wahlperiode nahm das Parlament 36 Entschließungen und in der neunten Wahlperiode 38 Entschließungen an, in denen Einwände gegen die Zulassung von GVO erhoben wurden. Zudem hat das Parlament in der zehnten Wahlperiode die folgenden Entschließungen angenommen:</w:t>
      </w:r>
    </w:p>
    <w:p w14:paraId="2B33E1C4" w14:textId="3DEA41CF" w:rsidR="00416401" w:rsidRPr="000E0C1B" w:rsidRDefault="00416401" w:rsidP="000E0C1B">
      <w:pPr>
        <w:pStyle w:val="FootnoteText"/>
        <w:suppressAutoHyphens/>
        <w:ind w:left="1134" w:hanging="567"/>
        <w:rPr>
          <w:color w:val="000000" w:themeColor="text1"/>
          <w:sz w:val="24"/>
          <w:vertAlign w:val="superscript"/>
          <w:lang w:val="fi-FI"/>
        </w:rPr>
      </w:pPr>
      <w:r w:rsidRPr="00B850D0">
        <w:rPr>
          <w:color w:val="000000" w:themeColor="text1"/>
          <w:sz w:val="24"/>
          <w:lang w:val="de-DE"/>
        </w:rPr>
        <w:t>–</w:t>
      </w:r>
      <w:r w:rsidRPr="00B850D0">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proofErr w:type="spellStart"/>
      <w:r w:rsidRPr="00B850D0">
        <w:rPr>
          <w:color w:val="000000" w:themeColor="text1"/>
          <w:sz w:val="24"/>
          <w:lang w:val="de-DE"/>
        </w:rPr>
        <w:t>ABl.</w:t>
      </w:r>
      <w:proofErr w:type="spellEnd"/>
      <w:r w:rsidRPr="00B850D0">
        <w:rPr>
          <w:color w:val="000000" w:themeColor="text1"/>
          <w:sz w:val="24"/>
          <w:lang w:val="de-DE"/>
        </w:rPr>
        <w:t> </w:t>
      </w:r>
      <w:r w:rsidRPr="000E0C1B">
        <w:rPr>
          <w:color w:val="000000" w:themeColor="text1"/>
          <w:sz w:val="24"/>
          <w:lang w:val="fi-FI"/>
        </w:rPr>
        <w:t xml:space="preserve">C, C/2025/1798, 4.4.2025, ELI: </w:t>
      </w:r>
      <w:hyperlink r:id="rId4" w:history="1">
        <w:r w:rsidRPr="000E0C1B">
          <w:rPr>
            <w:rStyle w:val="Hyperlink"/>
            <w:sz w:val="24"/>
            <w:lang w:val="fi-FI"/>
          </w:rPr>
          <w:t>http://data.europa.eu/eli/C/2025/1797/oj</w:t>
        </w:r>
      </w:hyperlink>
      <w:r w:rsidRPr="000E0C1B">
        <w:rPr>
          <w:color w:val="000000" w:themeColor="text1"/>
          <w:sz w:val="24"/>
          <w:lang w:val="fi-FI"/>
        </w:rPr>
        <w:t>).</w:t>
      </w:r>
    </w:p>
    <w:p w14:paraId="0068EC02" w14:textId="5EEB77D7" w:rsidR="00416401" w:rsidRPr="000E0C1B" w:rsidRDefault="00416401" w:rsidP="000E0C1B">
      <w:pPr>
        <w:pStyle w:val="FootnoteText"/>
        <w:suppressAutoHyphens/>
        <w:ind w:left="1134" w:hanging="567"/>
        <w:rPr>
          <w:color w:val="000000" w:themeColor="text1"/>
          <w:sz w:val="24"/>
          <w:vertAlign w:val="superscript"/>
          <w:lang w:val="fi-FI"/>
        </w:rPr>
      </w:pPr>
      <w:r w:rsidRPr="00B850D0">
        <w:rPr>
          <w:color w:val="000000" w:themeColor="text1"/>
          <w:sz w:val="24"/>
          <w:lang w:val="de-DE"/>
        </w:rPr>
        <w:t>–</w:t>
      </w:r>
      <w:r w:rsidRPr="00B850D0">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proofErr w:type="spellStart"/>
      <w:r w:rsidRPr="00B850D0">
        <w:rPr>
          <w:color w:val="000000" w:themeColor="text1"/>
          <w:sz w:val="24"/>
          <w:lang w:val="de-DE"/>
        </w:rPr>
        <w:t>ABl.</w:t>
      </w:r>
      <w:proofErr w:type="spellEnd"/>
      <w:r w:rsidRPr="00B850D0">
        <w:rPr>
          <w:color w:val="000000" w:themeColor="text1"/>
          <w:sz w:val="24"/>
          <w:lang w:val="de-DE"/>
        </w:rPr>
        <w:t> </w:t>
      </w:r>
      <w:r w:rsidRPr="000E0C1B">
        <w:rPr>
          <w:color w:val="000000" w:themeColor="text1"/>
          <w:sz w:val="24"/>
          <w:lang w:val="fi-FI"/>
        </w:rPr>
        <w:t xml:space="preserve">C, C/2025/1798, 4.4.2025, ELI: </w:t>
      </w:r>
      <w:hyperlink r:id="rId5" w:history="1">
        <w:r w:rsidRPr="000E0C1B">
          <w:rPr>
            <w:rStyle w:val="Hyperlink"/>
            <w:sz w:val="24"/>
            <w:lang w:val="fi-FI"/>
          </w:rPr>
          <w:t>http://data.europa.eu/eli/C/2025/1798/oj</w:t>
        </w:r>
      </w:hyperlink>
      <w:r w:rsidRPr="000E0C1B">
        <w:rPr>
          <w:color w:val="000000" w:themeColor="text1"/>
          <w:sz w:val="24"/>
          <w:lang w:val="fi-FI"/>
        </w:rPr>
        <w:t>).</w:t>
      </w:r>
    </w:p>
    <w:p w14:paraId="5432A6FF" w14:textId="0A61648D" w:rsidR="00416401" w:rsidRPr="000E0C1B" w:rsidRDefault="00416401" w:rsidP="000E0C1B">
      <w:pPr>
        <w:pStyle w:val="FootnoteText"/>
        <w:suppressAutoHyphens/>
        <w:ind w:left="1134" w:hanging="567"/>
        <w:rPr>
          <w:color w:val="000000" w:themeColor="text1"/>
          <w:sz w:val="24"/>
          <w:vertAlign w:val="superscript"/>
          <w:lang w:val="fi-FI"/>
        </w:rPr>
      </w:pPr>
      <w:r w:rsidRPr="00B850D0">
        <w:rPr>
          <w:color w:val="000000" w:themeColor="text1"/>
          <w:sz w:val="24"/>
          <w:lang w:val="de-DE"/>
        </w:rPr>
        <w:t>–</w:t>
      </w:r>
      <w:r w:rsidRPr="00B850D0">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proofErr w:type="spellStart"/>
      <w:r w:rsidRPr="00B850D0">
        <w:rPr>
          <w:color w:val="000000" w:themeColor="text1"/>
          <w:sz w:val="24"/>
          <w:lang w:val="de-DE"/>
        </w:rPr>
        <w:t>ABl.</w:t>
      </w:r>
      <w:proofErr w:type="spellEnd"/>
      <w:r w:rsidRPr="00B850D0">
        <w:rPr>
          <w:color w:val="000000" w:themeColor="text1"/>
          <w:sz w:val="24"/>
          <w:lang w:val="de-DE"/>
        </w:rPr>
        <w:t> </w:t>
      </w:r>
      <w:r w:rsidRPr="000E0C1B">
        <w:rPr>
          <w:color w:val="000000" w:themeColor="text1"/>
          <w:sz w:val="24"/>
          <w:lang w:val="fi-FI"/>
        </w:rPr>
        <w:t xml:space="preserve">C, C/2025/1799, 4.4.2025, ELI: </w:t>
      </w:r>
      <w:hyperlink r:id="rId6" w:history="1">
        <w:r w:rsidRPr="000E0C1B">
          <w:rPr>
            <w:rStyle w:val="Hyperlink"/>
            <w:sz w:val="24"/>
            <w:lang w:val="fi-FI"/>
          </w:rPr>
          <w:t>http://data.europa.eu/eli/C/2025/1799/oj</w:t>
        </w:r>
      </w:hyperlink>
      <w:r w:rsidRPr="000E0C1B">
        <w:rPr>
          <w:color w:val="000000" w:themeColor="text1"/>
          <w:sz w:val="24"/>
          <w:lang w:val="fi-FI"/>
        </w:rPr>
        <w:t>).</w:t>
      </w:r>
    </w:p>
    <w:p w14:paraId="363D6D2A" w14:textId="555B28D9" w:rsidR="00416401" w:rsidRPr="000E0C1B" w:rsidRDefault="00416401" w:rsidP="000E0C1B">
      <w:pPr>
        <w:pStyle w:val="FootnoteText"/>
        <w:ind w:left="1134" w:hanging="567"/>
        <w:rPr>
          <w:color w:val="000000" w:themeColor="text1"/>
          <w:sz w:val="24"/>
          <w:vertAlign w:val="superscript"/>
          <w:lang w:val="fi-FI"/>
        </w:rPr>
      </w:pPr>
      <w:r w:rsidRPr="00B850D0">
        <w:rPr>
          <w:color w:val="000000" w:themeColor="text1"/>
          <w:sz w:val="24"/>
          <w:lang w:val="de-DE"/>
        </w:rPr>
        <w:t>–</w:t>
      </w:r>
      <w:r w:rsidRPr="00B850D0">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proofErr w:type="spellStart"/>
      <w:r w:rsidRPr="00B850D0">
        <w:rPr>
          <w:color w:val="000000" w:themeColor="text1"/>
          <w:sz w:val="24"/>
          <w:lang w:val="de-DE"/>
        </w:rPr>
        <w:t>ABl.</w:t>
      </w:r>
      <w:proofErr w:type="spellEnd"/>
      <w:r w:rsidRPr="00B850D0">
        <w:rPr>
          <w:color w:val="000000" w:themeColor="text1"/>
          <w:sz w:val="24"/>
          <w:lang w:val="de-DE"/>
        </w:rPr>
        <w:t> </w:t>
      </w:r>
      <w:r w:rsidRPr="000E0C1B">
        <w:rPr>
          <w:color w:val="000000" w:themeColor="text1"/>
          <w:sz w:val="24"/>
          <w:lang w:val="fi-FI"/>
        </w:rPr>
        <w:t xml:space="preserve">C, C/2025/1800, 4.4.2025, ELI: </w:t>
      </w:r>
      <w:hyperlink r:id="rId7" w:history="1">
        <w:r w:rsidRPr="000E0C1B">
          <w:rPr>
            <w:rStyle w:val="Hyperlink"/>
            <w:sz w:val="24"/>
            <w:lang w:val="fi-FI"/>
          </w:rPr>
          <w:t>http://data.europa.eu/eli/C/2025/1800/oj</w:t>
        </w:r>
      </w:hyperlink>
      <w:r w:rsidRPr="000E0C1B">
        <w:rPr>
          <w:color w:val="000000" w:themeColor="text1"/>
          <w:sz w:val="24"/>
          <w:lang w:val="fi-FI"/>
        </w:rPr>
        <w:t>).</w:t>
      </w:r>
    </w:p>
    <w:p w14:paraId="6D91B507" w14:textId="253AEC71" w:rsidR="00416401" w:rsidRPr="000E0C1B" w:rsidRDefault="00416401" w:rsidP="000E0C1B">
      <w:pPr>
        <w:pStyle w:val="FootnoteText"/>
        <w:ind w:left="1134" w:hanging="567"/>
        <w:rPr>
          <w:color w:val="000000" w:themeColor="text1"/>
          <w:sz w:val="24"/>
          <w:vertAlign w:val="superscript"/>
          <w:lang w:val="fi-FI"/>
        </w:rPr>
      </w:pPr>
      <w:r w:rsidRPr="00B850D0">
        <w:rPr>
          <w:color w:val="000000" w:themeColor="text1"/>
          <w:sz w:val="24"/>
          <w:lang w:val="de-DE"/>
        </w:rPr>
        <w:t>–</w:t>
      </w:r>
      <w:r w:rsidRPr="00B850D0">
        <w:rPr>
          <w:color w:val="000000" w:themeColor="text1"/>
          <w:sz w:val="24"/>
          <w:lang w:val="de-DE"/>
        </w:rPr>
        <w:tab/>
        <w:t>Entschließung des Europäischen Parlaments vom 26. November 2024 zu dem Durchführungsbeschluss (EU) 2024/1822 der Kommission zur Zulassung des Inverkehrbringens von Erzeugnissen, die genetisch veränderten Mais der Sorte DP915635 enthalten, aus ihm bestehen oder aus ihm hergestellt werden, gemäß der Verordnung (EG) Nr. 1829/2003 des Europäischen Parlaments und des Rates (</w:t>
      </w:r>
      <w:proofErr w:type="spellStart"/>
      <w:r w:rsidRPr="00B850D0">
        <w:rPr>
          <w:color w:val="000000" w:themeColor="text1"/>
          <w:sz w:val="24"/>
          <w:lang w:val="de-DE"/>
        </w:rPr>
        <w:t>ABl.</w:t>
      </w:r>
      <w:proofErr w:type="spellEnd"/>
      <w:r w:rsidRPr="00B850D0">
        <w:rPr>
          <w:color w:val="000000" w:themeColor="text1"/>
          <w:sz w:val="24"/>
          <w:lang w:val="de-DE"/>
        </w:rPr>
        <w:t> </w:t>
      </w:r>
      <w:r w:rsidRPr="000E0C1B">
        <w:rPr>
          <w:color w:val="000000" w:themeColor="text1"/>
          <w:sz w:val="24"/>
          <w:lang w:val="fi-FI"/>
        </w:rPr>
        <w:t xml:space="preserve">C, C/2025/1801, 4.4.2025, ELI: </w:t>
      </w:r>
      <w:hyperlink r:id="rId8" w:history="1">
        <w:r w:rsidRPr="000E0C1B">
          <w:rPr>
            <w:rStyle w:val="Hyperlink"/>
            <w:sz w:val="24"/>
            <w:lang w:val="fi-FI"/>
          </w:rPr>
          <w:t>http://data.europa.eu/eli/C/2025/1801/oj</w:t>
        </w:r>
      </w:hyperlink>
      <w:r w:rsidRPr="000E0C1B">
        <w:rPr>
          <w:color w:val="000000" w:themeColor="text1"/>
          <w:sz w:val="24"/>
          <w:lang w:val="fi-FI"/>
        </w:rPr>
        <w:t>).</w:t>
      </w:r>
    </w:p>
    <w:p w14:paraId="09DAC668" w14:textId="608D7C32" w:rsidR="00416401" w:rsidRPr="000E0C1B" w:rsidRDefault="00416401" w:rsidP="000E0C1B">
      <w:pPr>
        <w:pStyle w:val="FootnoteText"/>
        <w:ind w:left="1134" w:hanging="567"/>
        <w:rPr>
          <w:color w:val="000000" w:themeColor="text1"/>
          <w:sz w:val="24"/>
          <w:vertAlign w:val="superscript"/>
          <w:lang w:val="fi-FI"/>
        </w:rPr>
      </w:pPr>
      <w:r w:rsidRPr="00B850D0">
        <w:rPr>
          <w:color w:val="000000" w:themeColor="text1"/>
          <w:sz w:val="24"/>
          <w:lang w:val="de-DE"/>
        </w:rPr>
        <w:t>–</w:t>
      </w:r>
      <w:r w:rsidRPr="00B850D0">
        <w:rPr>
          <w:color w:val="000000" w:themeColor="text1"/>
          <w:sz w:val="24"/>
          <w:lang w:val="de-DE"/>
        </w:rPr>
        <w:tab/>
        <w:t>Entschließung des Europäischen Parlaments vom 26. November 2024 zu dem Durchführungsbeschluss (EU) 2024/1826 der Kommission zur Zulassung des Inverkehrbringens von Erzeugnissen, die genetisch veränderten Mais der Sorte DP23211 enthalten, aus ihm bestehen oder aus ihm hergestellt werden, gemäß der Verordnung (EG) Nr. 1829/2003 des Europäischen Parlaments und des Rates (</w:t>
      </w:r>
      <w:proofErr w:type="spellStart"/>
      <w:r w:rsidRPr="00B850D0">
        <w:rPr>
          <w:color w:val="000000" w:themeColor="text1"/>
          <w:sz w:val="24"/>
          <w:lang w:val="de-DE"/>
        </w:rPr>
        <w:t>ABl.</w:t>
      </w:r>
      <w:proofErr w:type="spellEnd"/>
      <w:r w:rsidRPr="00B850D0">
        <w:rPr>
          <w:color w:val="000000" w:themeColor="text1"/>
          <w:sz w:val="24"/>
          <w:lang w:val="de-DE"/>
        </w:rPr>
        <w:t> </w:t>
      </w:r>
      <w:r w:rsidRPr="000E0C1B">
        <w:rPr>
          <w:color w:val="000000" w:themeColor="text1"/>
          <w:sz w:val="24"/>
          <w:lang w:val="fi-FI"/>
        </w:rPr>
        <w:t xml:space="preserve">C, C/2025/1802, 4.4.2025, ELI: </w:t>
      </w:r>
      <w:hyperlink r:id="rId9" w:history="1">
        <w:r w:rsidRPr="000E0C1B">
          <w:rPr>
            <w:rStyle w:val="Hyperlink"/>
            <w:sz w:val="24"/>
            <w:lang w:val="fi-FI"/>
          </w:rPr>
          <w:t>http://data.europa.eu/eli/C/2025/1802/oj</w:t>
        </w:r>
      </w:hyperlink>
      <w:r w:rsidRPr="000E0C1B">
        <w:rPr>
          <w:color w:val="000000" w:themeColor="text1"/>
          <w:sz w:val="24"/>
          <w:lang w:val="fi-FI"/>
        </w:rPr>
        <w:t>).</w:t>
      </w:r>
    </w:p>
    <w:p w14:paraId="28FA36CF" w14:textId="2EE27F81" w:rsidR="00416401" w:rsidRPr="000E0C1B" w:rsidRDefault="00416401" w:rsidP="000E0C1B">
      <w:pPr>
        <w:pStyle w:val="FootnoteText"/>
        <w:ind w:left="1134" w:hanging="567"/>
        <w:rPr>
          <w:color w:val="000000" w:themeColor="text1"/>
          <w:sz w:val="24"/>
          <w:vertAlign w:val="superscript"/>
          <w:lang w:val="fi-FI"/>
        </w:rPr>
      </w:pPr>
      <w:r w:rsidRPr="00B850D0">
        <w:rPr>
          <w:color w:val="000000" w:themeColor="text1"/>
          <w:sz w:val="24"/>
          <w:lang w:val="de-DE"/>
        </w:rPr>
        <w:t>–</w:t>
      </w:r>
      <w:r w:rsidRPr="00B850D0">
        <w:rPr>
          <w:color w:val="000000" w:themeColor="text1"/>
          <w:sz w:val="24"/>
          <w:lang w:val="de-DE"/>
        </w:rPr>
        <w:tab/>
        <w:t>Entschließung des Europäischen Parlaments vom 26. November 2024 zu dem Durchführungsbeschluss (EU) 2024/2618 der Kommission zur Zulassung des Inverkehrbringens von Erzeugnissen, die genetisch veränderten Mais der Sorte DP202216 enthalten, aus ihm bestehen oder aus ihm hergestellt werden, gemäß der Verordnung (EG) Nr. 1829/2003 des Europäischen Parlaments und des Rates (</w:t>
      </w:r>
      <w:proofErr w:type="spellStart"/>
      <w:r w:rsidRPr="00B850D0">
        <w:rPr>
          <w:color w:val="000000" w:themeColor="text1"/>
          <w:sz w:val="24"/>
          <w:lang w:val="de-DE"/>
        </w:rPr>
        <w:t>ABl.</w:t>
      </w:r>
      <w:proofErr w:type="spellEnd"/>
      <w:r w:rsidRPr="00B850D0">
        <w:rPr>
          <w:color w:val="000000" w:themeColor="text1"/>
          <w:sz w:val="24"/>
          <w:lang w:val="de-DE"/>
        </w:rPr>
        <w:t> </w:t>
      </w:r>
      <w:r w:rsidRPr="000E0C1B">
        <w:rPr>
          <w:color w:val="000000" w:themeColor="text1"/>
          <w:sz w:val="24"/>
          <w:lang w:val="fi-FI"/>
        </w:rPr>
        <w:t xml:space="preserve">C, C/2025/1803, 4.4.2025, ELI: </w:t>
      </w:r>
      <w:hyperlink r:id="rId10" w:history="1">
        <w:r w:rsidRPr="000E0C1B">
          <w:rPr>
            <w:rStyle w:val="Hyperlink"/>
            <w:sz w:val="24"/>
            <w:lang w:val="fi-FI"/>
          </w:rPr>
          <w:t>http://data.europa.eu/eli/C/2025/1803/oj</w:t>
        </w:r>
      </w:hyperlink>
      <w:r w:rsidRPr="000E0C1B">
        <w:rPr>
          <w:color w:val="000000" w:themeColor="text1"/>
          <w:sz w:val="24"/>
          <w:lang w:val="fi-FI"/>
        </w:rPr>
        <w:t>).</w:t>
      </w:r>
    </w:p>
    <w:p w14:paraId="2215716D" w14:textId="42423C93" w:rsidR="00416401" w:rsidRPr="000E0C1B" w:rsidRDefault="00416401" w:rsidP="000E0C1B">
      <w:pPr>
        <w:pStyle w:val="FootnoteText"/>
        <w:ind w:left="1134" w:hanging="567"/>
        <w:rPr>
          <w:color w:val="000000" w:themeColor="text1"/>
          <w:sz w:val="24"/>
          <w:vertAlign w:val="superscript"/>
          <w:lang w:val="fi-FI"/>
        </w:rPr>
      </w:pPr>
      <w:r w:rsidRPr="00B850D0">
        <w:rPr>
          <w:color w:val="000000" w:themeColor="text1"/>
          <w:sz w:val="24"/>
          <w:lang w:val="de-DE"/>
        </w:rPr>
        <w:t>–</w:t>
      </w:r>
      <w:r w:rsidRPr="00B850D0">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proofErr w:type="spellStart"/>
      <w:r w:rsidRPr="00B850D0">
        <w:rPr>
          <w:color w:val="000000" w:themeColor="text1"/>
          <w:sz w:val="24"/>
          <w:lang w:val="de-DE"/>
        </w:rPr>
        <w:t>ABl.</w:t>
      </w:r>
      <w:proofErr w:type="spellEnd"/>
      <w:r w:rsidRPr="00B850D0">
        <w:rPr>
          <w:color w:val="000000" w:themeColor="text1"/>
          <w:sz w:val="24"/>
          <w:lang w:val="de-DE"/>
        </w:rPr>
        <w:t> </w:t>
      </w:r>
      <w:r w:rsidRPr="000E0C1B">
        <w:rPr>
          <w:color w:val="000000" w:themeColor="text1"/>
          <w:sz w:val="24"/>
          <w:lang w:val="fi-FI"/>
        </w:rPr>
        <w:t xml:space="preserve">C, C/2025/1804, 4.4.2025, ELI: </w:t>
      </w:r>
      <w:hyperlink r:id="rId11" w:history="1">
        <w:r w:rsidRPr="000E0C1B">
          <w:rPr>
            <w:rStyle w:val="Hyperlink"/>
            <w:sz w:val="24"/>
            <w:lang w:val="fi-FI"/>
          </w:rPr>
          <w:t>http://data.europa.eu/eli/C/2025/1804/oj</w:t>
        </w:r>
      </w:hyperlink>
      <w:r w:rsidRPr="000E0C1B">
        <w:rPr>
          <w:color w:val="000000" w:themeColor="text1"/>
          <w:sz w:val="24"/>
          <w:lang w:val="fi-FI"/>
        </w:rPr>
        <w:t>).</w:t>
      </w:r>
    </w:p>
    <w:p w14:paraId="2BAD2E5A" w14:textId="021A9C89" w:rsidR="00416401" w:rsidRPr="000E0C1B" w:rsidRDefault="00416401" w:rsidP="000E0C1B">
      <w:pPr>
        <w:pStyle w:val="FootnoteText"/>
        <w:ind w:left="1134" w:hanging="567"/>
        <w:rPr>
          <w:sz w:val="24"/>
          <w:vertAlign w:val="superscript"/>
          <w:lang w:val="fi-FI"/>
        </w:rPr>
      </w:pPr>
      <w:r w:rsidRPr="00B850D0">
        <w:rPr>
          <w:color w:val="000000" w:themeColor="text1"/>
          <w:sz w:val="24"/>
          <w:lang w:val="de-DE"/>
        </w:rPr>
        <w:t>–</w:t>
      </w:r>
      <w:r w:rsidRPr="00B850D0">
        <w:rPr>
          <w:color w:val="000000" w:themeColor="text1"/>
          <w:sz w:val="24"/>
          <w:lang w:val="de-DE"/>
        </w:rPr>
        <w:tab/>
      </w:r>
      <w:r w:rsidRPr="00B850D0">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proofErr w:type="spellStart"/>
      <w:r w:rsidRPr="00B850D0">
        <w:rPr>
          <w:sz w:val="24"/>
          <w:lang w:val="de-DE"/>
        </w:rPr>
        <w:t>ABl.</w:t>
      </w:r>
      <w:proofErr w:type="spellEnd"/>
      <w:r w:rsidRPr="00B850D0">
        <w:rPr>
          <w:sz w:val="24"/>
          <w:lang w:val="de-DE"/>
        </w:rPr>
        <w:t> </w:t>
      </w:r>
      <w:r w:rsidRPr="000E0C1B">
        <w:rPr>
          <w:sz w:val="24"/>
          <w:lang w:val="fi-FI"/>
        </w:rPr>
        <w:t xml:space="preserve">C, C/2025/2246, 29.4.2025, ELI: </w:t>
      </w:r>
      <w:hyperlink r:id="rId12" w:tooltip="Gives access to this document through its ELI URI." w:history="1">
        <w:r w:rsidRPr="000E0C1B">
          <w:rPr>
            <w:rStyle w:val="Hyperlink"/>
            <w:sz w:val="24"/>
            <w:lang w:val="fi-FI"/>
          </w:rPr>
          <w:t>http://data.europa.eu/eli/C/2025/2246/oj</w:t>
        </w:r>
      </w:hyperlink>
      <w:r w:rsidRPr="000E0C1B">
        <w:rPr>
          <w:sz w:val="24"/>
          <w:lang w:val="fi-FI"/>
        </w:rPr>
        <w:t>).</w:t>
      </w:r>
    </w:p>
    <w:p w14:paraId="2DD7FEAD" w14:textId="51F3F209" w:rsidR="00416401" w:rsidRPr="000E0C1B" w:rsidRDefault="00416401" w:rsidP="000E0C1B">
      <w:pPr>
        <w:pStyle w:val="FootnoteText"/>
        <w:ind w:left="1134" w:hanging="567"/>
        <w:rPr>
          <w:sz w:val="24"/>
          <w:vertAlign w:val="superscript"/>
          <w:lang w:val="fi-FI"/>
        </w:rPr>
      </w:pPr>
      <w:r w:rsidRPr="00B850D0">
        <w:rPr>
          <w:sz w:val="24"/>
          <w:lang w:val="de-DE"/>
        </w:rPr>
        <w:t>–</w:t>
      </w:r>
      <w:r w:rsidRPr="00B850D0">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proofErr w:type="spellStart"/>
      <w:r w:rsidRPr="00B850D0">
        <w:rPr>
          <w:sz w:val="24"/>
          <w:lang w:val="de-DE"/>
        </w:rPr>
        <w:t>ABl.</w:t>
      </w:r>
      <w:proofErr w:type="spellEnd"/>
      <w:r w:rsidRPr="00B850D0">
        <w:rPr>
          <w:sz w:val="24"/>
          <w:lang w:val="de-DE"/>
        </w:rPr>
        <w:t> </w:t>
      </w:r>
      <w:r w:rsidRPr="000E0C1B">
        <w:rPr>
          <w:sz w:val="24"/>
          <w:lang w:val="fi-FI"/>
        </w:rPr>
        <w:t xml:space="preserve">C, C/2025/2247, 29.4.2025, ELI: </w:t>
      </w:r>
      <w:hyperlink r:id="rId13" w:tooltip="Gives access to this document through its ELI URI." w:history="1">
        <w:r w:rsidRPr="000E0C1B">
          <w:rPr>
            <w:rStyle w:val="Hyperlink"/>
            <w:sz w:val="24"/>
            <w:lang w:val="fi-FI"/>
          </w:rPr>
          <w:t>http://data.europa.eu/eli/C/2025/2247/oj</w:t>
        </w:r>
      </w:hyperlink>
      <w:r w:rsidRPr="000E0C1B">
        <w:rPr>
          <w:sz w:val="24"/>
          <w:lang w:val="fi-FI"/>
        </w:rPr>
        <w:t>).</w:t>
      </w:r>
    </w:p>
    <w:p w14:paraId="5251ED5E" w14:textId="16991AF1" w:rsidR="00416401" w:rsidRPr="00B850D0" w:rsidRDefault="00416401" w:rsidP="000E0C1B">
      <w:pPr>
        <w:pStyle w:val="FootnoteText"/>
        <w:ind w:left="1134" w:hanging="567"/>
        <w:rPr>
          <w:sz w:val="24"/>
          <w:vertAlign w:val="superscript"/>
          <w:lang w:val="de-DE"/>
        </w:rPr>
      </w:pPr>
      <w:r w:rsidRPr="00B850D0">
        <w:rPr>
          <w:sz w:val="24"/>
          <w:lang w:val="de-DE"/>
        </w:rPr>
        <w:t>–</w:t>
      </w:r>
      <w:r w:rsidRPr="00B850D0">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(P10_</w:t>
      </w:r>
      <w:proofErr w:type="gramStart"/>
      <w:r w:rsidRPr="00B850D0">
        <w:rPr>
          <w:sz w:val="24"/>
          <w:lang w:val="de-DE"/>
        </w:rPr>
        <w:t>TA(</w:t>
      </w:r>
      <w:proofErr w:type="gramEnd"/>
      <w:r w:rsidRPr="00B850D0">
        <w:rPr>
          <w:sz w:val="24"/>
          <w:lang w:val="de-DE"/>
        </w:rPr>
        <w:t>2025)0106).</w:t>
      </w:r>
    </w:p>
    <w:p w14:paraId="2C0C03AB" w14:textId="0AAB479A" w:rsidR="00416401" w:rsidRPr="00B850D0" w:rsidRDefault="00416401" w:rsidP="000E0C1B">
      <w:pPr>
        <w:pStyle w:val="FootnoteText"/>
        <w:ind w:left="1134" w:hanging="567"/>
        <w:rPr>
          <w:sz w:val="24"/>
          <w:vertAlign w:val="superscript"/>
          <w:lang w:val="de-DE"/>
        </w:rPr>
      </w:pPr>
      <w:r w:rsidRPr="00B850D0">
        <w:rPr>
          <w:sz w:val="24"/>
          <w:lang w:val="de-DE"/>
        </w:rPr>
        <w:t>–</w:t>
      </w:r>
      <w:r w:rsidRPr="00B850D0">
        <w:rPr>
          <w:sz w:val="24"/>
          <w:lang w:val="de-DE"/>
        </w:rPr>
        <w:tab/>
        <w:t>Entschließung des Europäischen Parlaments vom 8. Oktober 2025 zu dem Durchführungsbeschluss der Kommission (EU) 2025/1898 vom 22. September 2025 über die Zulassung des Inverkehrbringens von Erzeugnissen, die genetisch veränderten Mais der Sorte DP51291 enthalten, aus ihm bestehen oder aus ihm hergestellt werden, gemäß der Verordnung (EG) Nr. 1829/2003 des Europäischen Parlaments und des Rates (P10_</w:t>
      </w:r>
      <w:proofErr w:type="gramStart"/>
      <w:r w:rsidRPr="00B850D0">
        <w:rPr>
          <w:sz w:val="24"/>
          <w:lang w:val="de-DE"/>
        </w:rPr>
        <w:t>TA(</w:t>
      </w:r>
      <w:proofErr w:type="gramEnd"/>
      <w:r w:rsidRPr="00B850D0">
        <w:rPr>
          <w:sz w:val="24"/>
          <w:lang w:val="de-DE"/>
        </w:rPr>
        <w:t>2025)0222).</w:t>
      </w:r>
    </w:p>
    <w:p w14:paraId="63F58CC3" w14:textId="67E68D53" w:rsidR="00416401" w:rsidRPr="00B850D0" w:rsidRDefault="00416401" w:rsidP="000E0C1B">
      <w:pPr>
        <w:pStyle w:val="FootnoteText"/>
        <w:ind w:left="1134" w:hanging="567"/>
        <w:rPr>
          <w:sz w:val="24"/>
          <w:vertAlign w:val="superscript"/>
          <w:lang w:val="de-DE"/>
        </w:rPr>
      </w:pPr>
      <w:r w:rsidRPr="00B850D0">
        <w:rPr>
          <w:sz w:val="24"/>
          <w:lang w:val="de-DE"/>
        </w:rPr>
        <w:t>–</w:t>
      </w:r>
      <w:r w:rsidRPr="00B850D0">
        <w:rPr>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(P10_</w:t>
      </w:r>
      <w:proofErr w:type="gramStart"/>
      <w:r w:rsidRPr="00B850D0">
        <w:rPr>
          <w:sz w:val="24"/>
          <w:lang w:val="de-DE"/>
        </w:rPr>
        <w:t>TA(</w:t>
      </w:r>
      <w:proofErr w:type="gramEnd"/>
      <w:r w:rsidRPr="00B850D0">
        <w:rPr>
          <w:sz w:val="24"/>
          <w:lang w:val="de-DE"/>
        </w:rPr>
        <w:t>2025)0288).</w:t>
      </w:r>
    </w:p>
    <w:p w14:paraId="5E260648" w14:textId="12C893B4" w:rsidR="00416401" w:rsidRPr="00B850D0" w:rsidRDefault="00416401" w:rsidP="000E0C1B">
      <w:pPr>
        <w:pStyle w:val="FootnoteText"/>
        <w:ind w:left="1134" w:hanging="567"/>
        <w:rPr>
          <w:sz w:val="24"/>
          <w:vertAlign w:val="superscript"/>
          <w:lang w:val="de-DE"/>
        </w:rPr>
      </w:pPr>
      <w:r w:rsidRPr="00B850D0">
        <w:rPr>
          <w:sz w:val="24"/>
          <w:lang w:val="de-DE"/>
        </w:rPr>
        <w:t>–</w:t>
      </w:r>
      <w:r w:rsidRPr="00B850D0">
        <w:rPr>
          <w:sz w:val="24"/>
          <w:lang w:val="de-DE"/>
        </w:rPr>
        <w:tab/>
        <w:t>Entschließung des Europäischen Parlaments vom 25. November 2025 zu dem Entwurf eines Durchführungsbeschlusses der Kommission zur Erneuerung der Zulassung des Inverkehrbringens von Erzeugnissen, die genetisch veränderte Baumwolle der Sorte MON 88913 (MON-88913-8) enthalten, aus ihm bestehen oder aus ihm gewonnen werden, gemäß der Verordnung (EG) Nr. 1829/2003 des Europäischen Parlaments und des Rates (P10_</w:t>
      </w:r>
      <w:proofErr w:type="gramStart"/>
      <w:r w:rsidRPr="00B850D0">
        <w:rPr>
          <w:sz w:val="24"/>
          <w:lang w:val="de-DE"/>
        </w:rPr>
        <w:t>TA(</w:t>
      </w:r>
      <w:proofErr w:type="gramEnd"/>
      <w:r w:rsidRPr="00B850D0">
        <w:rPr>
          <w:sz w:val="24"/>
          <w:lang w:val="de-DE"/>
        </w:rPr>
        <w:t>2025)0289).</w:t>
      </w:r>
    </w:p>
    <w:p w14:paraId="73CBD224" w14:textId="33D71F1B" w:rsidR="00416401" w:rsidRPr="00B850D0" w:rsidRDefault="00416401" w:rsidP="000E0C1B">
      <w:pPr>
        <w:pStyle w:val="FootnoteText"/>
        <w:ind w:left="1134" w:hanging="567"/>
        <w:rPr>
          <w:sz w:val="24"/>
          <w:vertAlign w:val="superscript"/>
          <w:lang w:val="de-DE"/>
        </w:rPr>
      </w:pPr>
      <w:r w:rsidRPr="00B850D0">
        <w:rPr>
          <w:sz w:val="24"/>
          <w:lang w:val="de-DE"/>
        </w:rPr>
        <w:t>–</w:t>
      </w:r>
      <w:r w:rsidRPr="00B850D0">
        <w:rPr>
          <w:sz w:val="24"/>
          <w:lang w:val="de-DE"/>
        </w:rPr>
        <w:tab/>
        <w:t>Entschließung des Europäischen Parlaments vom 25. November 2025 zu dem Entwurf eines Durchführungsbeschlusses der Kommission zur Erneuerung der Zulassung des Inverkehrbringens von Erzeugnissen, die genetisch veränderten Raps der Sorte MON 88302 enthalten, aus ihm bestehen oder aus ihm hergestellt werden, gemäß der Verordnung (EG) Nr. 1829/2003 des Europäischen Parlaments und des Rates (P10_</w:t>
      </w:r>
      <w:proofErr w:type="gramStart"/>
      <w:r w:rsidRPr="00B850D0">
        <w:rPr>
          <w:sz w:val="24"/>
          <w:lang w:val="de-DE"/>
        </w:rPr>
        <w:t>TA(</w:t>
      </w:r>
      <w:proofErr w:type="gramEnd"/>
      <w:r w:rsidRPr="00B850D0">
        <w:rPr>
          <w:sz w:val="24"/>
          <w:lang w:val="de-DE"/>
        </w:rPr>
        <w:t>2025)0290).</w:t>
      </w:r>
    </w:p>
    <w:p w14:paraId="6D49B50C" w14:textId="5ED129EB" w:rsidR="00416401" w:rsidRPr="00B850D0" w:rsidRDefault="00416401" w:rsidP="000E0C1B">
      <w:pPr>
        <w:pStyle w:val="FootnoteText"/>
        <w:ind w:left="1134" w:hanging="567"/>
        <w:rPr>
          <w:sz w:val="24"/>
          <w:vertAlign w:val="superscript"/>
          <w:lang w:val="de-DE"/>
        </w:rPr>
      </w:pPr>
      <w:r w:rsidRPr="00B850D0">
        <w:rPr>
          <w:sz w:val="24"/>
          <w:lang w:val="de-DE"/>
        </w:rPr>
        <w:t>–</w:t>
      </w:r>
      <w:r w:rsidRPr="00B850D0">
        <w:rPr>
          <w:sz w:val="24"/>
          <w:lang w:val="de-DE"/>
        </w:rPr>
        <w:tab/>
        <w:t>Entschließung des Europäischen Parlaments vom 25. November 2025 zu dem Durchführungsbeschluss der Kommission zur Erneuerung der Zulassung des Inverkehrbringens von Erzeugnissen, die genetisch veränderte Sojabohnen der Sorte MON 87708 enthalten, aus ihnen bestehen oder aus ihnen gewonnen werden, gemäß der Verordnung (EG) Nr. 1829/2003 des Europäischen Parlaments und des Rates (P10_</w:t>
      </w:r>
      <w:proofErr w:type="gramStart"/>
      <w:r w:rsidRPr="00B850D0">
        <w:rPr>
          <w:sz w:val="24"/>
          <w:lang w:val="de-DE"/>
        </w:rPr>
        <w:t>TA(</w:t>
      </w:r>
      <w:proofErr w:type="gramEnd"/>
      <w:r w:rsidRPr="00B850D0">
        <w:rPr>
          <w:sz w:val="24"/>
          <w:lang w:val="de-DE"/>
        </w:rPr>
        <w:t>2025)0291).</w:t>
      </w:r>
    </w:p>
    <w:p w14:paraId="3FB384DF" w14:textId="194217C8" w:rsidR="00416401" w:rsidRPr="00B850D0" w:rsidRDefault="00416401" w:rsidP="000E0C1B">
      <w:pPr>
        <w:pStyle w:val="FootnoteText"/>
        <w:ind w:left="1134" w:hanging="567"/>
        <w:rPr>
          <w:sz w:val="24"/>
          <w:lang w:val="de-DE"/>
        </w:rPr>
      </w:pPr>
      <w:r w:rsidRPr="00B850D0">
        <w:rPr>
          <w:sz w:val="24"/>
          <w:lang w:val="de-DE"/>
        </w:rPr>
        <w:t>–</w:t>
      </w:r>
      <w:r w:rsidRPr="00B850D0">
        <w:rPr>
          <w:sz w:val="24"/>
          <w:lang w:val="de-DE"/>
        </w:rPr>
        <w:tab/>
        <w:t>Entschließung des Europäischen Parlaments vom 25. November 2025 zu dem Entwurf eines Durchführungsbeschlusses der Kommission über die Zulassung des Inverkehrbringens von Erzeugnissen, die genetisch veränderten Mais der Sorte MON 87427 enthalten, aus ihm bestehen oder aus ihm hergestellt werden, gemäß der Verordnung (EG) Nr. 1829/2003 des Europäischen Parlaments und des Rates (P10_</w:t>
      </w:r>
      <w:proofErr w:type="gramStart"/>
      <w:r w:rsidRPr="00B850D0">
        <w:rPr>
          <w:sz w:val="24"/>
          <w:lang w:val="de-DE"/>
        </w:rPr>
        <w:t>TA(</w:t>
      </w:r>
      <w:proofErr w:type="gramEnd"/>
      <w:r w:rsidRPr="00B850D0">
        <w:rPr>
          <w:sz w:val="24"/>
          <w:lang w:val="de-DE"/>
        </w:rPr>
        <w:t>2025)0292).</w:t>
      </w:r>
    </w:p>
  </w:footnote>
  <w:footnote w:id="5">
    <w:p w14:paraId="64FD2E0F" w14:textId="48A8C168" w:rsidR="00416401" w:rsidRPr="00B850D0" w:rsidRDefault="00416401" w:rsidP="00B850D0">
      <w:pPr>
        <w:pStyle w:val="FootnoteText"/>
        <w:ind w:left="567" w:hanging="567"/>
        <w:rPr>
          <w:sz w:val="24"/>
          <w:lang w:val="de-DE"/>
        </w:rPr>
      </w:pPr>
      <w:r w:rsidRPr="00B850D0">
        <w:rPr>
          <w:rStyle w:val="FootnoteReference"/>
          <w:sz w:val="24"/>
          <w:lang w:val="de-DE"/>
        </w:rPr>
        <w:footnoteRef/>
      </w:r>
      <w:r w:rsidR="00B850D0" w:rsidRPr="00B850D0">
        <w:rPr>
          <w:sz w:val="24"/>
          <w:shd w:val="clear" w:color="auto" w:fill="FFFFFF"/>
          <w:lang w:val="de-DE"/>
        </w:rPr>
        <w:t xml:space="preserve"> </w:t>
      </w:r>
      <w:r w:rsidR="00B850D0" w:rsidRPr="00B850D0">
        <w:rPr>
          <w:sz w:val="24"/>
          <w:shd w:val="clear" w:color="auto" w:fill="FFFFFF"/>
          <w:lang w:val="de-DE"/>
        </w:rPr>
        <w:tab/>
      </w:r>
      <w:r w:rsidRPr="00B850D0">
        <w:rPr>
          <w:sz w:val="24"/>
          <w:shd w:val="clear" w:color="auto" w:fill="FFFFFF"/>
          <w:lang w:val="de-DE"/>
        </w:rPr>
        <w:t>Siehe z. B. Bonny, S.: „</w:t>
      </w:r>
      <w:proofErr w:type="spellStart"/>
      <w:r w:rsidRPr="00B850D0">
        <w:rPr>
          <w:sz w:val="24"/>
          <w:shd w:val="clear" w:color="auto" w:fill="FFFFFF"/>
          <w:lang w:val="de-DE"/>
        </w:rPr>
        <w:t>Genetically</w:t>
      </w:r>
      <w:proofErr w:type="spellEnd"/>
      <w:r w:rsidRPr="00B850D0">
        <w:rPr>
          <w:sz w:val="24"/>
          <w:shd w:val="clear" w:color="auto" w:fill="FFFFFF"/>
          <w:lang w:val="de-DE"/>
        </w:rPr>
        <w:t xml:space="preserve"> </w:t>
      </w:r>
      <w:proofErr w:type="spellStart"/>
      <w:r w:rsidRPr="00B850D0">
        <w:rPr>
          <w:sz w:val="24"/>
          <w:shd w:val="clear" w:color="auto" w:fill="FFFFFF"/>
          <w:lang w:val="de-DE"/>
        </w:rPr>
        <w:t>Modified</w:t>
      </w:r>
      <w:proofErr w:type="spellEnd"/>
      <w:r w:rsidRPr="00B850D0">
        <w:rPr>
          <w:sz w:val="24"/>
          <w:shd w:val="clear" w:color="auto" w:fill="FFFFFF"/>
          <w:lang w:val="de-DE"/>
        </w:rPr>
        <w:t xml:space="preserve"> </w:t>
      </w:r>
      <w:proofErr w:type="spellStart"/>
      <w:r w:rsidRPr="00B850D0">
        <w:rPr>
          <w:sz w:val="24"/>
          <w:shd w:val="clear" w:color="auto" w:fill="FFFFFF"/>
          <w:lang w:val="de-DE"/>
        </w:rPr>
        <w:t>Herbicide</w:t>
      </w:r>
      <w:proofErr w:type="spellEnd"/>
      <w:r w:rsidRPr="00B850D0">
        <w:rPr>
          <w:sz w:val="24"/>
          <w:shd w:val="clear" w:color="auto" w:fill="FFFFFF"/>
          <w:lang w:val="de-DE"/>
        </w:rPr>
        <w:t xml:space="preserve">-Tolerant </w:t>
      </w:r>
      <w:proofErr w:type="spellStart"/>
      <w:r w:rsidRPr="00B850D0">
        <w:rPr>
          <w:sz w:val="24"/>
          <w:shd w:val="clear" w:color="auto" w:fill="FFFFFF"/>
          <w:lang w:val="de-DE"/>
        </w:rPr>
        <w:t>Crops</w:t>
      </w:r>
      <w:proofErr w:type="spellEnd"/>
      <w:r w:rsidRPr="00B850D0">
        <w:rPr>
          <w:sz w:val="24"/>
          <w:shd w:val="clear" w:color="auto" w:fill="FFFFFF"/>
          <w:lang w:val="de-DE"/>
        </w:rPr>
        <w:t xml:space="preserve">, Weeds, and </w:t>
      </w:r>
      <w:proofErr w:type="spellStart"/>
      <w:r w:rsidRPr="00B850D0">
        <w:rPr>
          <w:sz w:val="24"/>
          <w:shd w:val="clear" w:color="auto" w:fill="FFFFFF"/>
          <w:lang w:val="de-DE"/>
        </w:rPr>
        <w:t>Herbicides</w:t>
      </w:r>
      <w:proofErr w:type="spellEnd"/>
      <w:r w:rsidRPr="00B850D0">
        <w:rPr>
          <w:sz w:val="24"/>
          <w:shd w:val="clear" w:color="auto" w:fill="FFFFFF"/>
          <w:lang w:val="de-DE"/>
        </w:rPr>
        <w:t xml:space="preserve">: </w:t>
      </w:r>
      <w:proofErr w:type="spellStart"/>
      <w:r w:rsidRPr="00B850D0">
        <w:rPr>
          <w:sz w:val="24"/>
          <w:shd w:val="clear" w:color="auto" w:fill="FFFFFF"/>
          <w:lang w:val="de-DE"/>
        </w:rPr>
        <w:t>Overview</w:t>
      </w:r>
      <w:proofErr w:type="spellEnd"/>
      <w:r w:rsidRPr="00B850D0">
        <w:rPr>
          <w:sz w:val="24"/>
          <w:shd w:val="clear" w:color="auto" w:fill="FFFFFF"/>
          <w:lang w:val="de-DE"/>
        </w:rPr>
        <w:t xml:space="preserve"> and Impact“ (Genetisch veränderte </w:t>
      </w:r>
      <w:proofErr w:type="spellStart"/>
      <w:r w:rsidRPr="00B850D0">
        <w:rPr>
          <w:sz w:val="24"/>
          <w:shd w:val="clear" w:color="auto" w:fill="FFFFFF"/>
          <w:lang w:val="de-DE"/>
        </w:rPr>
        <w:t>herbizidtolerante</w:t>
      </w:r>
      <w:proofErr w:type="spellEnd"/>
      <w:r w:rsidRPr="00B850D0">
        <w:rPr>
          <w:sz w:val="24"/>
          <w:shd w:val="clear" w:color="auto" w:fill="FFFFFF"/>
          <w:lang w:val="de-DE"/>
        </w:rPr>
        <w:t xml:space="preserve"> Kulturen, Unkräuter und Herbizide: Überblick und Auswirkungen), Environmental Management, Januar 2016; 57(1), S. 31-48, </w:t>
      </w:r>
      <w:hyperlink r:id="rId14" w:history="1">
        <w:r w:rsidRPr="00B850D0">
          <w:rPr>
            <w:rStyle w:val="Hyperlink"/>
            <w:sz w:val="24"/>
            <w:shd w:val="clear" w:color="auto" w:fill="FFFFFF"/>
            <w:lang w:val="de-DE"/>
          </w:rPr>
          <w:t>https://doi.org/10.1007/s00267-015-0589-7</w:t>
        </w:r>
      </w:hyperlink>
      <w:r w:rsidRPr="00B850D0">
        <w:rPr>
          <w:sz w:val="24"/>
          <w:shd w:val="clear" w:color="auto" w:fill="FFFFFF"/>
          <w:lang w:val="de-DE"/>
        </w:rPr>
        <w:t xml:space="preserve">, und </w:t>
      </w:r>
      <w:proofErr w:type="spellStart"/>
      <w:r w:rsidRPr="00B850D0">
        <w:rPr>
          <w:sz w:val="24"/>
          <w:shd w:val="clear" w:color="auto" w:fill="FFFFFF"/>
          <w:lang w:val="de-DE"/>
        </w:rPr>
        <w:t>Benbrook</w:t>
      </w:r>
      <w:proofErr w:type="spellEnd"/>
      <w:r w:rsidRPr="00B850D0">
        <w:rPr>
          <w:sz w:val="24"/>
          <w:shd w:val="clear" w:color="auto" w:fill="FFFFFF"/>
          <w:lang w:val="de-DE"/>
        </w:rPr>
        <w:t xml:space="preserve">, C. M.: „Impacts </w:t>
      </w:r>
      <w:proofErr w:type="spellStart"/>
      <w:r w:rsidRPr="00B850D0">
        <w:rPr>
          <w:sz w:val="24"/>
          <w:shd w:val="clear" w:color="auto" w:fill="FFFFFF"/>
          <w:lang w:val="de-DE"/>
        </w:rPr>
        <w:t>of</w:t>
      </w:r>
      <w:proofErr w:type="spellEnd"/>
      <w:r w:rsidRPr="00B850D0">
        <w:rPr>
          <w:sz w:val="24"/>
          <w:shd w:val="clear" w:color="auto" w:fill="FFFFFF"/>
          <w:lang w:val="de-DE"/>
        </w:rPr>
        <w:t xml:space="preserve"> </w:t>
      </w:r>
      <w:proofErr w:type="spellStart"/>
      <w:r w:rsidRPr="00B850D0">
        <w:rPr>
          <w:sz w:val="24"/>
          <w:shd w:val="clear" w:color="auto" w:fill="FFFFFF"/>
          <w:lang w:val="de-DE"/>
        </w:rPr>
        <w:t>genetically</w:t>
      </w:r>
      <w:proofErr w:type="spellEnd"/>
      <w:r w:rsidRPr="00B850D0">
        <w:rPr>
          <w:sz w:val="24"/>
          <w:shd w:val="clear" w:color="auto" w:fill="FFFFFF"/>
          <w:lang w:val="de-DE"/>
        </w:rPr>
        <w:t xml:space="preserve"> </w:t>
      </w:r>
      <w:proofErr w:type="spellStart"/>
      <w:r w:rsidRPr="00B850D0">
        <w:rPr>
          <w:sz w:val="24"/>
          <w:shd w:val="clear" w:color="auto" w:fill="FFFFFF"/>
          <w:lang w:val="de-DE"/>
        </w:rPr>
        <w:t>engineered</w:t>
      </w:r>
      <w:proofErr w:type="spellEnd"/>
      <w:r w:rsidRPr="00B850D0">
        <w:rPr>
          <w:sz w:val="24"/>
          <w:shd w:val="clear" w:color="auto" w:fill="FFFFFF"/>
          <w:lang w:val="de-DE"/>
        </w:rPr>
        <w:t xml:space="preserve"> </w:t>
      </w:r>
      <w:proofErr w:type="spellStart"/>
      <w:r w:rsidRPr="00B850D0">
        <w:rPr>
          <w:sz w:val="24"/>
          <w:shd w:val="clear" w:color="auto" w:fill="FFFFFF"/>
          <w:lang w:val="de-DE"/>
        </w:rPr>
        <w:t>crops</w:t>
      </w:r>
      <w:proofErr w:type="spellEnd"/>
      <w:r w:rsidRPr="00B850D0">
        <w:rPr>
          <w:sz w:val="24"/>
          <w:shd w:val="clear" w:color="auto" w:fill="FFFFFF"/>
          <w:lang w:val="de-DE"/>
        </w:rPr>
        <w:t xml:space="preserve"> on </w:t>
      </w:r>
      <w:proofErr w:type="spellStart"/>
      <w:r w:rsidRPr="00B850D0">
        <w:rPr>
          <w:sz w:val="24"/>
          <w:shd w:val="clear" w:color="auto" w:fill="FFFFFF"/>
          <w:lang w:val="de-DE"/>
        </w:rPr>
        <w:t>pesticide</w:t>
      </w:r>
      <w:proofErr w:type="spellEnd"/>
      <w:r w:rsidRPr="00B850D0">
        <w:rPr>
          <w:sz w:val="24"/>
          <w:shd w:val="clear" w:color="auto" w:fill="FFFFFF"/>
          <w:lang w:val="de-DE"/>
        </w:rPr>
        <w:t xml:space="preserve"> </w:t>
      </w:r>
      <w:proofErr w:type="spellStart"/>
      <w:r w:rsidRPr="00B850D0">
        <w:rPr>
          <w:sz w:val="24"/>
          <w:shd w:val="clear" w:color="auto" w:fill="FFFFFF"/>
          <w:lang w:val="de-DE"/>
        </w:rPr>
        <w:t>use</w:t>
      </w:r>
      <w:proofErr w:type="spellEnd"/>
      <w:r w:rsidRPr="00B850D0">
        <w:rPr>
          <w:sz w:val="24"/>
          <w:shd w:val="clear" w:color="auto" w:fill="FFFFFF"/>
          <w:lang w:val="de-DE"/>
        </w:rPr>
        <w:t xml:space="preserve"> in </w:t>
      </w:r>
      <w:proofErr w:type="spellStart"/>
      <w:r w:rsidRPr="00B850D0">
        <w:rPr>
          <w:sz w:val="24"/>
          <w:shd w:val="clear" w:color="auto" w:fill="FFFFFF"/>
          <w:lang w:val="de-DE"/>
        </w:rPr>
        <w:t>the</w:t>
      </w:r>
      <w:proofErr w:type="spellEnd"/>
      <w:r w:rsidRPr="00B850D0">
        <w:rPr>
          <w:sz w:val="24"/>
          <w:shd w:val="clear" w:color="auto" w:fill="FFFFFF"/>
          <w:lang w:val="de-DE"/>
        </w:rPr>
        <w:t xml:space="preserve"> U.S. – </w:t>
      </w:r>
      <w:proofErr w:type="spellStart"/>
      <w:r w:rsidRPr="00B850D0">
        <w:rPr>
          <w:sz w:val="24"/>
          <w:shd w:val="clear" w:color="auto" w:fill="FFFFFF"/>
          <w:lang w:val="de-DE"/>
        </w:rPr>
        <w:t>the</w:t>
      </w:r>
      <w:proofErr w:type="spellEnd"/>
      <w:r w:rsidRPr="00B850D0">
        <w:rPr>
          <w:sz w:val="24"/>
          <w:shd w:val="clear" w:color="auto" w:fill="FFFFFF"/>
          <w:lang w:val="de-DE"/>
        </w:rPr>
        <w:t xml:space="preserve"> </w:t>
      </w:r>
      <w:proofErr w:type="spellStart"/>
      <w:r w:rsidRPr="00B850D0">
        <w:rPr>
          <w:sz w:val="24"/>
          <w:shd w:val="clear" w:color="auto" w:fill="FFFFFF"/>
          <w:lang w:val="de-DE"/>
        </w:rPr>
        <w:t>first</w:t>
      </w:r>
      <w:proofErr w:type="spellEnd"/>
      <w:r w:rsidRPr="00B850D0">
        <w:rPr>
          <w:sz w:val="24"/>
          <w:shd w:val="clear" w:color="auto" w:fill="FFFFFF"/>
          <w:lang w:val="de-DE"/>
        </w:rPr>
        <w:t xml:space="preserve"> </w:t>
      </w:r>
      <w:proofErr w:type="spellStart"/>
      <w:r w:rsidRPr="00B850D0">
        <w:rPr>
          <w:sz w:val="24"/>
          <w:shd w:val="clear" w:color="auto" w:fill="FFFFFF"/>
          <w:lang w:val="de-DE"/>
        </w:rPr>
        <w:t>sixteen</w:t>
      </w:r>
      <w:proofErr w:type="spellEnd"/>
      <w:r w:rsidRPr="00B850D0">
        <w:rPr>
          <w:sz w:val="24"/>
          <w:shd w:val="clear" w:color="auto" w:fill="FFFFFF"/>
          <w:lang w:val="de-DE"/>
        </w:rPr>
        <w:t xml:space="preserve"> </w:t>
      </w:r>
      <w:proofErr w:type="spellStart"/>
      <w:r w:rsidRPr="00B850D0">
        <w:rPr>
          <w:sz w:val="24"/>
          <w:shd w:val="clear" w:color="auto" w:fill="FFFFFF"/>
          <w:lang w:val="de-DE"/>
        </w:rPr>
        <w:t>years</w:t>
      </w:r>
      <w:proofErr w:type="spellEnd"/>
      <w:r w:rsidRPr="00B850D0">
        <w:rPr>
          <w:sz w:val="24"/>
          <w:shd w:val="clear" w:color="auto" w:fill="FFFFFF"/>
          <w:lang w:val="de-DE"/>
        </w:rPr>
        <w:t xml:space="preserve">“ (Auswirkungen von genetisch veränderten Nutzpflanzen auf den Pestizideinsatz in den USA – die ersten sechzehn Jahre), Environmental Sciences Europe; 28. September 2012, Band 24(1), </w:t>
      </w:r>
      <w:hyperlink r:id="rId15" w:history="1">
        <w:r w:rsidRPr="00B850D0">
          <w:rPr>
            <w:rStyle w:val="Hyperlink"/>
            <w:sz w:val="24"/>
            <w:lang w:val="de-DE"/>
          </w:rPr>
          <w:t>https://doi.org/10.1186/2190-4715-24-24</w:t>
        </w:r>
      </w:hyperlink>
      <w:r w:rsidRPr="00B850D0">
        <w:rPr>
          <w:sz w:val="24"/>
          <w:lang w:val="de-DE"/>
        </w:rPr>
        <w:t>.</w:t>
      </w:r>
    </w:p>
  </w:footnote>
  <w:footnote w:id="6">
    <w:p w14:paraId="38A991C8" w14:textId="3D9F31AF" w:rsidR="00416401" w:rsidRPr="00B850D0" w:rsidRDefault="00416401" w:rsidP="005A40D1">
      <w:pPr>
        <w:pStyle w:val="FootnoteText"/>
        <w:ind w:left="567" w:hanging="567"/>
        <w:rPr>
          <w:sz w:val="24"/>
          <w:lang w:val="de-DE"/>
        </w:rPr>
      </w:pPr>
      <w:r w:rsidRPr="00B850D0">
        <w:rPr>
          <w:rStyle w:val="FootnoteReference"/>
          <w:sz w:val="24"/>
          <w:lang w:val="de-DE"/>
        </w:rPr>
        <w:footnoteRef/>
      </w:r>
      <w:r w:rsidR="00B850D0" w:rsidRPr="00B850D0">
        <w:rPr>
          <w:sz w:val="24"/>
          <w:lang w:val="de-DE"/>
        </w:rPr>
        <w:t xml:space="preserve"> </w:t>
      </w:r>
      <w:r w:rsidR="00B850D0" w:rsidRPr="00B850D0">
        <w:rPr>
          <w:sz w:val="24"/>
          <w:lang w:val="de-DE"/>
        </w:rPr>
        <w:tab/>
      </w:r>
      <w:r w:rsidRPr="00B850D0">
        <w:rPr>
          <w:sz w:val="24"/>
          <w:lang w:val="de-DE"/>
        </w:rPr>
        <w:t xml:space="preserve">Siehe z. B. </w:t>
      </w:r>
      <w:hyperlink r:id="rId16" w:history="1">
        <w:r w:rsidRPr="00B850D0">
          <w:rPr>
            <w:rStyle w:val="Hyperlink"/>
            <w:sz w:val="24"/>
            <w:lang w:val="de-DE"/>
          </w:rPr>
          <w:t>https://doi.org/10.1002/ps.8105</w:t>
        </w:r>
      </w:hyperlink>
      <w:r w:rsidRPr="00B850D0">
        <w:rPr>
          <w:sz w:val="24"/>
          <w:lang w:val="de-DE"/>
        </w:rPr>
        <w:t>,</w:t>
      </w:r>
      <w:r w:rsidR="005A40D1">
        <w:rPr>
          <w:sz w:val="24"/>
          <w:lang w:val="de-DE"/>
        </w:rPr>
        <w:t xml:space="preserve"> </w:t>
      </w:r>
      <w:hyperlink r:id="rId17" w:history="1">
        <w:r w:rsidR="005A40D1" w:rsidRPr="005A40D1">
          <w:rPr>
            <w:rStyle w:val="Hyperlink"/>
            <w:sz w:val="24"/>
            <w:lang w:val="de-DE"/>
          </w:rPr>
          <w:t>https://doi.org/10.1016/j.geoforum.2009.03.009</w:t>
        </w:r>
      </w:hyperlink>
      <w:r w:rsidRPr="00B850D0">
        <w:rPr>
          <w:sz w:val="24"/>
          <w:lang w:val="de-DE"/>
        </w:rPr>
        <w:t>.</w:t>
      </w:r>
    </w:p>
  </w:footnote>
  <w:footnote w:id="7">
    <w:p w14:paraId="5C4A8AA8" w14:textId="2E428BE1" w:rsidR="00416401" w:rsidRPr="00B850D0" w:rsidRDefault="00416401" w:rsidP="00B850D0">
      <w:pPr>
        <w:pStyle w:val="FootnoteText"/>
        <w:ind w:left="567" w:hanging="567"/>
        <w:rPr>
          <w:sz w:val="24"/>
          <w:lang w:val="de-DE"/>
        </w:rPr>
      </w:pPr>
      <w:r w:rsidRPr="00B850D0">
        <w:rPr>
          <w:rStyle w:val="FootnoteReference"/>
          <w:sz w:val="24"/>
          <w:lang w:val="de-DE"/>
        </w:rPr>
        <w:footnoteRef/>
      </w:r>
      <w:r w:rsidR="00B850D0" w:rsidRPr="00B850D0">
        <w:rPr>
          <w:sz w:val="24"/>
          <w:lang w:val="de-DE"/>
        </w:rPr>
        <w:t xml:space="preserve"> </w:t>
      </w:r>
      <w:r w:rsidR="00B850D0" w:rsidRPr="00B850D0">
        <w:rPr>
          <w:sz w:val="24"/>
          <w:lang w:val="de-DE"/>
        </w:rPr>
        <w:tab/>
      </w:r>
      <w:r w:rsidRPr="00B850D0">
        <w:rPr>
          <w:sz w:val="24"/>
          <w:lang w:val="de-DE"/>
        </w:rPr>
        <w:t>Siehe z. B.</w:t>
      </w:r>
      <w:r w:rsidRPr="00B850D0">
        <w:rPr>
          <w:sz w:val="24"/>
          <w:lang w:val="de-DE"/>
        </w:rPr>
        <w:br/>
      </w:r>
      <w:hyperlink r:id="rId18" w:tgtFrame="_blank" w:tooltip="Permanenter Link unter Verwendung eines digitalen Objektidentifikators" w:history="1">
        <w:r w:rsidRPr="00B850D0">
          <w:rPr>
            <w:rStyle w:val="Hyperlink"/>
            <w:sz w:val="24"/>
            <w:lang w:val="de-DE"/>
          </w:rPr>
          <w:t>https://doi.org/10.1016/j.mrrev.2019.02.001</w:t>
        </w:r>
      </w:hyperlink>
      <w:r w:rsidRPr="00B850D0">
        <w:rPr>
          <w:sz w:val="24"/>
          <w:lang w:val="de-DE"/>
        </w:rPr>
        <w:t>,</w:t>
      </w:r>
      <w:r w:rsidRPr="00B850D0">
        <w:rPr>
          <w:sz w:val="24"/>
          <w:lang w:val="de-DE"/>
        </w:rPr>
        <w:br/>
      </w:r>
      <w:hyperlink r:id="rId19" w:history="1">
        <w:r w:rsidRPr="00B850D0">
          <w:rPr>
            <w:rStyle w:val="Hyperlink"/>
            <w:sz w:val="24"/>
            <w:lang w:val="de-DE"/>
          </w:rPr>
          <w:t>https://doi.org/10.1093/ije/dyz017</w:t>
        </w:r>
      </w:hyperlink>
      <w:r w:rsidRPr="00B850D0">
        <w:rPr>
          <w:sz w:val="24"/>
          <w:lang w:val="de-DE"/>
        </w:rPr>
        <w:t>,</w:t>
      </w:r>
      <w:r w:rsidRPr="00B850D0">
        <w:rPr>
          <w:sz w:val="24"/>
          <w:lang w:val="de-DE"/>
        </w:rPr>
        <w:br/>
      </w:r>
      <w:hyperlink r:id="rId20" w:history="1">
        <w:r w:rsidRPr="00B850D0">
          <w:rPr>
            <w:rStyle w:val="Hyperlink"/>
            <w:sz w:val="24"/>
            <w:lang w:val="de-DE"/>
          </w:rPr>
          <w:t>https://doi.org/10.1371/journal.pone.0219610</w:t>
        </w:r>
      </w:hyperlink>
      <w:r w:rsidRPr="00B850D0">
        <w:rPr>
          <w:sz w:val="24"/>
          <w:lang w:val="de-DE"/>
        </w:rPr>
        <w:t xml:space="preserve"> und</w:t>
      </w:r>
      <w:r w:rsidRPr="00B850D0">
        <w:rPr>
          <w:sz w:val="24"/>
          <w:lang w:val="de-DE"/>
        </w:rPr>
        <w:br/>
      </w:r>
      <w:hyperlink r:id="rId21" w:history="1">
        <w:r w:rsidRPr="00B850D0">
          <w:rPr>
            <w:rStyle w:val="Hyperlink"/>
            <w:sz w:val="24"/>
            <w:lang w:val="de-DE"/>
          </w:rPr>
          <w:t>https://doi.org/10.1186/s13045-019-0767-9</w:t>
        </w:r>
      </w:hyperlink>
      <w:r w:rsidRPr="00B850D0">
        <w:rPr>
          <w:sz w:val="24"/>
          <w:lang w:val="de-DE"/>
        </w:rPr>
        <w:t>.</w:t>
      </w:r>
    </w:p>
  </w:footnote>
  <w:footnote w:id="8">
    <w:p w14:paraId="32B6498A" w14:textId="0B039E61" w:rsidR="00416401" w:rsidRPr="00B850D0" w:rsidRDefault="00416401" w:rsidP="00B850D0">
      <w:pPr>
        <w:pStyle w:val="FootnoteText"/>
        <w:ind w:left="567" w:hanging="567"/>
        <w:rPr>
          <w:sz w:val="24"/>
          <w:lang w:val="de-DE"/>
        </w:rPr>
      </w:pPr>
      <w:r w:rsidRPr="00B850D0">
        <w:rPr>
          <w:rStyle w:val="FootnoteReference"/>
          <w:sz w:val="24"/>
          <w:lang w:val="de-DE"/>
        </w:rPr>
        <w:footnoteRef/>
      </w:r>
      <w:r w:rsidR="00B850D0" w:rsidRPr="00B850D0">
        <w:rPr>
          <w:sz w:val="24"/>
          <w:lang w:val="de-DE"/>
        </w:rPr>
        <w:t xml:space="preserve"> </w:t>
      </w:r>
      <w:r w:rsidR="00B850D0" w:rsidRPr="00B850D0">
        <w:rPr>
          <w:sz w:val="24"/>
          <w:lang w:val="de-DE"/>
        </w:rPr>
        <w:tab/>
      </w:r>
      <w:r w:rsidRPr="00B850D0">
        <w:rPr>
          <w:sz w:val="24"/>
          <w:lang w:val="de-DE"/>
        </w:rPr>
        <w:t>Verordnung (EG) Nr. 1107/2009 des Europäischen Parlaments und des Rates vom 21. Oktober 2009 über das Inverkehrbringen von Pflanzenschutzmitteln und zur Aufhebung der Richtlinien 79/117/EWG und 91/414/EWG des Rates (</w:t>
      </w:r>
      <w:proofErr w:type="spellStart"/>
      <w:r w:rsidRPr="00B850D0">
        <w:rPr>
          <w:sz w:val="24"/>
          <w:lang w:val="de-DE"/>
        </w:rPr>
        <w:t>ABl.</w:t>
      </w:r>
      <w:proofErr w:type="spellEnd"/>
      <w:r w:rsidRPr="00B850D0">
        <w:rPr>
          <w:sz w:val="24"/>
          <w:lang w:val="de-DE"/>
        </w:rPr>
        <w:t xml:space="preserve"> L 309 vom 24.11.2009, S. 1, ELI: </w:t>
      </w:r>
      <w:hyperlink r:id="rId22" w:tooltip="Gives access to this document through its ELI URI." w:history="1">
        <w:r w:rsidRPr="00B850D0">
          <w:rPr>
            <w:rStyle w:val="Hyperlink"/>
            <w:sz w:val="24"/>
            <w:lang w:val="de-DE"/>
          </w:rPr>
          <w:t>http://data.europa.eu/eli/reg/2009/1107/oj</w:t>
        </w:r>
      </w:hyperlink>
      <w:r w:rsidRPr="00B850D0">
        <w:rPr>
          <w:sz w:val="24"/>
          <w:lang w:val="de-DE"/>
        </w:rPr>
        <w:t>).</w:t>
      </w:r>
    </w:p>
  </w:footnote>
  <w:footnote w:id="9">
    <w:p w14:paraId="16300C4D" w14:textId="36963B00" w:rsidR="00416401" w:rsidRPr="00B850D0" w:rsidRDefault="00416401" w:rsidP="00B850D0">
      <w:pPr>
        <w:pStyle w:val="FootnoteText"/>
        <w:ind w:left="567" w:hanging="567"/>
        <w:rPr>
          <w:sz w:val="24"/>
          <w:lang w:val="de-DE"/>
        </w:rPr>
      </w:pPr>
      <w:r w:rsidRPr="00B850D0">
        <w:rPr>
          <w:rStyle w:val="FootnoteReference"/>
          <w:sz w:val="24"/>
          <w:lang w:val="de-DE"/>
        </w:rPr>
        <w:footnoteRef/>
      </w:r>
      <w:r w:rsidR="00B850D0" w:rsidRPr="00B850D0">
        <w:rPr>
          <w:color w:val="000000" w:themeColor="text1"/>
          <w:sz w:val="24"/>
          <w:lang w:val="de-DE"/>
        </w:rPr>
        <w:t xml:space="preserve"> </w:t>
      </w:r>
      <w:r w:rsidR="00B850D0" w:rsidRPr="00B850D0">
        <w:rPr>
          <w:color w:val="000000" w:themeColor="text1"/>
          <w:sz w:val="24"/>
          <w:lang w:val="de-DE"/>
        </w:rPr>
        <w:tab/>
      </w:r>
      <w:r w:rsidRPr="00B850D0">
        <w:rPr>
          <w:color w:val="000000" w:themeColor="text1"/>
          <w:sz w:val="24"/>
          <w:lang w:val="de-DE"/>
        </w:rPr>
        <w:t xml:space="preserve">Im Dezember 2022 wurde auf der 15. Tagung der Konferenz der Vertragsparteien des Übereinkommens der Vereinten Nationen über die biologische Vielfalt (COP 15) ein globaler Biodiversitätsrahmen vereinbart, der u. a. das globale Ziel umfasst, das Risiko durch Pestizide bis </w:t>
      </w:r>
      <w:proofErr w:type="gramStart"/>
      <w:r w:rsidRPr="00B850D0">
        <w:rPr>
          <w:color w:val="000000" w:themeColor="text1"/>
          <w:sz w:val="24"/>
          <w:lang w:val="de-DE"/>
        </w:rPr>
        <w:t>2030</w:t>
      </w:r>
      <w:proofErr w:type="gramEnd"/>
      <w:r w:rsidRPr="00B850D0">
        <w:rPr>
          <w:color w:val="000000" w:themeColor="text1"/>
          <w:sz w:val="24"/>
          <w:lang w:val="de-DE"/>
        </w:rPr>
        <w:t xml:space="preserve"> um mindestens 50 % zu verringern (siehe </w:t>
      </w:r>
      <w:hyperlink r:id="rId23" w:history="1">
        <w:r w:rsidRPr="00B850D0">
          <w:rPr>
            <w:rStyle w:val="Hyperlink"/>
            <w:sz w:val="24"/>
            <w:lang w:val="de-DE"/>
          </w:rPr>
          <w:t>https://ec.europa.eu/commission/presscorner/detail/de/ip_22_7834</w:t>
        </w:r>
      </w:hyperlink>
      <w:r w:rsidRPr="00B850D0">
        <w:rPr>
          <w:sz w:val="24"/>
          <w:lang w:val="de-DE"/>
        </w:rPr>
        <w:t xml:space="preserve">). </w:t>
      </w:r>
    </w:p>
  </w:footnote>
  <w:footnote w:id="10">
    <w:p w14:paraId="4C549F4B" w14:textId="433DAACF" w:rsidR="00416401" w:rsidRPr="00B850D0" w:rsidRDefault="00416401" w:rsidP="00B850D0">
      <w:pPr>
        <w:pStyle w:val="FootnoteText"/>
        <w:ind w:left="567" w:hanging="567"/>
        <w:rPr>
          <w:sz w:val="24"/>
          <w:lang w:val="de-DE"/>
        </w:rPr>
      </w:pPr>
      <w:r w:rsidRPr="00B850D0">
        <w:rPr>
          <w:rStyle w:val="FootnoteReference"/>
          <w:sz w:val="24"/>
          <w:lang w:val="de-DE"/>
        </w:rPr>
        <w:footnoteRef/>
      </w:r>
      <w:r w:rsidR="00B850D0" w:rsidRPr="00B850D0">
        <w:rPr>
          <w:sz w:val="24"/>
          <w:lang w:val="de-DE"/>
        </w:rPr>
        <w:t xml:space="preserve"> </w:t>
      </w:r>
      <w:r w:rsidR="00B850D0" w:rsidRPr="00B850D0">
        <w:rPr>
          <w:sz w:val="24"/>
          <w:lang w:val="de-DE"/>
        </w:rPr>
        <w:tab/>
      </w:r>
      <w:hyperlink r:id="rId24" w:history="1">
        <w:r w:rsidRPr="00B850D0">
          <w:rPr>
            <w:rStyle w:val="Hyperlink"/>
            <w:sz w:val="24"/>
            <w:lang w:val="de-DE"/>
          </w:rPr>
          <w:t>https://commission.europa.eu/strategy-and-policy/priorities-2019-2024/european-green-deal/agriculture-and-green-deal/strategic-dialogue-future-eu-agriculture_de</w:t>
        </w:r>
      </w:hyperlink>
      <w:r w:rsidRPr="00B850D0">
        <w:rPr>
          <w:sz w:val="24"/>
          <w:lang w:val="de-DE"/>
        </w:rPr>
        <w:t xml:space="preserve">. </w:t>
      </w:r>
    </w:p>
  </w:footnote>
  <w:footnote w:id="11">
    <w:p w14:paraId="656FD85C" w14:textId="405F5D62" w:rsidR="00416401" w:rsidRPr="00B850D0" w:rsidRDefault="00416401" w:rsidP="00B850D0">
      <w:pPr>
        <w:pStyle w:val="FootnoteText"/>
        <w:ind w:left="567" w:hanging="567"/>
        <w:rPr>
          <w:sz w:val="24"/>
          <w:lang w:val="de-DE"/>
        </w:rPr>
      </w:pPr>
      <w:r w:rsidRPr="00B850D0">
        <w:rPr>
          <w:rStyle w:val="FootnoteReference"/>
          <w:sz w:val="24"/>
          <w:lang w:val="de-DE"/>
        </w:rPr>
        <w:footnoteRef/>
      </w:r>
      <w:r w:rsidR="00B850D0" w:rsidRPr="00B850D0">
        <w:rPr>
          <w:sz w:val="24"/>
          <w:lang w:val="de-DE"/>
        </w:rPr>
        <w:t xml:space="preserve"> </w:t>
      </w:r>
      <w:r w:rsidR="00B850D0" w:rsidRPr="00B850D0">
        <w:rPr>
          <w:sz w:val="24"/>
          <w:lang w:val="de-DE"/>
        </w:rPr>
        <w:tab/>
      </w:r>
      <w:r w:rsidRPr="00B850D0">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B850D0">
        <w:rPr>
          <w:sz w:val="24"/>
          <w:lang w:val="de-DE"/>
        </w:rPr>
        <w:t>ABl.</w:t>
      </w:r>
      <w:proofErr w:type="spellEnd"/>
      <w:r w:rsidRPr="00B850D0">
        <w:rPr>
          <w:sz w:val="24"/>
          <w:lang w:val="de-DE"/>
        </w:rPr>
        <w:t xml:space="preserve"> L 31 vom 1.2.2002, S. 1, ELI: </w:t>
      </w:r>
      <w:hyperlink r:id="rId25" w:tgtFrame="Gives%20access%20to%20this%20document%20through%20its%20ELI%20URI." w:history="1">
        <w:r w:rsidRPr="00B850D0">
          <w:rPr>
            <w:rStyle w:val="Hyperlink"/>
            <w:sz w:val="24"/>
            <w:lang w:val="de-DE"/>
          </w:rPr>
          <w:t>http://data.europa.eu/eli/reg/2002/178/oj</w:t>
        </w:r>
      </w:hyperlink>
      <w:r w:rsidRPr="00B850D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1265A" w14:textId="77777777" w:rsidR="00064002" w:rsidRPr="00B850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37A0B" w14:textId="77777777" w:rsidR="00064002" w:rsidRPr="00B850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0B33" w14:textId="77777777" w:rsidR="00064002" w:rsidRPr="00B850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8596209">
    <w:abstractNumId w:val="9"/>
  </w:num>
  <w:num w:numId="2" w16cid:durableId="2117018630">
    <w:abstractNumId w:val="9"/>
  </w:num>
  <w:num w:numId="3" w16cid:durableId="2073651276">
    <w:abstractNumId w:val="7"/>
  </w:num>
  <w:num w:numId="4" w16cid:durableId="1441989113">
    <w:abstractNumId w:val="7"/>
  </w:num>
  <w:num w:numId="5" w16cid:durableId="587076337">
    <w:abstractNumId w:val="6"/>
  </w:num>
  <w:num w:numId="6" w16cid:durableId="1193836420">
    <w:abstractNumId w:val="6"/>
  </w:num>
  <w:num w:numId="7" w16cid:durableId="1945109942">
    <w:abstractNumId w:val="5"/>
  </w:num>
  <w:num w:numId="8" w16cid:durableId="407848563">
    <w:abstractNumId w:val="5"/>
  </w:num>
  <w:num w:numId="9" w16cid:durableId="653727206">
    <w:abstractNumId w:val="4"/>
  </w:num>
  <w:num w:numId="10" w16cid:durableId="126165569">
    <w:abstractNumId w:val="4"/>
  </w:num>
  <w:num w:numId="11" w16cid:durableId="451634379">
    <w:abstractNumId w:val="8"/>
  </w:num>
  <w:num w:numId="12" w16cid:durableId="60494037">
    <w:abstractNumId w:val="8"/>
  </w:num>
  <w:num w:numId="13" w16cid:durableId="1209223513">
    <w:abstractNumId w:val="3"/>
  </w:num>
  <w:num w:numId="14" w16cid:durableId="2024745136">
    <w:abstractNumId w:val="3"/>
  </w:num>
  <w:num w:numId="15" w16cid:durableId="1349675210">
    <w:abstractNumId w:val="2"/>
  </w:num>
  <w:num w:numId="16" w16cid:durableId="449277837">
    <w:abstractNumId w:val="2"/>
  </w:num>
  <w:num w:numId="17" w16cid:durableId="1888103512">
    <w:abstractNumId w:val="1"/>
  </w:num>
  <w:num w:numId="18" w16cid:durableId="1971326634">
    <w:abstractNumId w:val="1"/>
  </w:num>
  <w:num w:numId="19" w16cid:durableId="1517961233">
    <w:abstractNumId w:val="0"/>
  </w:num>
  <w:num w:numId="20" w16cid:durableId="1968388509">
    <w:abstractNumId w:val="0"/>
  </w:num>
  <w:num w:numId="21" w16cid:durableId="1293247404">
    <w:abstractNumId w:val="9"/>
  </w:num>
  <w:num w:numId="22" w16cid:durableId="221216495">
    <w:abstractNumId w:val="7"/>
  </w:num>
  <w:num w:numId="23" w16cid:durableId="184559715">
    <w:abstractNumId w:val="6"/>
  </w:num>
  <w:num w:numId="24" w16cid:durableId="284847912">
    <w:abstractNumId w:val="5"/>
  </w:num>
  <w:num w:numId="25" w16cid:durableId="1422947572">
    <w:abstractNumId w:val="4"/>
  </w:num>
  <w:num w:numId="26" w16cid:durableId="1811898176">
    <w:abstractNumId w:val="8"/>
  </w:num>
  <w:num w:numId="27" w16cid:durableId="1155681551">
    <w:abstractNumId w:val="3"/>
  </w:num>
  <w:num w:numId="28" w16cid:durableId="1829394380">
    <w:abstractNumId w:val="2"/>
  </w:num>
  <w:num w:numId="29" w16cid:durableId="167524537">
    <w:abstractNumId w:val="1"/>
  </w:num>
  <w:num w:numId="30" w16cid:durableId="540481528">
    <w:abstractNumId w:val="0"/>
  </w:num>
  <w:num w:numId="31" w16cid:durableId="1218779696">
    <w:abstractNumId w:val="9"/>
  </w:num>
  <w:num w:numId="32" w16cid:durableId="1466702994">
    <w:abstractNumId w:val="7"/>
  </w:num>
  <w:num w:numId="33" w16cid:durableId="1347517735">
    <w:abstractNumId w:val="6"/>
  </w:num>
  <w:num w:numId="34" w16cid:durableId="1244879683">
    <w:abstractNumId w:val="5"/>
  </w:num>
  <w:num w:numId="35" w16cid:durableId="1784111969">
    <w:abstractNumId w:val="4"/>
  </w:num>
  <w:num w:numId="36" w16cid:durableId="1203056119">
    <w:abstractNumId w:val="8"/>
  </w:num>
  <w:num w:numId="37" w16cid:durableId="1011486965">
    <w:abstractNumId w:val="3"/>
  </w:num>
  <w:num w:numId="38" w16cid:durableId="2036538802">
    <w:abstractNumId w:val="2"/>
  </w:num>
  <w:num w:numId="39" w16cid:durableId="1127428821">
    <w:abstractNumId w:val="1"/>
  </w:num>
  <w:num w:numId="40" w16cid:durableId="166990933">
    <w:abstractNumId w:val="0"/>
  </w:num>
  <w:num w:numId="41" w16cid:durableId="632172929">
    <w:abstractNumId w:val="10"/>
  </w:num>
  <w:num w:numId="42" w16cid:durableId="1051733670">
    <w:abstractNumId w:val="10"/>
  </w:num>
  <w:num w:numId="43" w16cid:durableId="2132239515">
    <w:abstractNumId w:val="10"/>
  </w:num>
  <w:num w:numId="44" w16cid:durableId="5972959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DE"/>
    <w:docVar w:name="dvnumam" w:val="0"/>
    <w:docVar w:name="dvpe" w:val="779.398"/>
    <w:docVar w:name="dvtitre" w:val="Entschließung des Europäischen Parlaments vom XX.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D110122/02 – 2025/2959(RSP))"/>
  </w:docVars>
  <w:rsids>
    <w:rsidRoot w:val="00FB3B96"/>
    <w:rsid w:val="00002272"/>
    <w:rsid w:val="00064002"/>
    <w:rsid w:val="000677B9"/>
    <w:rsid w:val="000831BA"/>
    <w:rsid w:val="000A42CC"/>
    <w:rsid w:val="000E0C1B"/>
    <w:rsid w:val="000E7DD9"/>
    <w:rsid w:val="0010095E"/>
    <w:rsid w:val="00125B37"/>
    <w:rsid w:val="00187494"/>
    <w:rsid w:val="001F32AE"/>
    <w:rsid w:val="002767FF"/>
    <w:rsid w:val="002B18FE"/>
    <w:rsid w:val="002B5493"/>
    <w:rsid w:val="00343214"/>
    <w:rsid w:val="00361C00"/>
    <w:rsid w:val="00395FA1"/>
    <w:rsid w:val="003E15D4"/>
    <w:rsid w:val="00411CCE"/>
    <w:rsid w:val="00416401"/>
    <w:rsid w:val="0041666E"/>
    <w:rsid w:val="00421060"/>
    <w:rsid w:val="00471C19"/>
    <w:rsid w:val="004867E3"/>
    <w:rsid w:val="00494A28"/>
    <w:rsid w:val="004C0004"/>
    <w:rsid w:val="004C5D52"/>
    <w:rsid w:val="0050519A"/>
    <w:rsid w:val="005072A1"/>
    <w:rsid w:val="00514517"/>
    <w:rsid w:val="00516085"/>
    <w:rsid w:val="00545827"/>
    <w:rsid w:val="00560270"/>
    <w:rsid w:val="00591520"/>
    <w:rsid w:val="005A40D1"/>
    <w:rsid w:val="005C2568"/>
    <w:rsid w:val="005F1B17"/>
    <w:rsid w:val="006037C0"/>
    <w:rsid w:val="006631B6"/>
    <w:rsid w:val="00680577"/>
    <w:rsid w:val="006F74FA"/>
    <w:rsid w:val="00731ADD"/>
    <w:rsid w:val="00734777"/>
    <w:rsid w:val="00747932"/>
    <w:rsid w:val="00751A4A"/>
    <w:rsid w:val="007537C7"/>
    <w:rsid w:val="00756632"/>
    <w:rsid w:val="00762C74"/>
    <w:rsid w:val="00786EC0"/>
    <w:rsid w:val="007D1690"/>
    <w:rsid w:val="007E22AD"/>
    <w:rsid w:val="00817416"/>
    <w:rsid w:val="00842779"/>
    <w:rsid w:val="00865F67"/>
    <w:rsid w:val="0087543C"/>
    <w:rsid w:val="00881A7B"/>
    <w:rsid w:val="008840E5"/>
    <w:rsid w:val="00887B3E"/>
    <w:rsid w:val="008C2AC6"/>
    <w:rsid w:val="00930C23"/>
    <w:rsid w:val="0093193B"/>
    <w:rsid w:val="009509D8"/>
    <w:rsid w:val="00950B64"/>
    <w:rsid w:val="00981893"/>
    <w:rsid w:val="00A02775"/>
    <w:rsid w:val="00A1687D"/>
    <w:rsid w:val="00A43E52"/>
    <w:rsid w:val="00A4678D"/>
    <w:rsid w:val="00A778C7"/>
    <w:rsid w:val="00AB441E"/>
    <w:rsid w:val="00AB6293"/>
    <w:rsid w:val="00AE0928"/>
    <w:rsid w:val="00AF3B82"/>
    <w:rsid w:val="00B12E95"/>
    <w:rsid w:val="00B21840"/>
    <w:rsid w:val="00B22876"/>
    <w:rsid w:val="00B558F0"/>
    <w:rsid w:val="00B850D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A7F"/>
    <w:rsid w:val="00F149E9"/>
    <w:rsid w:val="00F5134D"/>
    <w:rsid w:val="00F74202"/>
    <w:rsid w:val="00F87713"/>
    <w:rsid w:val="00FB3B9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981F2"/>
  <w15:chartTrackingRefBased/>
  <w15:docId w15:val="{B5190133-03D4-4220-A989-2BABEED15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16401"/>
    <w:pPr>
      <w:spacing w:before="480" w:after="240"/>
    </w:pPr>
  </w:style>
  <w:style w:type="paragraph" w:customStyle="1" w:styleId="NormalHanging12a">
    <w:name w:val="NormalHanging12a"/>
    <w:basedOn w:val="Normal"/>
    <w:uiPriority w:val="99"/>
    <w:qFormat/>
    <w:rsid w:val="00416401"/>
    <w:pPr>
      <w:spacing w:after="240"/>
      <w:ind w:left="567" w:hanging="567"/>
    </w:pPr>
  </w:style>
  <w:style w:type="paragraph" w:customStyle="1" w:styleId="NormalBold">
    <w:name w:val="NormalBold"/>
    <w:basedOn w:val="Normal"/>
    <w:uiPriority w:val="99"/>
    <w:rsid w:val="00416401"/>
    <w:rPr>
      <w:b/>
    </w:rPr>
  </w:style>
  <w:style w:type="character" w:styleId="Hyperlink">
    <w:name w:val="Hyperlink"/>
    <w:basedOn w:val="DefaultParagraphFont"/>
    <w:uiPriority w:val="99"/>
    <w:rsid w:val="00416401"/>
    <w:rPr>
      <w:color w:val="0563C1" w:themeColor="hyperlink"/>
      <w:u w:val="single"/>
    </w:rPr>
  </w:style>
  <w:style w:type="paragraph" w:styleId="NormalWeb">
    <w:name w:val="Normal (Web)"/>
    <w:basedOn w:val="Normal"/>
    <w:uiPriority w:val="99"/>
    <w:unhideWhenUsed/>
    <w:rsid w:val="00416401"/>
    <w:pPr>
      <w:widowControl/>
      <w:spacing w:before="100" w:beforeAutospacing="1" w:after="100" w:afterAutospacing="1"/>
    </w:pPr>
    <w:rPr>
      <w:szCs w:val="24"/>
    </w:rPr>
  </w:style>
  <w:style w:type="paragraph" w:styleId="Revision">
    <w:name w:val="Revision"/>
    <w:hidden/>
    <w:uiPriority w:val="99"/>
    <w:semiHidden/>
    <w:rsid w:val="005A40D1"/>
    <w:rPr>
      <w:sz w:val="24"/>
      <w:lang w:val="de-DE"/>
    </w:rPr>
  </w:style>
  <w:style w:type="character" w:styleId="UnresolvedMention">
    <w:name w:val="Unresolved Mention"/>
    <w:basedOn w:val="DefaultParagraphFont"/>
    <w:uiPriority w:val="99"/>
    <w:semiHidden/>
    <w:unhideWhenUsed/>
    <w:rsid w:val="005A4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de"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de/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1711</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2025-12-16T12:39:00Z</dcterms:created>
  <dcterms:modified xsi:type="dcterms:W3CDTF">2025-12-16T12:39:00Z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B10-0559/2025</vt:lpwstr>
  </property>
  <property fmtid="{D5CDD505-2E9C-101B-9397-08002B2CF9AE}" pid="4" name="&lt;Type&gt;">
    <vt:lpwstr>RR</vt:lpwstr>
  </property>
</Properties>
</file>