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50EC" w14:paraId="08EA3833" w14:textId="77777777" w:rsidTr="0010095E">
        <w:trPr>
          <w:trHeight w:hRule="exact" w:val="1418"/>
        </w:trPr>
        <w:tc>
          <w:tcPr>
            <w:tcW w:w="6804" w:type="dxa"/>
            <w:shd w:val="clear" w:color="auto" w:fill="auto"/>
            <w:vAlign w:val="center"/>
          </w:tcPr>
          <w:p w14:paraId="49C365FB" w14:textId="77777777" w:rsidR="00751A4A" w:rsidRPr="00C350EC" w:rsidRDefault="00AD6B17" w:rsidP="0010095E">
            <w:pPr>
              <w:pStyle w:val="EPName"/>
            </w:pPr>
            <w:r w:rsidRPr="00C350EC">
              <w:t>Ευρωπαϊκό Κοινοβούλιο</w:t>
            </w:r>
          </w:p>
          <w:p w14:paraId="682C334C" w14:textId="77777777" w:rsidR="00751A4A" w:rsidRPr="00C350EC" w:rsidRDefault="005F1B17" w:rsidP="005F1B17">
            <w:pPr>
              <w:pStyle w:val="EPTerm"/>
              <w:rPr>
                <w:rStyle w:val="HideTWBExt"/>
                <w:noProof w:val="0"/>
                <w:vanish w:val="0"/>
                <w:color w:val="auto"/>
              </w:rPr>
            </w:pPr>
            <w:r w:rsidRPr="00C350EC">
              <w:t>2024</w:t>
            </w:r>
            <w:r w:rsidR="00817416" w:rsidRPr="00C350EC">
              <w:t>-202</w:t>
            </w:r>
            <w:r w:rsidRPr="00C350EC">
              <w:t>9</w:t>
            </w:r>
          </w:p>
        </w:tc>
        <w:tc>
          <w:tcPr>
            <w:tcW w:w="2268" w:type="dxa"/>
            <w:shd w:val="clear" w:color="auto" w:fill="auto"/>
          </w:tcPr>
          <w:p w14:paraId="02B8DC5B" w14:textId="77777777" w:rsidR="00751A4A" w:rsidRPr="00C350EC" w:rsidRDefault="00187494" w:rsidP="0010095E">
            <w:pPr>
              <w:pStyle w:val="EPLogo"/>
            </w:pPr>
            <w:r w:rsidRPr="00C350EC">
              <w:rPr>
                <w:noProof/>
                <w:lang w:eastAsia="ja-JP"/>
              </w:rPr>
              <w:drawing>
                <wp:inline distT="0" distB="0" distL="0" distR="0" wp14:anchorId="5E5573C8" wp14:editId="0F479B4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7AA54B" w14:textId="77777777" w:rsidR="00D058B8" w:rsidRPr="00C350EC" w:rsidRDefault="00D058B8" w:rsidP="004C5D52">
      <w:pPr>
        <w:pStyle w:val="LineTop"/>
      </w:pPr>
    </w:p>
    <w:p w14:paraId="2823F186" w14:textId="77777777" w:rsidR="00680577" w:rsidRPr="00C350EC" w:rsidRDefault="00AD6B17" w:rsidP="00680577">
      <w:pPr>
        <w:pStyle w:val="EPBodyTA1"/>
      </w:pPr>
      <w:r w:rsidRPr="00C350EC">
        <w:t>ΚΕΙΜΕΝΑ ΠΟΥ ΕΓΚΡΙΘΗΚΑΝ</w:t>
      </w:r>
    </w:p>
    <w:p w14:paraId="05F5709F" w14:textId="77777777" w:rsidR="00D058B8" w:rsidRPr="00C350EC" w:rsidRDefault="00D058B8" w:rsidP="00D058B8">
      <w:pPr>
        <w:pStyle w:val="LineBottom"/>
      </w:pPr>
    </w:p>
    <w:p w14:paraId="33EE31CE" w14:textId="65D22C33" w:rsidR="00AD6B17" w:rsidRPr="00E26650" w:rsidRDefault="00AD6B17" w:rsidP="00AD6B17">
      <w:pPr>
        <w:pStyle w:val="ATHeading1"/>
      </w:pPr>
      <w:bookmarkStart w:id="0" w:name="TANumber"/>
      <w:r w:rsidRPr="00C350EC">
        <w:t>P10_TA(2025)0</w:t>
      </w:r>
      <w:r w:rsidR="00E26650" w:rsidRPr="00A42221">
        <w:t>328</w:t>
      </w:r>
      <w:bookmarkEnd w:id="0"/>
    </w:p>
    <w:p w14:paraId="53F98A35" w14:textId="77777777" w:rsidR="00AD6B17" w:rsidRPr="00C350EC" w:rsidRDefault="00AD6B17" w:rsidP="00AD6B17">
      <w:pPr>
        <w:pStyle w:val="ATHeading2"/>
      </w:pPr>
      <w:bookmarkStart w:id="1" w:name="title"/>
      <w:r w:rsidRPr="00C350EC">
        <w:t>Γενετικώς τροποποιημένα ζαχαρότευτλα KWS20-1</w:t>
      </w:r>
      <w:bookmarkEnd w:id="1"/>
    </w:p>
    <w:p w14:paraId="2737F7B2" w14:textId="77777777" w:rsidR="00AD6B17" w:rsidRPr="00C350EC" w:rsidRDefault="00AD6B17" w:rsidP="00AD6B17">
      <w:pPr>
        <w:rPr>
          <w:i/>
          <w:vanish/>
        </w:rPr>
      </w:pPr>
      <w:r w:rsidRPr="00C350EC">
        <w:rPr>
          <w:i/>
        </w:rPr>
        <w:fldChar w:fldCharType="begin"/>
      </w:r>
      <w:r w:rsidRPr="00C350EC">
        <w:rPr>
          <w:i/>
        </w:rPr>
        <w:instrText xml:space="preserve"> TC"(</w:instrText>
      </w:r>
      <w:bookmarkStart w:id="2" w:name="DocNumber"/>
      <w:r w:rsidRPr="00C350EC">
        <w:rPr>
          <w:i/>
        </w:rPr>
        <w:instrText>B10-0559/2025</w:instrText>
      </w:r>
      <w:bookmarkEnd w:id="2"/>
      <w:r w:rsidRPr="00C350EC">
        <w:rPr>
          <w:i/>
        </w:rPr>
        <w:instrText xml:space="preserve">)"\l3 \n&gt; \* MERGEFORMAT </w:instrText>
      </w:r>
      <w:r w:rsidRPr="00C350EC">
        <w:rPr>
          <w:i/>
        </w:rPr>
        <w:fldChar w:fldCharType="end"/>
      </w:r>
    </w:p>
    <w:p w14:paraId="29264121" w14:textId="77777777" w:rsidR="00AD6B17" w:rsidRPr="00C350EC" w:rsidRDefault="00AD6B17" w:rsidP="00AD6B17">
      <w:pPr>
        <w:rPr>
          <w:vanish/>
        </w:rPr>
      </w:pPr>
      <w:bookmarkStart w:id="3" w:name="PE"/>
      <w:r w:rsidRPr="00C350EC">
        <w:rPr>
          <w:vanish/>
        </w:rPr>
        <w:t>PE779.398</w:t>
      </w:r>
      <w:bookmarkEnd w:id="3"/>
    </w:p>
    <w:p w14:paraId="3B9D642F" w14:textId="01DB0E4B" w:rsidR="00AD6B17" w:rsidRPr="00C350EC" w:rsidRDefault="00AD6B17" w:rsidP="00AD6B17">
      <w:pPr>
        <w:pStyle w:val="ATHeading3"/>
      </w:pPr>
      <w:bookmarkStart w:id="4" w:name="Sujet"/>
      <w:r w:rsidRPr="00C350EC">
        <w:t xml:space="preserve">Ψήφισμα του Ευρωπαϊκού Κοινοβουλίου </w:t>
      </w:r>
      <w:r w:rsidR="004B57A6">
        <w:t xml:space="preserve">της </w:t>
      </w:r>
      <w:r w:rsidR="00762CC3">
        <w:t>16ης</w:t>
      </w:r>
      <w:r w:rsidR="004B57A6">
        <w:t xml:space="preserve"> Δεκεμβρίου 2025 </w:t>
      </w:r>
      <w:r w:rsidRPr="00C350EC">
        <w:t>σχετικά με το σχέδιο εκτελεστικής απόφασης της Επιτροπής όσον αφορά την έγκριση της διάθεσης στην αγορά τροφίμων, συστατικών τροφίμων και ζωοτροφών που παράγονται από γενετικώς τροποποιημένα ζαχαρότευτλα KWS20-1, σύμφωνα με τον κανονισμό (ΕΚ) αριθ. 1829/2003 του Ευρωπαϊκού Κοινοβουλίου και του Συμβουλίου</w:t>
      </w:r>
      <w:bookmarkEnd w:id="4"/>
      <w:r w:rsidRPr="00C350EC">
        <w:t xml:space="preserve"> </w:t>
      </w:r>
      <w:bookmarkStart w:id="5" w:name="References"/>
      <w:r w:rsidRPr="00C350EC">
        <w:t>(D110122/02 – 2025/2959(RSP))</w:t>
      </w:r>
      <w:bookmarkEnd w:id="5"/>
    </w:p>
    <w:p w14:paraId="166096EB" w14:textId="77777777" w:rsidR="00C003CB" w:rsidRPr="00C350EC" w:rsidRDefault="00C003CB" w:rsidP="004B57A6">
      <w:pPr>
        <w:pStyle w:val="EPComma"/>
      </w:pPr>
      <w:bookmarkStart w:id="6" w:name="TextBodyBegin"/>
      <w:bookmarkEnd w:id="6"/>
      <w:r w:rsidRPr="00C350EC">
        <w:rPr>
          <w:i/>
          <w:iCs/>
        </w:rPr>
        <w:t>Το Ευρωπαϊκό Κοινοβούλιο,</w:t>
      </w:r>
    </w:p>
    <w:p w14:paraId="128A63FB" w14:textId="77777777" w:rsidR="00C003CB" w:rsidRPr="00C350EC" w:rsidRDefault="00C003CB" w:rsidP="004B57A6">
      <w:pPr>
        <w:pStyle w:val="NormalHanging12a"/>
      </w:pPr>
      <w:r w:rsidRPr="00C350EC">
        <w:t>–</w:t>
      </w:r>
      <w:r w:rsidRPr="00C350EC">
        <w:tab/>
        <w:t>έχοντας υπόψη το σχέδιο εκτελεστικής απόφασης της Επιτροπής όσον αφορά την έγκριση της διάθεσης στην αγορά τροφίμων, συστατικών τροφίμων και ζωοτροφών που παράγονται από γενετικώς τροποποιημένα ζαχαρότευτλα KWS20-1, σύμφωνα με τον κανονισμό (ΕΚ) αριθ. 1829/2003 του Ευρωπαϊκού Κοινοβουλίου και του Συμβουλίου (D110122/02),</w:t>
      </w:r>
    </w:p>
    <w:p w14:paraId="622A46E9" w14:textId="77777777" w:rsidR="00C003CB" w:rsidRPr="00C350EC" w:rsidRDefault="00C003CB" w:rsidP="004B57A6">
      <w:pPr>
        <w:pStyle w:val="NormalHanging12a"/>
      </w:pPr>
      <w:r w:rsidRPr="00C350EC">
        <w:t>–</w:t>
      </w:r>
      <w:r w:rsidRPr="00C350EC">
        <w:tab/>
        <w:t>έχοντας υπόψη τον κανονισμό (ΕΚ) αριθ. 1829/2003 του Ευρωπαϊκού Κοινοβουλίου και του Συμβουλίου, της 22ας Σεπτεμβρίου 2003, για τα γενετικώς τροποποιημένα τρόφιμα και ζωοτροφές</w:t>
      </w:r>
      <w:r w:rsidRPr="00C350EC">
        <w:rPr>
          <w:vertAlign w:val="superscript"/>
        </w:rPr>
        <w:footnoteReference w:id="1"/>
      </w:r>
      <w:r w:rsidRPr="00C350EC">
        <w:t>, και ιδίως το άρθρο 7 παράγραφος 3 και το άρθρο 19 παράγραφος 3,</w:t>
      </w:r>
    </w:p>
    <w:p w14:paraId="0AEF315D" w14:textId="1326D92C" w:rsidR="00C003CB" w:rsidRPr="00C350EC" w:rsidRDefault="00C003CB" w:rsidP="004B57A6">
      <w:pPr>
        <w:pStyle w:val="NormalHanging12a"/>
      </w:pPr>
      <w:r w:rsidRPr="00C350EC">
        <w:t>–</w:t>
      </w:r>
      <w:r w:rsidRPr="00C350EC">
        <w:tab/>
        <w:t xml:space="preserve">έχοντας υπόψη την ψηφοφορία στη Μόνιμη Επιτροπή Φυτών, Ζώων, Τροφίμων και Ζωοτροφών κατά το άρθρο 35 του κανονισμού (ΕΚ) αριθ. 1829/2003, </w:t>
      </w:r>
      <w:r w:rsidR="004B57A6">
        <w:t>η οποία πραγματοποιήθηκε στις</w:t>
      </w:r>
      <w:r w:rsidRPr="00C350EC">
        <w:t xml:space="preserve"> 14 Οκτωβρίου 2025, κατά την οποία δεν εκδόθηκε γνώμη,</w:t>
      </w:r>
      <w:r w:rsidR="004B57A6" w:rsidRPr="004B57A6">
        <w:t xml:space="preserve"> και την ψηφοφορία στην επιτροπή προσφυγών στις</w:t>
      </w:r>
      <w:r w:rsidR="004B57A6">
        <w:t> 28</w:t>
      </w:r>
      <w:r w:rsidR="004B57A6" w:rsidRPr="004B57A6">
        <w:t xml:space="preserve"> </w:t>
      </w:r>
      <w:r w:rsidR="004B57A6">
        <w:t>Νοεμβρίου</w:t>
      </w:r>
      <w:r w:rsidR="004B57A6" w:rsidRPr="004B57A6">
        <w:t xml:space="preserve"> 2025, που κατέληξε επίσης σε μη έκδοση γνωμοδότησης</w:t>
      </w:r>
    </w:p>
    <w:p w14:paraId="154572A9" w14:textId="54661B4A" w:rsidR="00C003CB" w:rsidRPr="00C350EC" w:rsidRDefault="00C003CB" w:rsidP="004B57A6">
      <w:pPr>
        <w:pStyle w:val="NormalHanging12a"/>
        <w:widowControl/>
      </w:pPr>
      <w:r w:rsidRPr="00C350EC">
        <w:t>–</w:t>
      </w:r>
      <w:r w:rsidRPr="00C350EC">
        <w:tab/>
        <w:t>έχοντας υπόψη το άρθρο 11 του κανονισμού (ΕE) αριθ.°182/2011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r w:rsidRPr="00C350EC">
        <w:rPr>
          <w:rStyle w:val="FootnoteReference"/>
          <w:szCs w:val="24"/>
        </w:rPr>
        <w:footnoteReference w:id="2"/>
      </w:r>
      <w:r w:rsidRPr="00C350EC">
        <w:t>,</w:t>
      </w:r>
    </w:p>
    <w:p w14:paraId="244C87E0" w14:textId="0CF8EB85" w:rsidR="00C003CB" w:rsidRPr="00C350EC" w:rsidRDefault="00C003CB" w:rsidP="004B57A6">
      <w:pPr>
        <w:pStyle w:val="NormalHanging12a"/>
      </w:pPr>
      <w:r w:rsidRPr="00C350EC">
        <w:t>–</w:t>
      </w:r>
      <w:r w:rsidRPr="00C350EC">
        <w:tab/>
        <w:t xml:space="preserve">έχοντας υπόψη τη γνωμοδότηση που εκδόθηκε από την Ευρωπαϊκή Αρχή για την Ασφάλεια των Τροφίμων (EFSA) στις 26 Μαρτίου 2025 και δημοσιεύθηκε στις </w:t>
      </w:r>
      <w:r w:rsidRPr="00C350EC">
        <w:lastRenderedPageBreak/>
        <w:t>12</w:t>
      </w:r>
      <w:r w:rsidR="0022329D">
        <w:t> </w:t>
      </w:r>
      <w:r w:rsidRPr="00C350EC">
        <w:t>Μαΐου 2025</w:t>
      </w:r>
      <w:r w:rsidRPr="00C350EC">
        <w:rPr>
          <w:rStyle w:val="FootnoteReference"/>
        </w:rPr>
        <w:footnoteReference w:id="3"/>
      </w:r>
      <w:r w:rsidRPr="00C350EC">
        <w:t>,</w:t>
      </w:r>
    </w:p>
    <w:p w14:paraId="270564FB" w14:textId="77777777" w:rsidR="00C003CB" w:rsidRPr="00C350EC" w:rsidRDefault="00C003CB" w:rsidP="004B57A6">
      <w:pPr>
        <w:pStyle w:val="NormalHanging12a"/>
      </w:pPr>
      <w:r w:rsidRPr="00C350EC">
        <w:t>–</w:t>
      </w:r>
      <w:r w:rsidRPr="00C350EC">
        <w:tab/>
        <w:t>έχοντας υπόψη τα προηγούμενα ψηφίσματά του που διατύπωναν αντίρρηση στην έγκριση γενετικώς τροποποιημένων οργανισμών (ΓΤΟ)</w:t>
      </w:r>
      <w:r w:rsidRPr="00C350EC">
        <w:rPr>
          <w:rStyle w:val="FootnoteReference"/>
        </w:rPr>
        <w:footnoteReference w:id="4"/>
      </w:r>
      <w:r w:rsidRPr="00C350EC">
        <w:t>,</w:t>
      </w:r>
    </w:p>
    <w:p w14:paraId="14FFCB66" w14:textId="77777777" w:rsidR="00C003CB" w:rsidRPr="00C350EC" w:rsidRDefault="00C003CB" w:rsidP="004B57A6">
      <w:pPr>
        <w:pStyle w:val="NormalHanging12a"/>
      </w:pPr>
      <w:r w:rsidRPr="00C350EC">
        <w:lastRenderedPageBreak/>
        <w:t>–</w:t>
      </w:r>
      <w:r w:rsidRPr="00C350EC">
        <w:tab/>
        <w:t>έχοντας υπόψη το άρθρο 115 παράγραφοι 2 και 3 του Κανονισμού του,</w:t>
      </w:r>
    </w:p>
    <w:p w14:paraId="342AD635" w14:textId="77777777" w:rsidR="00C003CB" w:rsidRPr="00C350EC" w:rsidRDefault="00C003CB" w:rsidP="004B57A6">
      <w:pPr>
        <w:pStyle w:val="NormalHanging12a"/>
      </w:pPr>
      <w:r w:rsidRPr="00C350EC">
        <w:t>–</w:t>
      </w:r>
      <w:r w:rsidRPr="00C350EC">
        <w:tab/>
        <w:t>έχοντας υπόψη την πρόταση ψηφίσματος της Επιτροπής Περιβάλλοντος, Κλίματος και Ασφάλειας των Τροφίμων,</w:t>
      </w:r>
    </w:p>
    <w:p w14:paraId="6A687409" w14:textId="77777777" w:rsidR="00C003CB" w:rsidRPr="00C350EC" w:rsidRDefault="00C003CB" w:rsidP="004B57A6">
      <w:pPr>
        <w:pStyle w:val="NormalHanging12a"/>
      </w:pPr>
      <w:r w:rsidRPr="00C350EC">
        <w:t>Α.</w:t>
      </w:r>
      <w:r w:rsidRPr="00C350EC">
        <w:tab/>
        <w:t xml:space="preserve">λαμβάνοντας υπόψη ότι στις 30 Μαΐου 2023 η Bayer </w:t>
      </w:r>
      <w:proofErr w:type="spellStart"/>
      <w:r w:rsidRPr="00C350EC">
        <w:t>Agriculture</w:t>
      </w:r>
      <w:proofErr w:type="spellEnd"/>
      <w:r w:rsidRPr="00C350EC">
        <w:t xml:space="preserve"> BV, η οποία εδρεύει στο Βέλγιο, υπέβαλε </w:t>
      </w:r>
      <w:r w:rsidRPr="00C350EC">
        <w:rPr>
          <w:snapToGrid w:val="0"/>
        </w:rPr>
        <w:t>αίτηση στην αρμόδια εθνική αρχή των Κάτω Χωρών</w:t>
      </w:r>
      <w:r w:rsidRPr="00C350EC">
        <w:t xml:space="preserve"> για λογαριασμό των Bayer CropScience LP (με έδρα τις ΗΠΑ) και KWS SAAT SE &amp; Co. </w:t>
      </w:r>
      <w:proofErr w:type="spellStart"/>
      <w:r w:rsidRPr="00C350EC">
        <w:t>KGaA</w:t>
      </w:r>
      <w:proofErr w:type="spellEnd"/>
      <w:r w:rsidRPr="00C350EC">
        <w:t xml:space="preserve"> (με έδρα τη Γερμανία), για τη διάθεση στην αγορά τροφίμων, συστατικών τροφίμων και ζωοτροφών παράγονται από γενετικώς τροποποιημένα ζαχαρότευτλα KWS20-1 (εφεξής «ΓΤ ζαχαρότευτλα»), σύμφωνα με τα άρθρα 5 και 17 του κανονισμού (ΕΚ) αριθ. 1829/2003·</w:t>
      </w:r>
    </w:p>
    <w:p w14:paraId="443873BB" w14:textId="77777777" w:rsidR="00C003CB" w:rsidRPr="00C350EC" w:rsidRDefault="00C003CB" w:rsidP="004B57A6">
      <w:pPr>
        <w:pStyle w:val="NormalHanging12a"/>
      </w:pPr>
      <w:r w:rsidRPr="00C350EC">
        <w:t>Β.</w:t>
      </w:r>
      <w:r w:rsidRPr="00C350EC">
        <w:tab/>
        <w:t>λαμβάνοντας υπόψη ότι η EFSA εξέδωσε θετική επιστημονική γνώμη στις 12 Μαΐου 2025, καταλήγοντας στο συμπέρασμα ότι τα ΓΤ ζαχαρότευτλα είναι εξίσου ασφαλή με τα συμβατικά αντίστοιχά τους· λαμβάνοντας υπόψη ότι η εν λόγω γνώμη δεν εξέτασε αρκετές ευρύτερες περιβαλλοντικές, κοινωνικοοικονομικές και σωρευτικές επιπτώσεις τις οποίες η EFSA θεωρεί ότι δεν εμπίπτουν στην αρμοδιότητά της·</w:t>
      </w:r>
    </w:p>
    <w:p w14:paraId="44BCAD71" w14:textId="77777777" w:rsidR="00C003CB" w:rsidRPr="00C350EC" w:rsidRDefault="00C003CB" w:rsidP="004B57A6">
      <w:pPr>
        <w:pStyle w:val="NormalHanging12a"/>
      </w:pPr>
      <w:r w:rsidRPr="00C350EC">
        <w:t>Γ.</w:t>
      </w:r>
      <w:r w:rsidRPr="00C350EC">
        <w:tab/>
        <w:t xml:space="preserve">λαμβάνοντας υπόψη ότι τα ΓΤ ζαχαρότευτλα αναπτύχθηκαν με σκοπό να προσδώσουν αντοχή έναντι ζιζανιοκτόνων που βασίζονται στη </w:t>
      </w:r>
      <w:proofErr w:type="spellStart"/>
      <w:r w:rsidRPr="00C350EC">
        <w:t>γλυφοσάτη</w:t>
      </w:r>
      <w:proofErr w:type="spellEnd"/>
      <w:r w:rsidRPr="00C350EC">
        <w:t xml:space="preserve">, τη </w:t>
      </w:r>
      <w:proofErr w:type="spellStart"/>
      <w:r w:rsidRPr="00C350EC">
        <w:t>δικάμβα</w:t>
      </w:r>
      <w:proofErr w:type="spellEnd"/>
      <w:r w:rsidRPr="00C350EC">
        <w:t xml:space="preserve"> και το </w:t>
      </w:r>
      <w:proofErr w:type="spellStart"/>
      <w:r w:rsidRPr="00C350EC">
        <w:t>γλουφοσινικό</w:t>
      </w:r>
      <w:proofErr w:type="spellEnd"/>
      <w:r w:rsidRPr="00C350EC">
        <w:t xml:space="preserve"> αμμώνιο·</w:t>
      </w:r>
    </w:p>
    <w:p w14:paraId="1556A018" w14:textId="77777777" w:rsidR="00C003CB" w:rsidRPr="00C350EC" w:rsidRDefault="00C003CB" w:rsidP="004B57A6">
      <w:pPr>
        <w:pStyle w:val="NormalHanging12a"/>
      </w:pPr>
      <w:r w:rsidRPr="00C350EC">
        <w:t>Δ.</w:t>
      </w:r>
      <w:r w:rsidRPr="00C350EC">
        <w:tab/>
        <w:t xml:space="preserve">λαμβάνοντας υπόψη ότι η εκτίμηση κινδύνου που διενήργησε η EFSA δεν περιλάμβανε μακροπρόθεσμες τοξικολογικές μελέτες ή λεπτομερή ανάλυση των σωρευτικών και συνδυαστικών επιπτώσεων, συμπεριλαμβανομένων πιθανών αλληλεπιδράσεων με κατάλοιπα φυτοφαρμάκων που χρησιμοποιούνται συνήθως στην καλλιέργεια </w:t>
      </w:r>
      <w:r w:rsidRPr="00C350EC">
        <w:lastRenderedPageBreak/>
        <w:t xml:space="preserve">ζαχαρότευτλων· </w:t>
      </w:r>
    </w:p>
    <w:p w14:paraId="37487C9B" w14:textId="6C31C976" w:rsidR="00C003CB" w:rsidRPr="00C350EC" w:rsidRDefault="00C003CB" w:rsidP="004B57A6">
      <w:pPr>
        <w:pStyle w:val="NormalHanging12a"/>
        <w:rPr>
          <w:color w:val="000000" w:themeColor="text1"/>
          <w:szCs w:val="24"/>
        </w:rPr>
      </w:pPr>
      <w:r w:rsidRPr="00C350EC">
        <w:rPr>
          <w:color w:val="000000" w:themeColor="text1"/>
        </w:rPr>
        <w:t>Ε.</w:t>
      </w:r>
      <w:r w:rsidRPr="00C350EC">
        <w:rPr>
          <w:color w:val="000000" w:themeColor="text1"/>
        </w:rPr>
        <w:tab/>
      </w:r>
      <w:r w:rsidRPr="00C350EC">
        <w:t xml:space="preserve">λαμβάνοντας υπόψη ότι στη συντριπτική τους πλειονότητα οι γενετικώς τροποποιημένες καλλιέργειες («ΓΤ καλλιέργειες»), μεταξύ άλλων ζαχαρότευτλων, έχουν τροποποιηθεί γενετικώς ώστε να είναι ανθεκτικές σε ένα ή περισσότερα «συμπληρωματικά» ζιζανιοκτόνα που μπορούν να χρησιμοποιηθούν καθ’ όλη τη διάρκεια του κύκλου ζωής της ΓΤ καλλιέργειας, χωρίς να πεθάνει η καλλιέργεια, όπως θα συνέβαινε στην περίπτωση μιας καλλιέργειας που δεν είναι ανθεκτική στα ζιζανιοκτόνα· </w:t>
      </w:r>
      <w:r w:rsidRPr="00C350EC">
        <w:rPr>
          <w:color w:val="000000" w:themeColor="text1"/>
        </w:rPr>
        <w:t>λαμβάνοντας υπόψη ότι διάφορες μελέτες καταδεικνύουν ότι η καλλιέργεια γενετικώς τροποποιημένων φυτών που είναι ανθεκτικά στα ζιζανιοκτόνα οδηγεί σε μεγαλύτερη χρήση συμπληρωματικών ζιζανιοκτόνων, κυρίως λόγω της εμφάνισης ζιζανίων ανθεκτικών στα ζιζανιοκτόνα</w:t>
      </w:r>
      <w:r w:rsidRPr="00C350EC">
        <w:rPr>
          <w:rStyle w:val="FootnoteReference"/>
          <w:color w:val="000000" w:themeColor="text1"/>
          <w:szCs w:val="24"/>
        </w:rPr>
        <w:footnoteReference w:id="5"/>
      </w:r>
      <w:r w:rsidRPr="00C350EC">
        <w:rPr>
          <w:color w:val="000000" w:themeColor="text1"/>
        </w:rPr>
        <w:t>·</w:t>
      </w:r>
    </w:p>
    <w:p w14:paraId="72E10F83" w14:textId="77777777" w:rsidR="00C003CB" w:rsidRPr="00C350EC" w:rsidRDefault="00C003CB" w:rsidP="004B57A6">
      <w:pPr>
        <w:spacing w:after="240"/>
        <w:ind w:left="567" w:hanging="567"/>
        <w:rPr>
          <w:szCs w:val="24"/>
        </w:rPr>
      </w:pPr>
      <w:r w:rsidRPr="00C350EC">
        <w:t>ΣΤ.</w:t>
      </w:r>
      <w:r w:rsidRPr="00C350EC">
        <w:tab/>
        <w:t>λαμβάνοντας υπόψη ότι οι ανθεκτικές στα ζιζανιοκτόνα ΓΤ καλλιέργειες εγκλωβίζουν τους γεωργούς σε ένα σύστημα διαχείρισης ζιζανίων το οποίο εξαρτάται σε μεγάλο βαθμό ή εξ ολοκλήρου από ζιζανιοκτόνα, και αυτό συμβαίνει με την επιβολή πριμοδότησης για τους ΓΤ σπόρους, η οποία μπορεί να δικαιολογηθεί μόνον εάν οι γεωργοί που αγοράζουν τέτοιους σπόρους ψεκάζουν επίσης με τα συμπληρωματικά ζιζανιοκτόνα·</w:t>
      </w:r>
      <w:r w:rsidRPr="00C350EC">
        <w:rPr>
          <w:color w:val="000000" w:themeColor="text1"/>
        </w:rPr>
        <w:t xml:space="preserve"> λαμβάνοντας υπόψη ότι η αυξημένη εξάρτηση από συμπληρωματικά ζιζανιοκτόνα σε γεωργικές εκμεταλλεύσεις ΓΤ ζαχαρότευτλων θα επιταχύνει την εμφάνιση και την εξάπλωση ζιζανίων ανθεκτικών στα εν λόγω ζιζανιοκτόνα και θα δημιουργήσει έτσι την ανάγκη για ακόμη μεγαλύτερη χρήση ζιζανιοκτόνων, καταλήγοντας σε έναν φαύλο κύκλο γνωστό ως </w:t>
      </w:r>
      <w:proofErr w:type="spellStart"/>
      <w:r w:rsidRPr="00C350EC">
        <w:rPr>
          <w:color w:val="000000" w:themeColor="text1"/>
        </w:rPr>
        <w:t>herbicide</w:t>
      </w:r>
      <w:proofErr w:type="spellEnd"/>
      <w:r w:rsidRPr="00C350EC">
        <w:rPr>
          <w:color w:val="000000" w:themeColor="text1"/>
        </w:rPr>
        <w:t xml:space="preserve"> </w:t>
      </w:r>
      <w:proofErr w:type="spellStart"/>
      <w:r w:rsidRPr="00C350EC">
        <w:rPr>
          <w:color w:val="000000" w:themeColor="text1"/>
        </w:rPr>
        <w:t>treadmill</w:t>
      </w:r>
      <w:proofErr w:type="spellEnd"/>
      <w:r w:rsidRPr="00C350EC">
        <w:rPr>
          <w:color w:val="000000" w:themeColor="text1"/>
        </w:rPr>
        <w:t xml:space="preserve"> («κυλιόμενος τάπητας ζιζανιοκτόνων»)· λαμβάνοντας υπόψη ότι, κατά συνέπεια, οι δυσμενείς επιπτώσεις που απορρέουν από την υπερβολική εξάρτηση από ζιζανιοκτόνα θα επιδεινώσουν την υγεία του εδάφους, την ποιότητα των υδάτων και την υπέργεια και υπόγεια βιοποικιλότητα, οδηγώντας επίσης σε αυξημένη έκθεση των ανθρώπων και των ζώων, ενδεχομένως και με την αύξηση των καταλοίπων ζιζανιοκτόνων στα τρόφιμα και τις ζωοτροφές</w:t>
      </w:r>
      <w:r w:rsidRPr="00C350EC">
        <w:rPr>
          <w:rStyle w:val="FootnoteReference"/>
          <w:color w:val="000000" w:themeColor="text1"/>
          <w:szCs w:val="24"/>
        </w:rPr>
        <w:footnoteReference w:id="6"/>
      </w:r>
      <w:r w:rsidRPr="00C350EC">
        <w:rPr>
          <w:color w:val="000000" w:themeColor="text1"/>
        </w:rPr>
        <w:t>·</w:t>
      </w:r>
    </w:p>
    <w:p w14:paraId="3F1D0030" w14:textId="77777777" w:rsidR="00C003CB" w:rsidRPr="00C350EC" w:rsidRDefault="00C003CB" w:rsidP="004B57A6">
      <w:pPr>
        <w:pStyle w:val="NormalHanging12a"/>
      </w:pPr>
      <w:r w:rsidRPr="00C350EC">
        <w:t>Ζ.</w:t>
      </w:r>
      <w:r w:rsidRPr="00C350EC">
        <w:tab/>
        <w:t xml:space="preserve">λαμβάνοντας υπόψη ότι εξακολουθούν να υφίστανται σοβαρά ερωτηματικά όσον αφορά την καρκινογόνο δράση της γλυφοσάτης· λαμβάνοντας υπόψη ότι τον Νοέμβριο του 2015 η EFSA κατέληξε στο συμπέρασμα ότι, κατά πάσα πιθανότητα, η </w:t>
      </w:r>
      <w:proofErr w:type="spellStart"/>
      <w:r w:rsidRPr="00C350EC">
        <w:t>γλυφοσάτη</w:t>
      </w:r>
      <w:proofErr w:type="spellEnd"/>
      <w:r w:rsidRPr="00C350EC">
        <w:t xml:space="preserve"> δεν είναι καρκινογόνος ουσία, και τον Μάρτιο του 2017 ο Ευρωπαϊκός Οργανισμός Χημικών Προϊόντων κατέληξε στο συμπέρασμα ότι δεν απαιτείται ταξινόμηση· λαμβάνοντας υπόψη ότι, αντιθέτως, το 2015 ο Διεθνής Οργανισμός Ερευνών για τον Καρκίνο —η ειδική υπηρεσία του Παγκόσμιου Οργανισμού Υγείας για τον καρκίνο— ταξινόμησε τη </w:t>
      </w:r>
      <w:proofErr w:type="spellStart"/>
      <w:r w:rsidRPr="00C350EC">
        <w:t>γλυφοσάτη</w:t>
      </w:r>
      <w:proofErr w:type="spellEnd"/>
      <w:r w:rsidRPr="00C350EC">
        <w:t xml:space="preserve"> στις πιθανώς καρκινογόνους για τον άνθρωπο ουσίες· λαμβάνοντας υπόψη ότι σειρά από πρόσφατες επιστημονικές μελέτες </w:t>
      </w:r>
      <w:proofErr w:type="spellStart"/>
      <w:r w:rsidRPr="00C350EC">
        <w:t>αξιολογηθείσες</w:t>
      </w:r>
      <w:proofErr w:type="spellEnd"/>
      <w:r w:rsidRPr="00C350EC">
        <w:t xml:space="preserve"> </w:t>
      </w:r>
      <w:r w:rsidRPr="00C350EC">
        <w:lastRenderedPageBreak/>
        <w:t xml:space="preserve">από </w:t>
      </w:r>
      <w:proofErr w:type="spellStart"/>
      <w:r w:rsidRPr="00C350EC">
        <w:t>ομοτίμους</w:t>
      </w:r>
      <w:proofErr w:type="spellEnd"/>
      <w:r w:rsidRPr="00C350EC">
        <w:t xml:space="preserve"> επιβεβαιώνουν τις </w:t>
      </w:r>
      <w:proofErr w:type="spellStart"/>
      <w:r w:rsidRPr="00C350EC">
        <w:t>καρκινογόνες</w:t>
      </w:r>
      <w:proofErr w:type="spellEnd"/>
      <w:r w:rsidRPr="00C350EC">
        <w:t xml:space="preserve"> ιδιότητες της </w:t>
      </w:r>
      <w:proofErr w:type="spellStart"/>
      <w:r w:rsidRPr="00C350EC">
        <w:t>γλυφοσάτης</w:t>
      </w:r>
      <w:proofErr w:type="spellEnd"/>
      <w:r w:rsidRPr="00C350EC">
        <w:rPr>
          <w:rStyle w:val="FootnoteReference"/>
        </w:rPr>
        <w:footnoteReference w:id="7"/>
      </w:r>
      <w:r w:rsidRPr="00C350EC">
        <w:t>·</w:t>
      </w:r>
    </w:p>
    <w:p w14:paraId="569D04FB" w14:textId="77777777" w:rsidR="00C003CB" w:rsidRPr="00C350EC" w:rsidRDefault="00C003CB" w:rsidP="004B57A6">
      <w:pPr>
        <w:pStyle w:val="NormalHanging12a"/>
        <w:rPr>
          <w:szCs w:val="24"/>
        </w:rPr>
      </w:pPr>
      <w:r w:rsidRPr="00C350EC">
        <w:t>Η.</w:t>
      </w:r>
      <w:r w:rsidRPr="00C350EC">
        <w:tab/>
        <w:t xml:space="preserve">λαμβάνοντας υπόψη ότι η </w:t>
      </w:r>
      <w:proofErr w:type="spellStart"/>
      <w:r w:rsidRPr="00C350EC">
        <w:t>δικάμβα</w:t>
      </w:r>
      <w:proofErr w:type="spellEnd"/>
      <w:r w:rsidRPr="00C350EC">
        <w:t xml:space="preserve"> είναι εξαιρετικά ασταθής, γεγονός που σημαίνει ότι, μετά την εφαρμογή της, είναι επιρρεπής στην εξάτμιση και τη μετακίνηση στον αέρα, και στη συνέχεια μετατοπίζεται με τον άνεμο ωσότου πέσει στο έδαφος, εκθέτοντας ανθρώπους, ζώα και μη στοχευόμενα φυτά, αμπέλια, δέντρα και θάμνους σε δυνητικές και σοβαρές ζημίες, ιδίως όταν η έκθεση συμβαίνει επί σειρά ετών· </w:t>
      </w:r>
      <w:r w:rsidRPr="00C350EC">
        <w:rPr>
          <w:shd w:val="clear" w:color="auto" w:fill="FFFFFF"/>
        </w:rPr>
        <w:t xml:space="preserve">λαμβάνοντας υπόψη ότι η μετατόπιση της </w:t>
      </w:r>
      <w:proofErr w:type="spellStart"/>
      <w:r w:rsidRPr="00C350EC">
        <w:rPr>
          <w:shd w:val="clear" w:color="auto" w:fill="FFFFFF"/>
        </w:rPr>
        <w:t>δικάμβας</w:t>
      </w:r>
      <w:proofErr w:type="spellEnd"/>
      <w:r w:rsidRPr="00C350EC">
        <w:rPr>
          <w:shd w:val="clear" w:color="auto" w:fill="FFFFFF"/>
        </w:rPr>
        <w:t xml:space="preserve"> και οι ζημίες σε γειτονικές καλλιέργειες, δέντρα και αμπέλια έχουν καταστεί εξαιρετικά διχαστικό ζήτημα που φέρνει σε αντιπαράθεση μια ομάδα γεωργών με άλλους γεωργούς και γείτονες στις αγροτικές περιοχές, πυροδοτώντας εκτεταμένες αντιδικίες σε σχέση με τις χαμένες καλλιέργειες και το κόστος αναφύτευσης· </w:t>
      </w:r>
    </w:p>
    <w:p w14:paraId="60D4FF54" w14:textId="77777777" w:rsidR="00C003CB" w:rsidRPr="00C350EC" w:rsidRDefault="00C003CB" w:rsidP="004B57A6">
      <w:pPr>
        <w:pStyle w:val="NormalWeb"/>
        <w:widowControl w:val="0"/>
        <w:spacing w:before="0" w:beforeAutospacing="0" w:after="240" w:afterAutospacing="0"/>
        <w:ind w:left="567" w:hanging="567"/>
      </w:pPr>
      <w:r w:rsidRPr="00C350EC">
        <w:t>Θ.</w:t>
      </w:r>
      <w:r w:rsidRPr="00C350EC">
        <w:tab/>
        <w:t xml:space="preserve">λαμβάνοντας υπόψη ότι το </w:t>
      </w:r>
      <w:proofErr w:type="spellStart"/>
      <w:r w:rsidRPr="00C350EC">
        <w:t>γλουφοσινικό</w:t>
      </w:r>
      <w:proofErr w:type="spellEnd"/>
      <w:r w:rsidRPr="00C350EC">
        <w:t xml:space="preserve"> έχει ταξινομηθεί ως τοξική για την αναπαραγωγή ουσία κατηγορίας 1B και πληροί, επομένως, τα κριτήρια αποκλεισμού που ορίζονται στον κανονισμό (ΕΚ) αριθ. 1107/2009 του Ευρωπαϊκού Κοινοβουλίου και του Συμβουλίου</w:t>
      </w:r>
      <w:r w:rsidRPr="00C350EC">
        <w:rPr>
          <w:rStyle w:val="FootnoteReference"/>
        </w:rPr>
        <w:footnoteReference w:id="8"/>
      </w:r>
      <w:r w:rsidRPr="00C350EC">
        <w:t xml:space="preserve">· λαμβάνοντας υπόψη ότι η έγκριση του </w:t>
      </w:r>
      <w:proofErr w:type="spellStart"/>
      <w:r w:rsidRPr="00C350EC">
        <w:t>γλουφοσινικού</w:t>
      </w:r>
      <w:proofErr w:type="spellEnd"/>
      <w:r w:rsidRPr="00C350EC">
        <w:t xml:space="preserve"> για χρήση στην Ένωση έληξε στις 31 Ιουλίου 2018·</w:t>
      </w:r>
    </w:p>
    <w:p w14:paraId="665413CD" w14:textId="77777777" w:rsidR="00C003CB" w:rsidRPr="00C350EC" w:rsidRDefault="00C003CB" w:rsidP="004B57A6">
      <w:pPr>
        <w:spacing w:after="240"/>
        <w:ind w:left="567" w:hanging="567"/>
      </w:pPr>
      <w:r w:rsidRPr="00C350EC">
        <w:t>Ι.</w:t>
      </w:r>
      <w:r w:rsidRPr="00C350EC">
        <w:tab/>
        <w:t>λαμβάνοντας υπόψη ότι οι επιτόπιες δοκιμές που υποστηρίζουν την αίτηση διενεργήθηκαν υπό περιορισμένες γεωγραφικές και κλιματικές συνθήκες εξ ολοκλήρου στις ΗΠΑ, και δεν αντιπροσωπεύουν την πλήρη ποικιλομορφία των περιοχών καλλιέργειας ζαχαρότευτλων, συμπεριλαμβανομένων εκείνων που πλήττονται έντονα από παράγοντες πίεσης που σχετίζονται με την κλιματική αλλαγή·</w:t>
      </w:r>
    </w:p>
    <w:p w14:paraId="42889AF4" w14:textId="77777777" w:rsidR="00C003CB" w:rsidRPr="00C350EC" w:rsidRDefault="00C003CB" w:rsidP="004B57A6">
      <w:pPr>
        <w:pStyle w:val="NormalHanging12a"/>
      </w:pPr>
      <w:r w:rsidRPr="00C350EC">
        <w:t xml:space="preserve">ΙΑ. </w:t>
      </w:r>
      <w:r w:rsidRPr="00C350EC">
        <w:tab/>
        <w:t>λαμβάνοντας υπόψη ότι η ανεξάρτητη παρακολούθηση και επιτήρηση των δυνητικών δυσμενών επιπτώσεων στη βιοποικιλότητα, την υγεία του εδάφους, τους επικονιαστές και τους μη στοχευόμενους οργανισμούς εξακολουθεί να μην διασφαλίζεται επαρκώς·</w:t>
      </w:r>
    </w:p>
    <w:p w14:paraId="0DAD69AC" w14:textId="77777777" w:rsidR="00C003CB" w:rsidRPr="00C350EC" w:rsidRDefault="00C003CB" w:rsidP="004B57A6">
      <w:pPr>
        <w:spacing w:after="240"/>
        <w:ind w:left="567" w:hanging="567"/>
      </w:pPr>
      <w:r w:rsidRPr="00C350EC">
        <w:t>ΙΒ.</w:t>
      </w:r>
      <w:r w:rsidRPr="00C350EC">
        <w:tab/>
        <w:t>λαμβάνοντας υπόψη ότι η αρχή της προφύλαξης, η οποία κατοχυρώνεται στο άρθρο 191 της Συνθήκης για τη λειτουργία της Ευρωπαϊκής Ένωσης, θα πρέπει να εφαρμόζεται σε περιπτώσεις επιστημονικής αβεβαιότητας·</w:t>
      </w:r>
    </w:p>
    <w:p w14:paraId="50BB9598" w14:textId="77777777" w:rsidR="00C003CB" w:rsidRPr="00C350EC" w:rsidRDefault="00C003CB" w:rsidP="004B57A6">
      <w:pPr>
        <w:spacing w:after="240"/>
        <w:ind w:left="567" w:hanging="567"/>
      </w:pPr>
      <w:r w:rsidRPr="00C350EC">
        <w:t>ΙΓ.</w:t>
      </w:r>
      <w:r w:rsidRPr="00C350EC">
        <w:tab/>
        <w:t>λαμβάνοντας υπόψη ότι ο κανονισμός (ΕΚ) αριθ. 1829/2003 ορίζει ότι τα ΓΤ τρόφιμα και ζωοτροφές δεν πρέπει να έχουν δυσμενείς επιπτώσεις στην υγεία του ανθρώπου, στην υγεία των ζώων ή στο περιβάλλον·</w:t>
      </w:r>
    </w:p>
    <w:p w14:paraId="4766C534" w14:textId="77777777" w:rsidR="00C003CB" w:rsidRPr="00C350EC" w:rsidRDefault="00C003CB" w:rsidP="004B57A6">
      <w:pPr>
        <w:pStyle w:val="NormalWeb"/>
        <w:widowControl w:val="0"/>
        <w:spacing w:before="0" w:beforeAutospacing="0" w:after="240" w:afterAutospacing="0"/>
        <w:ind w:left="567" w:hanging="567"/>
      </w:pPr>
      <w:r w:rsidRPr="00C350EC">
        <w:t>ΙΔ.</w:t>
      </w:r>
      <w:r w:rsidRPr="00C350EC">
        <w:tab/>
        <w:t xml:space="preserve">λαμβάνοντας υπόψη ότι η έγκριση των ΓΤ ζαχαρότευτλων από την Ένωση δεν θα ήταν </w:t>
      </w:r>
      <w:r w:rsidRPr="00C350EC">
        <w:lastRenderedPageBreak/>
        <w:t>σύμφωνη με τις διεθνείς δεσμεύσεις για τη μείωση των φυτοφαρμάκων</w:t>
      </w:r>
      <w:r w:rsidRPr="00C350EC">
        <w:rPr>
          <w:vertAlign w:val="superscript"/>
        </w:rPr>
        <w:footnoteReference w:id="9"/>
      </w:r>
      <w:r w:rsidRPr="00C350EC">
        <w:t xml:space="preserve">, δεδομένης της αυξημένης έκθεσης του ανθρώπου των ζώων και του περιβάλλοντος στη </w:t>
      </w:r>
      <w:proofErr w:type="spellStart"/>
      <w:r w:rsidRPr="00C350EC">
        <w:t>γλυφοσάτη</w:t>
      </w:r>
      <w:proofErr w:type="spellEnd"/>
      <w:r w:rsidRPr="00C350EC">
        <w:t xml:space="preserve">, τη </w:t>
      </w:r>
      <w:proofErr w:type="spellStart"/>
      <w:r w:rsidRPr="00C350EC">
        <w:t>δικάμβα</w:t>
      </w:r>
      <w:proofErr w:type="spellEnd"/>
      <w:r w:rsidRPr="00C350EC">
        <w:t xml:space="preserve"> και το </w:t>
      </w:r>
      <w:proofErr w:type="spellStart"/>
      <w:r w:rsidRPr="00C350EC">
        <w:t>γλουφοσινικό</w:t>
      </w:r>
      <w:proofErr w:type="spellEnd"/>
      <w:r w:rsidRPr="00C350EC">
        <w:t xml:space="preserve"> σε χώρες με ΓΤ καλλιέργειες ανθεκτικές σε ζιζανιοκτόνα, καθώς και των δυνητικά σοβαρών σχετικών προβλημάτων υγείας·</w:t>
      </w:r>
    </w:p>
    <w:p w14:paraId="4CA845B0" w14:textId="77777777" w:rsidR="00C003CB" w:rsidRPr="00C350EC" w:rsidRDefault="00C003CB" w:rsidP="004B57A6">
      <w:pPr>
        <w:spacing w:after="240"/>
        <w:ind w:left="567" w:hanging="567"/>
      </w:pPr>
      <w:r w:rsidRPr="00C350EC">
        <w:t>ΙΕ.</w:t>
      </w:r>
      <w:r w:rsidRPr="00C350EC">
        <w:tab/>
        <w:t>λαμβάνοντας υπόψη ότι το σχέδιο εκτελεστικής απόφασης της Επιτροπής θα επιτρέψει εισαγωγές στην ΕΕ που δεν συμμορφώνονται με τα πρότυπα που τηρούν οι γεωργοί της Ένωσης, με αποτέλεσμα να περιέρχονται οι τελευταίοι σε μειονεκτική ανταγωνιστική θέση·</w:t>
      </w:r>
    </w:p>
    <w:p w14:paraId="6E865D0E" w14:textId="77777777" w:rsidR="00C003CB" w:rsidRPr="00C350EC" w:rsidRDefault="00C003CB" w:rsidP="004B57A6">
      <w:pPr>
        <w:spacing w:after="240"/>
        <w:ind w:left="567" w:hanging="567"/>
      </w:pPr>
      <w:r w:rsidRPr="00C350EC">
        <w:t>ΙΣΤ.</w:t>
      </w:r>
      <w:r w:rsidRPr="00C350EC">
        <w:tab/>
        <w:t>λαμβάνοντας υπόψη ότι τα συμπεράσματα του στρατηγικού διαλόγου για το μέλλον της γεωργίας της ΕΕ</w:t>
      </w:r>
      <w:r w:rsidRPr="00C350EC">
        <w:rPr>
          <w:rStyle w:val="FootnoteReference"/>
        </w:rPr>
        <w:footnoteReference w:id="10"/>
      </w:r>
      <w:r w:rsidRPr="00C350EC">
        <w:t xml:space="preserve"> καλούν την Επιτροπή να επαναξιολογήσει την προσέγγισή της όσον αφορά την πρόσβαση στην αγορά για τις εισαγωγές και τις εξαγωγές γεωργικών ειδών διατροφής, δεδομένης της πρόκλησης που τίθεται από τα αποκλίνοντα πρότυπα της Ένωσης και των εμπορικών εταίρων της· λαμβάνοντας υπόψη ότι μία από τις κύριες απαιτήσεις των αγροτών κατά τη διάρκεια των διαδηλώσεων του 2023 και του 2024 ήταν οι δικαιότερες εμπορικές σχέσεις σε παγκόσμιο επίπεδο, που να συνάδουν με τους στόχους για ένα υγιές περιβάλλον·</w:t>
      </w:r>
    </w:p>
    <w:p w14:paraId="33ACE669" w14:textId="77777777" w:rsidR="00C003CB" w:rsidRPr="00C350EC" w:rsidRDefault="00C003CB" w:rsidP="004B57A6">
      <w:pPr>
        <w:spacing w:after="240"/>
        <w:ind w:left="567" w:hanging="567"/>
      </w:pPr>
      <w:r w:rsidRPr="00C350EC">
        <w:t>ΙΖ.</w:t>
      </w:r>
      <w:r w:rsidRPr="00C350EC">
        <w:tab/>
        <w:t>λαμβάνοντας υπόψη ότι το Κοινοβούλιο έχει επανειλημμένα τονίσει ότι η Επιτροπή δεν θα πρέπει να εγκρίνει ΓΤΟ σε περιπτώσεις όπου δεν επιτυγχάνεται ειδική πλειοψηφία από τα κράτη μέλη στη Μόνιμη Επιτροπή Φυτών, Ζώων, Τροφίμων και Ζωοτροφών ή στην Επιτροπή Προσφυγών, προκειμένου να αντιμετωπιστεί το συνεχιζόμενο δημοκρατικό έλλειμμα·</w:t>
      </w:r>
    </w:p>
    <w:p w14:paraId="0B101B98" w14:textId="77777777" w:rsidR="00C003CB" w:rsidRPr="00C350EC" w:rsidRDefault="00C003CB" w:rsidP="004B57A6">
      <w:pPr>
        <w:pStyle w:val="NormalWeb"/>
        <w:widowControl w:val="0"/>
        <w:shd w:val="clear" w:color="auto" w:fill="FFFFFF"/>
        <w:spacing w:before="0" w:beforeAutospacing="0" w:after="240" w:afterAutospacing="0"/>
        <w:ind w:left="567" w:hanging="567"/>
        <w:rPr>
          <w:color w:val="000000" w:themeColor="text1"/>
        </w:rPr>
      </w:pPr>
      <w:r w:rsidRPr="00C350EC">
        <w:rPr>
          <w:color w:val="000000" w:themeColor="text1"/>
        </w:rPr>
        <w:t>ΙΗ.</w:t>
      </w:r>
      <w:r w:rsidRPr="00C350EC">
        <w:rPr>
          <w:color w:val="000000" w:themeColor="text1"/>
        </w:rPr>
        <w:tab/>
        <w:t>λαμβάνοντας υπόψη ότι η Επιτροπή εξακολουθεί να εγκρίνει ΓΤΟ, παρά το γεγονός ότι αναγνωρίζει και η ίδια την ύπαρξη δημοκρατικού ελλείμματος, την έλλειψη στήριξης από την πλευρά των κρατών μελών και τις ενστάσεις του Κοινοβουλίου·</w:t>
      </w:r>
    </w:p>
    <w:p w14:paraId="03FF5AB5" w14:textId="77777777" w:rsidR="00C003CB" w:rsidRPr="00C350EC" w:rsidRDefault="00C003CB" w:rsidP="004B57A6">
      <w:pPr>
        <w:spacing w:after="240"/>
        <w:ind w:left="567" w:hanging="567"/>
      </w:pPr>
      <w:r w:rsidRPr="00C350EC">
        <w:t>ΙΘ.</w:t>
      </w:r>
      <w:r w:rsidRPr="00C350EC">
        <w:tab/>
        <w:t>λαμβάνοντας υπόψη ότι η προσέγγιση «Μία υγεία» απαιτεί να λαμβάνεται υπόψη η αλληλεξάρτηση μεταξύ της υγείας των ανθρώπων, των ζώων, των φυτών και του περιβάλλοντος κατά την αξιολόγηση της μακροπρόθεσμης βιωσιμότητας και ασφάλειας των ΓΤΟ·</w:t>
      </w:r>
    </w:p>
    <w:p w14:paraId="764785FA" w14:textId="3DA13600" w:rsidR="00C003CB" w:rsidRPr="00C350EC" w:rsidRDefault="00E26650" w:rsidP="00E26650">
      <w:pPr>
        <w:spacing w:after="240"/>
        <w:ind w:left="567" w:hanging="573"/>
      </w:pPr>
      <w:r w:rsidRPr="00C350EC">
        <w:t>1.</w:t>
      </w:r>
      <w:r w:rsidRPr="00C350EC">
        <w:tab/>
      </w:r>
      <w:r w:rsidR="00C003CB" w:rsidRPr="00C350EC">
        <w:t>εκτιμά ότι το σχέδιο εκτελεστικής απόφασης της Επιτροπής υπερβαίνει τις εκτελεστικές αρμοδιότητες που προβλέπει ο κανονισμός (ΕΚ) αριθ. 1829/2003·</w:t>
      </w:r>
    </w:p>
    <w:p w14:paraId="30EBB8D0" w14:textId="0174BFE1" w:rsidR="00C003CB" w:rsidRPr="00C350EC" w:rsidRDefault="00E26650" w:rsidP="00E26650">
      <w:pPr>
        <w:spacing w:after="240"/>
        <w:ind w:left="567" w:hanging="573"/>
      </w:pPr>
      <w:r w:rsidRPr="00C350EC">
        <w:t>2.</w:t>
      </w:r>
      <w:r w:rsidRPr="00C350EC">
        <w:tab/>
      </w:r>
      <w:r w:rsidR="00C003CB" w:rsidRPr="00C350EC">
        <w:t xml:space="preserve">κρίνει ότι το σχέδιο εκτελεστικής απόφασης της Επιτροπής δεν είναι σύμφωνο με το δίκαιο της Ένωσης, υπό την έννοια ότι δεν συνάδει με τον σκοπό του κανονισμού (ΕΚ) αριθ. 1829/2003, ο οποίος είναι, σύμφωνα με τις γενικές αρχές που καθορίζονται στον </w:t>
      </w:r>
      <w:r w:rsidR="00C003CB" w:rsidRPr="00C350EC">
        <w:lastRenderedPageBreak/>
        <w:t>κανονισμό (ΕΚ) αριθ. 178/2002 του Ευρωπαϊκού Κοινοβουλίου και του Συμβουλίου</w:t>
      </w:r>
      <w:r w:rsidR="00C003CB" w:rsidRPr="00C350EC">
        <w:rPr>
          <w:vertAlign w:val="superscript"/>
        </w:rPr>
        <w:footnoteReference w:id="11"/>
      </w:r>
      <w:r w:rsidR="00C003CB" w:rsidRPr="00C350EC">
        <w:t>, να προσφέρει τη βάση για τη διασφάλιση υψηλού επιπέδου προστασίας της ζωής και της υγείας του ανθρώπου, της υγείας και της καλής διαβίωσης των ζώων, του περιβάλλοντος και των συμφερόντων των καταναλωτών σε σχέση με τα ΓΤ τρόφιμα και ζωοτροφές, εξασφαλίζοντας παράλληλα την αποτελεσματική λειτουργία της εσωτερικής αγοράς·</w:t>
      </w:r>
    </w:p>
    <w:p w14:paraId="5E1DDA1A" w14:textId="1F8EA55B" w:rsidR="00C003CB" w:rsidRPr="00C350EC" w:rsidRDefault="00E26650" w:rsidP="00E26650">
      <w:pPr>
        <w:spacing w:after="240"/>
        <w:ind w:left="567" w:hanging="573"/>
      </w:pPr>
      <w:r w:rsidRPr="00C350EC">
        <w:t>3.</w:t>
      </w:r>
      <w:r w:rsidRPr="00C350EC">
        <w:tab/>
      </w:r>
      <w:r w:rsidR="00C003CB" w:rsidRPr="00C350EC">
        <w:t>ζητεί από την Επιτροπή να αποσύρει το σχέδιο εκτελεστικής απόφασής της·</w:t>
      </w:r>
    </w:p>
    <w:p w14:paraId="3A450FC8" w14:textId="500D43D8" w:rsidR="00C003CB" w:rsidRPr="00C350EC" w:rsidRDefault="00E26650" w:rsidP="00E26650">
      <w:pPr>
        <w:spacing w:after="240"/>
        <w:ind w:left="567" w:hanging="573"/>
      </w:pPr>
      <w:r w:rsidRPr="00C350EC">
        <w:t>4.</w:t>
      </w:r>
      <w:r w:rsidRPr="00C350EC">
        <w:tab/>
      </w:r>
      <w:r w:rsidR="00C003CB" w:rsidRPr="00C350EC">
        <w:t>καλεί την Επιτροπή να μην εγκρίνει τα ΓΤ ζαχαρότευτλα λόγω της έλλειψης επαρκών στοιχείων σχετικά με τον μακροχρόνιο αντίκτυπο στη βιοποικιλότητα, την ασφάλεια των τροφίμων, τα μέσα διαβίωσης των γεωργών και την υγεία των ζώων, σύμφωνα με την προσέγγιση «Μία υγεία»·</w:t>
      </w:r>
    </w:p>
    <w:p w14:paraId="067B3A8F" w14:textId="1839A0E9" w:rsidR="00C003CB" w:rsidRPr="00C350EC" w:rsidRDefault="00E26650" w:rsidP="00E26650">
      <w:pPr>
        <w:spacing w:after="240"/>
        <w:ind w:left="567" w:hanging="573"/>
      </w:pPr>
      <w:r w:rsidRPr="00C350EC">
        <w:t>5.</w:t>
      </w:r>
      <w:r w:rsidRPr="00C350EC">
        <w:tab/>
      </w:r>
      <w:r w:rsidR="00C003CB" w:rsidRPr="00C350EC">
        <w:t>ζητεί από την Επιτροπή να υποβάλει, χωρίς καθυστέρηση, νομοθετική πρόταση για τη μεταρρύθμιση της διαδικασίας λήψης αποφάσεων σχετικά με τους ΓΤΟ, προκειμένου να ανταποκριθεί στις συνεχείς αντιρρήσεις του Κοινοβουλίου και στην έλλειψη στήριξης από ειδική πλειοψηφία των κρατών μελών·</w:t>
      </w:r>
    </w:p>
    <w:p w14:paraId="40823DB1" w14:textId="32184821" w:rsidR="00C003CB" w:rsidRPr="00C350EC" w:rsidRDefault="00E26650" w:rsidP="00E26650">
      <w:pPr>
        <w:spacing w:after="240"/>
        <w:ind w:left="567" w:hanging="573"/>
      </w:pPr>
      <w:r w:rsidRPr="00C350EC">
        <w:t>6.</w:t>
      </w:r>
      <w:r w:rsidRPr="00C350EC">
        <w:tab/>
      </w:r>
      <w:r w:rsidR="00C003CB" w:rsidRPr="00C350EC">
        <w:t xml:space="preserve">επισημαίνει, στο πλαίσιο αυτό, ότι η έγκριση της εισαγωγής για χρήση σε τρόφιμα ή ζωοτροφές οποιουδήποτε ΓΤ φυτού που έχει καταστεί ανθεκτικό σε απαγορευμένα από την ΕΕ ζιζανιοκτόνα, όπως το </w:t>
      </w:r>
      <w:proofErr w:type="spellStart"/>
      <w:r w:rsidR="00C003CB" w:rsidRPr="00C350EC">
        <w:t>γλουφοσινικό</w:t>
      </w:r>
      <w:proofErr w:type="spellEnd"/>
      <w:r w:rsidR="00C003CB" w:rsidRPr="00C350EC">
        <w:t xml:space="preserve">, δεν συνάδει με τις διεθνείς δεσμεύσεις της Ένωσης στο πλαίσιο, μεταξύ άλλων, της σύμβασης των Ηνωμένων Εθνών για τη βιολογική ποικιλότητα και των στόχων βιώσιμης ανάπτυξης των Ηνωμένων Εθνών, συμπεριλαμβανομένου του πλαισίου </w:t>
      </w:r>
      <w:proofErr w:type="spellStart"/>
      <w:r w:rsidR="00C003CB" w:rsidRPr="00C350EC">
        <w:t>Κουνμίνγκ</w:t>
      </w:r>
      <w:proofErr w:type="spellEnd"/>
      <w:r w:rsidR="00C003CB" w:rsidRPr="00C350EC">
        <w:t>-Μόντρεαλ, και δημιουργεί άνισους όρους ανταγωνισμού για τους γεωργούς της Ένωσης·</w:t>
      </w:r>
    </w:p>
    <w:p w14:paraId="5F857C8D" w14:textId="6B7E307A" w:rsidR="00C350EC" w:rsidRPr="00C350EC" w:rsidRDefault="00E26650" w:rsidP="00E26650">
      <w:pPr>
        <w:spacing w:after="240"/>
        <w:ind w:left="567" w:hanging="573"/>
      </w:pPr>
      <w:r w:rsidRPr="00C350EC">
        <w:t>7.</w:t>
      </w:r>
      <w:r w:rsidRPr="00C350EC">
        <w:tab/>
      </w:r>
      <w:r w:rsidR="00C003CB" w:rsidRPr="00C350EC">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p>
    <w:p w14:paraId="04667B2C" w14:textId="765229C4" w:rsidR="00E365E1" w:rsidRPr="00C350EC" w:rsidRDefault="00E365E1" w:rsidP="00AD6B17"/>
    <w:sectPr w:rsidR="00E365E1" w:rsidRPr="00C350EC" w:rsidSect="00C350E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5395B" w14:textId="77777777" w:rsidR="00AD6B17" w:rsidRPr="00C350EC" w:rsidRDefault="00AD6B17">
      <w:r w:rsidRPr="00C350EC">
        <w:separator/>
      </w:r>
    </w:p>
  </w:endnote>
  <w:endnote w:type="continuationSeparator" w:id="0">
    <w:p w14:paraId="7A74E050" w14:textId="77777777" w:rsidR="00AD6B17" w:rsidRPr="00C350EC" w:rsidRDefault="00AD6B17">
      <w:r w:rsidRPr="00C350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EB6D7" w14:textId="77777777" w:rsidR="00064002" w:rsidRPr="00C350E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9F7F6" w14:textId="77777777" w:rsidR="00064002" w:rsidRPr="00C350E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154DD" w14:textId="77777777" w:rsidR="00064002" w:rsidRPr="00C350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9C1F8" w14:textId="77777777" w:rsidR="00AD6B17" w:rsidRPr="00C350EC" w:rsidRDefault="00AD6B17">
      <w:r w:rsidRPr="00C350EC">
        <w:separator/>
      </w:r>
    </w:p>
  </w:footnote>
  <w:footnote w:type="continuationSeparator" w:id="0">
    <w:p w14:paraId="5EFEE93C" w14:textId="77777777" w:rsidR="00AD6B17" w:rsidRPr="00C350EC" w:rsidRDefault="00AD6B17">
      <w:r w:rsidRPr="00C350EC">
        <w:continuationSeparator/>
      </w:r>
    </w:p>
  </w:footnote>
  <w:footnote w:id="1">
    <w:p w14:paraId="340E730D" w14:textId="4E3A46AA" w:rsidR="00C003CB" w:rsidRPr="00C350EC" w:rsidRDefault="00C003CB" w:rsidP="00C350EC">
      <w:pPr>
        <w:pStyle w:val="FootnoteText"/>
        <w:suppressAutoHyphens/>
        <w:ind w:left="567" w:hanging="567"/>
        <w:rPr>
          <w:sz w:val="24"/>
          <w:lang w:val="el-GR"/>
        </w:rPr>
      </w:pPr>
      <w:r w:rsidRPr="00C350EC">
        <w:rPr>
          <w:rStyle w:val="FootnoteReference"/>
          <w:sz w:val="24"/>
          <w:lang w:val="el-GR"/>
        </w:rPr>
        <w:footnoteRef/>
      </w:r>
      <w:r w:rsidR="00C350EC" w:rsidRPr="00C350EC">
        <w:rPr>
          <w:sz w:val="24"/>
          <w:lang w:val="el-GR"/>
        </w:rPr>
        <w:t xml:space="preserve"> </w:t>
      </w:r>
      <w:r w:rsidR="00C350EC" w:rsidRPr="00C350EC">
        <w:rPr>
          <w:sz w:val="24"/>
          <w:lang w:val="el-GR"/>
        </w:rPr>
        <w:tab/>
      </w:r>
      <w:r w:rsidRPr="00C350EC">
        <w:rPr>
          <w:sz w:val="24"/>
          <w:lang w:val="el-GR"/>
        </w:rPr>
        <w:t>ΕΕ L 268 της 18.10.2003, σ. 1., ELI: </w:t>
      </w:r>
      <w:hyperlink r:id="rId1" w:tooltip="Πρόσβαση στο εν λόγω κείμενο μέσω του ELI URI." w:history="1">
        <w:r w:rsidRPr="00C350EC">
          <w:rPr>
            <w:rStyle w:val="Hyperlink"/>
            <w:sz w:val="24"/>
            <w:lang w:val="el-GR"/>
          </w:rPr>
          <w:t>http://data.europa.eu/eli/reg/2003/1829/oj</w:t>
        </w:r>
      </w:hyperlink>
      <w:r w:rsidRPr="00C350EC">
        <w:rPr>
          <w:rStyle w:val="Hyperlink"/>
          <w:sz w:val="24"/>
          <w:lang w:val="el-GR"/>
        </w:rPr>
        <w:t>.</w:t>
      </w:r>
    </w:p>
  </w:footnote>
  <w:footnote w:id="2">
    <w:p w14:paraId="296092D0" w14:textId="5238AE9E" w:rsidR="00C003CB" w:rsidRPr="00C350EC" w:rsidRDefault="00C003CB" w:rsidP="00C350EC">
      <w:pPr>
        <w:pStyle w:val="FootnoteText"/>
        <w:ind w:left="567" w:hanging="567"/>
        <w:rPr>
          <w:sz w:val="24"/>
          <w:lang w:val="el-GR"/>
        </w:rPr>
      </w:pPr>
      <w:r w:rsidRPr="00C350EC">
        <w:rPr>
          <w:rStyle w:val="FootnoteReference"/>
          <w:sz w:val="24"/>
          <w:lang w:val="el-GR"/>
        </w:rPr>
        <w:footnoteRef/>
      </w:r>
      <w:r w:rsidR="00C350EC" w:rsidRPr="00C350EC">
        <w:rPr>
          <w:sz w:val="24"/>
          <w:lang w:val="el-GR"/>
        </w:rPr>
        <w:t xml:space="preserve"> </w:t>
      </w:r>
      <w:r w:rsidR="00C350EC" w:rsidRPr="00C350EC">
        <w:rPr>
          <w:sz w:val="24"/>
          <w:lang w:val="el-GR"/>
        </w:rPr>
        <w:tab/>
      </w:r>
      <w:r w:rsidRPr="00C350EC">
        <w:rPr>
          <w:sz w:val="24"/>
          <w:lang w:val="el-GR"/>
        </w:rPr>
        <w:t xml:space="preserve">ΕΕ L 55 της 28.2.2011, σ. 13, ELI: </w:t>
      </w:r>
      <w:r w:rsidR="00A42221">
        <w:fldChar w:fldCharType="begin"/>
      </w:r>
      <w:r w:rsidR="00A42221">
        <w:instrText>HYPERLINK</w:instrText>
      </w:r>
      <w:r w:rsidR="00A42221" w:rsidRPr="00A42221">
        <w:rPr>
          <w:lang w:val="el-GR"/>
        </w:rPr>
        <w:instrText xml:space="preserve"> "</w:instrText>
      </w:r>
      <w:r w:rsidR="00A42221">
        <w:instrText>http</w:instrText>
      </w:r>
      <w:r w:rsidR="00A42221" w:rsidRPr="00A42221">
        <w:rPr>
          <w:lang w:val="el-GR"/>
        </w:rPr>
        <w:instrText>://</w:instrText>
      </w:r>
      <w:r w:rsidR="00A42221">
        <w:instrText>data</w:instrText>
      </w:r>
      <w:r w:rsidR="00A42221" w:rsidRPr="00A42221">
        <w:rPr>
          <w:lang w:val="el-GR"/>
        </w:rPr>
        <w:instrText>.</w:instrText>
      </w:r>
      <w:r w:rsidR="00A42221">
        <w:instrText>europa</w:instrText>
      </w:r>
      <w:r w:rsidR="00A42221" w:rsidRPr="00A42221">
        <w:rPr>
          <w:lang w:val="el-GR"/>
        </w:rPr>
        <w:instrText>.</w:instrText>
      </w:r>
      <w:r w:rsidR="00A42221">
        <w:instrText>eu</w:instrText>
      </w:r>
      <w:r w:rsidR="00A42221" w:rsidRPr="00A42221">
        <w:rPr>
          <w:lang w:val="el-GR"/>
        </w:rPr>
        <w:instrText>/</w:instrText>
      </w:r>
      <w:r w:rsidR="00A42221">
        <w:instrText>eli</w:instrText>
      </w:r>
      <w:r w:rsidR="00A42221" w:rsidRPr="00A42221">
        <w:rPr>
          <w:lang w:val="el-GR"/>
        </w:rPr>
        <w:instrText>/</w:instrText>
      </w:r>
      <w:r w:rsidR="00A42221">
        <w:instrText>reg</w:instrText>
      </w:r>
      <w:r w:rsidR="00A42221" w:rsidRPr="00A42221">
        <w:rPr>
          <w:lang w:val="el-GR"/>
        </w:rPr>
        <w:instrText>/2011/182/</w:instrText>
      </w:r>
      <w:r w:rsidR="00A42221">
        <w:instrText>oj</w:instrText>
      </w:r>
      <w:r w:rsidR="00A42221" w:rsidRPr="00A42221">
        <w:rPr>
          <w:lang w:val="el-GR"/>
        </w:rPr>
        <w:instrText>"</w:instrText>
      </w:r>
      <w:r w:rsidR="00A42221">
        <w:fldChar w:fldCharType="separate"/>
      </w:r>
      <w:r w:rsidRPr="00C350EC">
        <w:rPr>
          <w:rStyle w:val="Hyperlink"/>
          <w:sz w:val="24"/>
          <w:lang w:val="el-GR"/>
        </w:rPr>
        <w:t>http://data.europa.eu/eli/reg/2011/182/oj</w:t>
      </w:r>
      <w:r w:rsidR="00A42221">
        <w:rPr>
          <w:rStyle w:val="Hyperlink"/>
          <w:sz w:val="24"/>
          <w:lang w:val="el-GR"/>
        </w:rPr>
        <w:fldChar w:fldCharType="end"/>
      </w:r>
      <w:r w:rsidRPr="00C350EC">
        <w:rPr>
          <w:sz w:val="24"/>
          <w:lang w:val="el-GR"/>
        </w:rPr>
        <w:t>.</w:t>
      </w:r>
    </w:p>
  </w:footnote>
  <w:footnote w:id="3">
    <w:p w14:paraId="78ED0E46" w14:textId="1DC00ECC" w:rsidR="00C003CB" w:rsidRPr="00C350EC" w:rsidRDefault="00C003CB" w:rsidP="00C350EC">
      <w:pPr>
        <w:pStyle w:val="FootnoteText"/>
        <w:suppressAutoHyphens/>
        <w:ind w:left="567" w:hanging="567"/>
        <w:rPr>
          <w:sz w:val="24"/>
          <w:lang w:val="el-GR"/>
        </w:rPr>
      </w:pPr>
      <w:r w:rsidRPr="00C350EC">
        <w:rPr>
          <w:rStyle w:val="FootnoteReference"/>
          <w:sz w:val="24"/>
          <w:lang w:val="el-GR"/>
        </w:rPr>
        <w:footnoteRef/>
      </w:r>
      <w:r w:rsidR="00C350EC" w:rsidRPr="00C350EC">
        <w:rPr>
          <w:sz w:val="24"/>
          <w:lang w:val="el-GR"/>
        </w:rPr>
        <w:t xml:space="preserve"> </w:t>
      </w:r>
      <w:r w:rsidR="00C350EC" w:rsidRPr="00C350EC">
        <w:rPr>
          <w:sz w:val="24"/>
          <w:lang w:val="el-GR"/>
        </w:rPr>
        <w:tab/>
      </w:r>
      <w:r w:rsidRPr="00C350EC">
        <w:rPr>
          <w:sz w:val="24"/>
          <w:lang w:val="el-GR"/>
        </w:rPr>
        <w:t xml:space="preserve">Επιστημονική γνώμη της ομάδας της EFSA για τους γενετικώς τροποποιημένους οργανισμούς σχετικά με την αξιολόγηση του γενετικά τροποποιημένου ζαχαρότευτλου KWS20-1 (αίτηση GMFF-2023-14732). EFSA Journal 2025·23(5):9381· </w:t>
      </w:r>
      <w:r w:rsidR="00A42221">
        <w:fldChar w:fldCharType="begin"/>
      </w:r>
      <w:r w:rsidR="00A42221">
        <w:instrText>HYPERLINK</w:instrText>
      </w:r>
      <w:r w:rsidR="00A42221" w:rsidRPr="00A42221">
        <w:rPr>
          <w:lang w:val="el-GR"/>
        </w:rPr>
        <w:instrText xml:space="preserve"> "</w:instrText>
      </w:r>
      <w:r w:rsidR="00A42221">
        <w:instrText>https</w:instrText>
      </w:r>
      <w:r w:rsidR="00A42221" w:rsidRPr="00A42221">
        <w:rPr>
          <w:lang w:val="el-GR"/>
        </w:rPr>
        <w:instrText>://</w:instrText>
      </w:r>
      <w:r w:rsidR="00A42221">
        <w:instrText>doi</w:instrText>
      </w:r>
      <w:r w:rsidR="00A42221" w:rsidRPr="00A42221">
        <w:rPr>
          <w:lang w:val="el-GR"/>
        </w:rPr>
        <w:instrText>.</w:instrText>
      </w:r>
      <w:r w:rsidR="00A42221">
        <w:instrText>org</w:instrText>
      </w:r>
      <w:r w:rsidR="00A42221" w:rsidRPr="00A42221">
        <w:rPr>
          <w:lang w:val="el-GR"/>
        </w:rPr>
        <w:instrText>/10.2903/</w:instrText>
      </w:r>
      <w:r w:rsidR="00A42221">
        <w:instrText>j</w:instrText>
      </w:r>
      <w:r w:rsidR="00A42221" w:rsidRPr="00A42221">
        <w:rPr>
          <w:lang w:val="el-GR"/>
        </w:rPr>
        <w:instrText>.</w:instrText>
      </w:r>
      <w:r w:rsidR="00A42221">
        <w:instrText>efsa</w:instrText>
      </w:r>
      <w:r w:rsidR="00A42221" w:rsidRPr="00A42221">
        <w:rPr>
          <w:lang w:val="el-GR"/>
        </w:rPr>
        <w:instrText>.2025.9381"</w:instrText>
      </w:r>
      <w:r w:rsidR="00A42221">
        <w:fldChar w:fldCharType="separate"/>
      </w:r>
      <w:r w:rsidRPr="00C350EC">
        <w:rPr>
          <w:rStyle w:val="Hyperlink"/>
          <w:sz w:val="24"/>
          <w:lang w:val="el-GR"/>
        </w:rPr>
        <w:t>https://doi.org/10.2903/j.efsa.2025.9381</w:t>
      </w:r>
      <w:r w:rsidR="00A42221">
        <w:rPr>
          <w:rStyle w:val="Hyperlink"/>
          <w:sz w:val="24"/>
          <w:lang w:val="el-GR"/>
        </w:rPr>
        <w:fldChar w:fldCharType="end"/>
      </w:r>
      <w:r w:rsidRPr="00C350EC">
        <w:rPr>
          <w:sz w:val="24"/>
          <w:lang w:val="el-GR"/>
        </w:rPr>
        <w:t>.</w:t>
      </w:r>
    </w:p>
  </w:footnote>
  <w:footnote w:id="4">
    <w:p w14:paraId="39499608" w14:textId="02116EF0" w:rsidR="00C003CB" w:rsidRPr="00C350EC" w:rsidRDefault="00C003CB" w:rsidP="00C350EC">
      <w:pPr>
        <w:pStyle w:val="FootnoteText"/>
        <w:suppressAutoHyphens/>
        <w:ind w:left="567" w:hanging="567"/>
        <w:rPr>
          <w:color w:val="000000" w:themeColor="text1"/>
          <w:sz w:val="24"/>
          <w:vertAlign w:val="superscript"/>
          <w:lang w:val="el-GR"/>
        </w:rPr>
      </w:pPr>
      <w:r w:rsidRPr="00C350EC">
        <w:rPr>
          <w:rStyle w:val="FootnoteReference"/>
          <w:sz w:val="24"/>
          <w:lang w:val="el-GR"/>
        </w:rPr>
        <w:footnoteRef/>
      </w:r>
      <w:r w:rsidR="00C350EC" w:rsidRPr="00C350EC">
        <w:rPr>
          <w:sz w:val="24"/>
          <w:lang w:val="el-GR"/>
        </w:rPr>
        <w:t xml:space="preserve"> </w:t>
      </w:r>
      <w:r w:rsidR="00C350EC" w:rsidRPr="00C350EC">
        <w:rPr>
          <w:sz w:val="24"/>
          <w:lang w:val="el-GR"/>
        </w:rPr>
        <w:tab/>
      </w:r>
      <w:r w:rsidRPr="00C350EC">
        <w:rPr>
          <w:sz w:val="24"/>
          <w:lang w:val="el-GR"/>
        </w:rPr>
        <w:t>Κατά την όγδοη κοινοβουλευτική περίοδο, το Κοινοβούλιο ενέκρινε 36 ψηφίσματα και, κατά την ένατη κοινοβουλευτική του περίοδο, το Κοινοβούλιο ενέκρινε 38 ψηφίσματα που αντιτίθενται στην έγκριση ΓΤΟ.</w:t>
      </w:r>
      <w:r w:rsidRPr="00C350EC">
        <w:rPr>
          <w:color w:val="000000" w:themeColor="text1"/>
          <w:sz w:val="24"/>
          <w:lang w:val="el-GR"/>
        </w:rPr>
        <w:t xml:space="preserve"> Επιπλέον, κατά τη δέκατη κοινοβουλευτική του περίοδο, το Κοινοβούλιο έχει εγκρίνει τα ακόλουθα ψηφίσματα:</w:t>
      </w:r>
    </w:p>
    <w:p w14:paraId="570D7B75" w14:textId="4D0A9D11" w:rsidR="00C003CB" w:rsidRPr="00C350EC" w:rsidRDefault="00C003CB" w:rsidP="00E26650">
      <w:pPr>
        <w:pStyle w:val="FootnoteText"/>
        <w:suppressAutoHyphens/>
        <w:ind w:left="1134" w:hanging="567"/>
        <w:rPr>
          <w:color w:val="000000" w:themeColor="text1"/>
          <w:sz w:val="24"/>
          <w:vertAlign w:val="superscript"/>
          <w:lang w:val="el-GR"/>
        </w:rPr>
      </w:pPr>
      <w:r w:rsidRPr="00C350EC">
        <w:rPr>
          <w:color w:val="000000" w:themeColor="text1"/>
          <w:sz w:val="24"/>
          <w:lang w:val="el-GR"/>
        </w:rPr>
        <w:t>–</w:t>
      </w:r>
      <w:r w:rsidRPr="00C350EC">
        <w:rPr>
          <w:color w:val="000000" w:themeColor="text1"/>
          <w:sz w:val="24"/>
          <w:lang w:val="el-GR"/>
        </w:rPr>
        <w:tab/>
        <w:t xml:space="preserve">Ψήφισμα του Ευρωπαϊκού Κοινοβουλίου της 26ης Νοεμβρίου 2024 σχετικά με την εκτελεστική απόφαση (ΕΕ) 2024/2628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NK603 σύμφωνα με τον κανονισμό (ΕΚ) αριθ. 1829/2003 του Ευρωπαϊκού Κοινοβουλίου και του Συμβουλίου (ΕΕ C, C/2025/1798, 4.4.2025, ELI: </w:t>
      </w:r>
      <w:r w:rsidR="00A42221">
        <w:fldChar w:fldCharType="begin"/>
      </w:r>
      <w:r w:rsidR="00A42221">
        <w:instrText>HYPERLINK</w:instrText>
      </w:r>
      <w:r w:rsidR="00A42221" w:rsidRPr="00A42221">
        <w:rPr>
          <w:lang w:val="el-GR"/>
        </w:rPr>
        <w:instrText xml:space="preserve"> "</w:instrText>
      </w:r>
      <w:r w:rsidR="00A42221">
        <w:instrText>http</w:instrText>
      </w:r>
      <w:r w:rsidR="00A42221" w:rsidRPr="00A42221">
        <w:rPr>
          <w:lang w:val="el-GR"/>
        </w:rPr>
        <w:instrText>://</w:instrText>
      </w:r>
      <w:r w:rsidR="00A42221">
        <w:instrText>data</w:instrText>
      </w:r>
      <w:r w:rsidR="00A42221" w:rsidRPr="00A42221">
        <w:rPr>
          <w:lang w:val="el-GR"/>
        </w:rPr>
        <w:instrText>.</w:instrText>
      </w:r>
      <w:r w:rsidR="00A42221">
        <w:instrText>europa</w:instrText>
      </w:r>
      <w:r w:rsidR="00A42221" w:rsidRPr="00A42221">
        <w:rPr>
          <w:lang w:val="el-GR"/>
        </w:rPr>
        <w:instrText>.</w:instrText>
      </w:r>
      <w:r w:rsidR="00A42221">
        <w:instrText>eu</w:instrText>
      </w:r>
      <w:r w:rsidR="00A42221" w:rsidRPr="00A42221">
        <w:rPr>
          <w:lang w:val="el-GR"/>
        </w:rPr>
        <w:instrText>/</w:instrText>
      </w:r>
      <w:r w:rsidR="00A42221">
        <w:instrText>eli</w:instrText>
      </w:r>
      <w:r w:rsidR="00A42221" w:rsidRPr="00A42221">
        <w:rPr>
          <w:lang w:val="el-GR"/>
        </w:rPr>
        <w:instrText>/</w:instrText>
      </w:r>
      <w:r w:rsidR="00A42221">
        <w:instrText>C</w:instrText>
      </w:r>
      <w:r w:rsidR="00A42221" w:rsidRPr="00A42221">
        <w:rPr>
          <w:lang w:val="el-GR"/>
        </w:rPr>
        <w:instrText>/2025/1797/</w:instrText>
      </w:r>
      <w:r w:rsidR="00A42221">
        <w:instrText>oj</w:instrText>
      </w:r>
      <w:r w:rsidR="00A42221" w:rsidRPr="00A42221">
        <w:rPr>
          <w:lang w:val="el-GR"/>
        </w:rPr>
        <w:instrText>"</w:instrText>
      </w:r>
      <w:r w:rsidR="00A42221">
        <w:fldChar w:fldCharType="separate"/>
      </w:r>
      <w:r w:rsidRPr="00C350EC">
        <w:rPr>
          <w:rStyle w:val="Hyperlink"/>
          <w:sz w:val="24"/>
          <w:lang w:val="el-GR"/>
        </w:rPr>
        <w:t>http://data.europa.eu/eli/C/2025/1797/oj</w:t>
      </w:r>
      <w:r w:rsidR="00A42221">
        <w:rPr>
          <w:rStyle w:val="Hyperlink"/>
          <w:sz w:val="24"/>
          <w:lang w:val="el-GR"/>
        </w:rPr>
        <w:fldChar w:fldCharType="end"/>
      </w:r>
      <w:r w:rsidRPr="00C350EC">
        <w:rPr>
          <w:color w:val="000000" w:themeColor="text1"/>
          <w:sz w:val="24"/>
          <w:lang w:val="el-GR"/>
        </w:rPr>
        <w:t>).</w:t>
      </w:r>
    </w:p>
    <w:p w14:paraId="3B462D71" w14:textId="2B386FEA" w:rsidR="00C003CB" w:rsidRPr="00C350EC" w:rsidRDefault="00C003CB" w:rsidP="00E26650">
      <w:pPr>
        <w:pStyle w:val="FootnoteText"/>
        <w:suppressAutoHyphens/>
        <w:ind w:left="1134" w:hanging="567"/>
        <w:rPr>
          <w:color w:val="000000" w:themeColor="text1"/>
          <w:sz w:val="24"/>
          <w:vertAlign w:val="superscript"/>
          <w:lang w:val="el-GR"/>
        </w:rPr>
      </w:pPr>
      <w:r w:rsidRPr="00C350EC">
        <w:rPr>
          <w:color w:val="000000" w:themeColor="text1"/>
          <w:sz w:val="24"/>
          <w:lang w:val="el-GR"/>
        </w:rPr>
        <w:t>–</w:t>
      </w:r>
      <w:r w:rsidRPr="00C350EC">
        <w:rPr>
          <w:color w:val="000000" w:themeColor="text1"/>
          <w:sz w:val="24"/>
          <w:lang w:val="el-GR"/>
        </w:rPr>
        <w:tab/>
        <w:t xml:space="preserve">Ψήφισμα του Ευρωπαϊκού Κοινοβουλίου της 26ης Νοεμβρίου 2024 σχετικά με την εκτελεστική απόφαση (ΕΕ) 2024/2627 της Επιτροπής για την έγκριση της διάθεσης στην αγορά προϊόντων που περιέχουν, αποτελούνται ή παράγονται από γενετικώς τροποποιημένο βαμβάκι COT102, σύμφωνα με τον κανονισμό (ΕΚ) αριθ. 1829/2003 του Ευρωπαϊκού Κοινοβουλίου και του Συμβουλίου (ΕΕ C, C/2025/1798, 4.4.2025, ELI: </w:t>
      </w:r>
      <w:hyperlink r:id="rId2" w:history="1">
        <w:r w:rsidRPr="00C350EC">
          <w:rPr>
            <w:rStyle w:val="Hyperlink"/>
            <w:sz w:val="24"/>
            <w:lang w:val="el-GR"/>
          </w:rPr>
          <w:t>http://data.europa.eu/eli/C/2025/1798/oj</w:t>
        </w:r>
      </w:hyperlink>
      <w:r w:rsidRPr="00C350EC">
        <w:rPr>
          <w:color w:val="000000" w:themeColor="text1"/>
          <w:sz w:val="24"/>
          <w:lang w:val="el-GR"/>
        </w:rPr>
        <w:t>).</w:t>
      </w:r>
    </w:p>
    <w:p w14:paraId="0E4A1E26" w14:textId="2F2A3C93" w:rsidR="00C003CB" w:rsidRPr="00C350EC" w:rsidRDefault="00C003CB" w:rsidP="00E26650">
      <w:pPr>
        <w:pStyle w:val="FootnoteText"/>
        <w:suppressAutoHyphens/>
        <w:ind w:left="1134" w:hanging="567"/>
        <w:rPr>
          <w:color w:val="000000" w:themeColor="text1"/>
          <w:sz w:val="24"/>
          <w:vertAlign w:val="superscript"/>
          <w:lang w:val="el-GR"/>
        </w:rPr>
      </w:pPr>
      <w:r w:rsidRPr="00C350EC">
        <w:rPr>
          <w:color w:val="000000" w:themeColor="text1"/>
          <w:sz w:val="24"/>
          <w:lang w:val="el-GR"/>
        </w:rPr>
        <w:t>–</w:t>
      </w:r>
      <w:r w:rsidRPr="00C350EC">
        <w:rPr>
          <w:color w:val="000000" w:themeColor="text1"/>
          <w:sz w:val="24"/>
          <w:lang w:val="el-GR"/>
        </w:rPr>
        <w:tab/>
        <w:t xml:space="preserve">Ψήφισμα του Ευρωπαϊκού Κοινοβουλίου της 26ης Νοεμβρίου 2024 σχετικά με την εκτελεστική απόφαση (ΕΕ) 2024/2629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MON 88017 × 59122 και από οκτώ από τους επιμέρους συνδυασμούς του σύμφωνα με τον κανονισμό (ΕΚ) αριθ. 1829/2003 του Ευρωπαϊκού Κοινοβουλίου και του Συμβουλίου (ΕΕ C, C/2025/1799, 4.4.2025, ELI: </w:t>
      </w:r>
      <w:hyperlink r:id="rId3" w:history="1">
        <w:r w:rsidRPr="00C350EC">
          <w:rPr>
            <w:rStyle w:val="Hyperlink"/>
            <w:sz w:val="24"/>
            <w:lang w:val="el-GR"/>
          </w:rPr>
          <w:t>http://data.europa.eu/eli/C/2025/1799/oj</w:t>
        </w:r>
      </w:hyperlink>
      <w:r w:rsidRPr="00C350EC">
        <w:rPr>
          <w:color w:val="000000" w:themeColor="text1"/>
          <w:sz w:val="24"/>
          <w:lang w:val="el-GR"/>
        </w:rPr>
        <w:t>).</w:t>
      </w:r>
    </w:p>
    <w:p w14:paraId="4C733FF7" w14:textId="0262A1B5" w:rsidR="00C003CB" w:rsidRPr="00C350EC" w:rsidRDefault="00C003CB" w:rsidP="00E26650">
      <w:pPr>
        <w:pStyle w:val="FootnoteText"/>
        <w:ind w:left="1134" w:hanging="567"/>
        <w:rPr>
          <w:color w:val="000000" w:themeColor="text1"/>
          <w:sz w:val="24"/>
          <w:vertAlign w:val="superscript"/>
          <w:lang w:val="el-GR"/>
        </w:rPr>
      </w:pPr>
      <w:r w:rsidRPr="00C350EC">
        <w:rPr>
          <w:color w:val="000000" w:themeColor="text1"/>
          <w:sz w:val="24"/>
          <w:lang w:val="el-GR"/>
        </w:rPr>
        <w:t>–</w:t>
      </w:r>
      <w:r w:rsidRPr="00C350EC">
        <w:rPr>
          <w:color w:val="000000" w:themeColor="text1"/>
          <w:sz w:val="24"/>
          <w:lang w:val="el-GR"/>
        </w:rPr>
        <w:tab/>
        <w:t xml:space="preserve">Ψήφισμα του Ευρωπαϊκού Κοινοβουλίου της 26ης Νοεμβρίου 2024 σχετικά με την εκτελεστική απόφαση (ΕΕ) 2024/1828 της Επιτροπής για την ανανέωση της έγκρισης της διάθεσης στην αγορά ζωοτροφών που περιέχουν γενετικώς τροποποιημένο αραβόσιτο MON 810 ή αποτελούνται από αυτόν και τροφίμων και ζωοτροφών που παράγονται από γενετικώς τροποποιημένο αραβόσιτο MON 810, σύμφωνα με τον κανονισμό (ΕΚ) αριθ. 1829/2003 του Ευρωπαϊκού Κοινοβουλίου και του Συμβουλίου, και για την κατάργηση της εκτελεστικής απόφασης (ΕΕ) 2017/1207 της Επιτροπής (ΕΕ C, C/2025/1800, 4.4.2025, ELI: </w:t>
      </w:r>
      <w:hyperlink r:id="rId4" w:history="1">
        <w:r w:rsidRPr="00C350EC">
          <w:rPr>
            <w:rStyle w:val="Hyperlink"/>
            <w:sz w:val="24"/>
            <w:lang w:val="el-GR"/>
          </w:rPr>
          <w:t>http://data.europa.eu/eli/C/2025/1800/oj</w:t>
        </w:r>
      </w:hyperlink>
      <w:r w:rsidRPr="00C350EC">
        <w:rPr>
          <w:color w:val="000000" w:themeColor="text1"/>
          <w:sz w:val="24"/>
          <w:lang w:val="el-GR"/>
        </w:rPr>
        <w:t>).</w:t>
      </w:r>
    </w:p>
    <w:p w14:paraId="7C69CE5A" w14:textId="1CE2491D" w:rsidR="00C003CB" w:rsidRPr="00C350EC" w:rsidRDefault="00C003CB" w:rsidP="00E26650">
      <w:pPr>
        <w:pStyle w:val="FootnoteText"/>
        <w:ind w:left="1134" w:hanging="567"/>
        <w:rPr>
          <w:color w:val="000000" w:themeColor="text1"/>
          <w:sz w:val="24"/>
          <w:vertAlign w:val="superscript"/>
          <w:lang w:val="el-GR"/>
        </w:rPr>
      </w:pPr>
      <w:r w:rsidRPr="00C350EC">
        <w:rPr>
          <w:color w:val="000000" w:themeColor="text1"/>
          <w:sz w:val="24"/>
          <w:lang w:val="el-GR"/>
        </w:rPr>
        <w:t>–</w:t>
      </w:r>
      <w:r w:rsidRPr="00C350EC">
        <w:rPr>
          <w:color w:val="000000" w:themeColor="text1"/>
          <w:sz w:val="24"/>
          <w:lang w:val="el-GR"/>
        </w:rPr>
        <w:tab/>
        <w:t xml:space="preserve">Ψήφισμα του Ευρωπαϊκού Κοινοβουλίου της 26ης Νοεμβρίου 2024 σχετικά με την εκτελεστική απόφαση (ΕΕ) 2024/1822 της Επιτροπής για την έγκριση της διάθεσης στην αγορά προϊόντων που περιέχουν, αποτελούνται ή παράγονται από γενετικώς τροποποιημένο αραβόσιτο DP915635, σύμφωνα με τον κανονισμό (ΕΚ) αριθ. 1829/2003 του Ευρωπαϊκού Κοινοβουλίου και του Συμβουλίου (ΕΕ C, C/2025/1801, 4.4.2025, ELI: </w:t>
      </w:r>
      <w:hyperlink r:id="rId5" w:history="1">
        <w:r w:rsidRPr="00C350EC">
          <w:rPr>
            <w:rStyle w:val="Hyperlink"/>
            <w:sz w:val="24"/>
            <w:lang w:val="el-GR"/>
          </w:rPr>
          <w:t>http://data.europa.eu/eli/C/2025/1801/oj</w:t>
        </w:r>
      </w:hyperlink>
      <w:r w:rsidRPr="00C350EC">
        <w:rPr>
          <w:color w:val="000000" w:themeColor="text1"/>
          <w:sz w:val="24"/>
          <w:lang w:val="el-GR"/>
        </w:rPr>
        <w:t>).</w:t>
      </w:r>
    </w:p>
    <w:p w14:paraId="021E5AEB" w14:textId="301BA565" w:rsidR="00C003CB" w:rsidRPr="00C350EC" w:rsidRDefault="00C003CB" w:rsidP="00E26650">
      <w:pPr>
        <w:pStyle w:val="FootnoteText"/>
        <w:ind w:left="1134" w:hanging="567"/>
        <w:rPr>
          <w:color w:val="000000" w:themeColor="text1"/>
          <w:sz w:val="24"/>
          <w:vertAlign w:val="superscript"/>
          <w:lang w:val="el-GR"/>
        </w:rPr>
      </w:pPr>
      <w:r w:rsidRPr="00C350EC">
        <w:rPr>
          <w:color w:val="000000" w:themeColor="text1"/>
          <w:sz w:val="24"/>
          <w:lang w:val="el-GR"/>
        </w:rPr>
        <w:t>–</w:t>
      </w:r>
      <w:r w:rsidRPr="00C350EC">
        <w:rPr>
          <w:color w:val="000000" w:themeColor="text1"/>
          <w:sz w:val="24"/>
          <w:lang w:val="el-GR"/>
        </w:rPr>
        <w:tab/>
        <w:t xml:space="preserve">Ψήφισμα του Ευρωπαϊκού Κοινοβουλίου της 26ης Νοεμβρίου 2024 σχετικά με την εκτελεστική απόφαση (ΕΕ) 2024/1826 της Επιτροπής για την έγκριση της διάθεσης στην αγορά προϊόντων που περιέχουν, αποτελούνται ή παράγονται από γενετικώς τροποποιημένο αραβόσιτο DP23211, σύμφωνα με τον κανονισμό (ΕΚ) αριθ. 1829/2003 του Ευρωπαϊκού Κοινοβουλίου και του Συμβουλίου (ΕΕ C, C/2025/1802, 4.4.2025, ELI: </w:t>
      </w:r>
      <w:hyperlink r:id="rId6" w:history="1">
        <w:r w:rsidRPr="00C350EC">
          <w:rPr>
            <w:rStyle w:val="Hyperlink"/>
            <w:sz w:val="24"/>
            <w:lang w:val="el-GR"/>
          </w:rPr>
          <w:t>http://data.europa.eu/eli/C/2025/1802/oj</w:t>
        </w:r>
      </w:hyperlink>
      <w:r w:rsidRPr="00C350EC">
        <w:rPr>
          <w:color w:val="000000" w:themeColor="text1"/>
          <w:sz w:val="24"/>
          <w:lang w:val="el-GR"/>
        </w:rPr>
        <w:t>).</w:t>
      </w:r>
    </w:p>
    <w:p w14:paraId="6192A589" w14:textId="2FA4E597" w:rsidR="00C003CB" w:rsidRPr="00C350EC" w:rsidRDefault="00C003CB" w:rsidP="00E26650">
      <w:pPr>
        <w:pStyle w:val="FootnoteText"/>
        <w:ind w:left="1134" w:hanging="567"/>
        <w:rPr>
          <w:color w:val="000000" w:themeColor="text1"/>
          <w:sz w:val="24"/>
          <w:vertAlign w:val="superscript"/>
          <w:lang w:val="el-GR"/>
        </w:rPr>
      </w:pPr>
      <w:r w:rsidRPr="00C350EC">
        <w:rPr>
          <w:color w:val="000000" w:themeColor="text1"/>
          <w:sz w:val="24"/>
          <w:lang w:val="el-GR"/>
        </w:rPr>
        <w:t>–</w:t>
      </w:r>
      <w:r w:rsidRPr="00C350EC">
        <w:rPr>
          <w:color w:val="000000" w:themeColor="text1"/>
          <w:sz w:val="24"/>
          <w:lang w:val="el-GR"/>
        </w:rPr>
        <w:tab/>
        <w:t xml:space="preserve">Ψήφισμα του Ευρωπαϊκού Κοινοβουλίου της 26ης Νοεμβρίου 2024 σχετικά με την εκτελεστική απόφαση (ΕΕ) 2024/2618 της Επιτροπής για την έγκριση της διάθεσης στην αγορά προϊόντων που περιέχουν, αποτελούνται ή παράγονται από γενετικώς τροποποιημένο αραβόσιτο DP202216, σύμφωνα με τον κανονισμό (ΕΚ) αριθ. 1829/2003 του Ευρωπαϊκού Κοινοβουλίου και του Συμβουλίου (ΕΕ C, C/2025/1803, 4.4.2025, ELI: </w:t>
      </w:r>
      <w:hyperlink r:id="rId7" w:history="1">
        <w:r w:rsidRPr="00C350EC">
          <w:rPr>
            <w:rStyle w:val="Hyperlink"/>
            <w:sz w:val="24"/>
            <w:lang w:val="el-GR"/>
          </w:rPr>
          <w:t>http://data.europa.eu/eli/C/2025/1803/oj</w:t>
        </w:r>
      </w:hyperlink>
      <w:r w:rsidRPr="00C350EC">
        <w:rPr>
          <w:color w:val="000000" w:themeColor="text1"/>
          <w:sz w:val="24"/>
          <w:lang w:val="el-GR"/>
        </w:rPr>
        <w:t>).</w:t>
      </w:r>
    </w:p>
    <w:p w14:paraId="51E57381" w14:textId="640899C9" w:rsidR="00C003CB" w:rsidRPr="00C350EC" w:rsidRDefault="00C003CB" w:rsidP="00E26650">
      <w:pPr>
        <w:pStyle w:val="FootnoteText"/>
        <w:ind w:left="1134" w:hanging="567"/>
        <w:rPr>
          <w:color w:val="000000" w:themeColor="text1"/>
          <w:sz w:val="24"/>
          <w:vertAlign w:val="superscript"/>
          <w:lang w:val="el-GR"/>
        </w:rPr>
      </w:pPr>
      <w:r w:rsidRPr="00C350EC">
        <w:rPr>
          <w:color w:val="000000" w:themeColor="text1"/>
          <w:sz w:val="24"/>
          <w:lang w:val="el-GR"/>
        </w:rPr>
        <w:t>–</w:t>
      </w:r>
      <w:r w:rsidRPr="00C350EC">
        <w:rPr>
          <w:color w:val="000000" w:themeColor="text1"/>
          <w:sz w:val="24"/>
          <w:lang w:val="el-GR"/>
        </w:rPr>
        <w:tab/>
        <w:t xml:space="preserve">Ψήφισμα του Ευρωπαϊκού Κοινοβουλίου της 26ης Νοεμβρίου 2024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94804, σύμφωνα με τον κανονισμό (ΕΚ) αριθ. 1829/2003 του Ευρωπαϊκού Κοινοβουλίου και του Συμβουλίου (ΕΕ C, C/2025/1804, 4.4.2025, ELI: </w:t>
      </w:r>
      <w:hyperlink r:id="rId8" w:history="1">
        <w:r w:rsidRPr="00C350EC">
          <w:rPr>
            <w:rStyle w:val="Hyperlink"/>
            <w:sz w:val="24"/>
            <w:lang w:val="el-GR"/>
          </w:rPr>
          <w:t>http://data.europa.eu/eli/C/2025/1804/oj</w:t>
        </w:r>
      </w:hyperlink>
      <w:r w:rsidRPr="00C350EC">
        <w:rPr>
          <w:color w:val="000000" w:themeColor="text1"/>
          <w:sz w:val="24"/>
          <w:lang w:val="el-GR"/>
        </w:rPr>
        <w:t>).</w:t>
      </w:r>
    </w:p>
    <w:p w14:paraId="6A8CFA92" w14:textId="39009C3F" w:rsidR="00C003CB" w:rsidRPr="00C350EC" w:rsidRDefault="00C003CB" w:rsidP="00E26650">
      <w:pPr>
        <w:pStyle w:val="FootnoteText"/>
        <w:ind w:left="1134" w:hanging="567"/>
        <w:rPr>
          <w:sz w:val="24"/>
          <w:vertAlign w:val="superscript"/>
          <w:lang w:val="el-GR"/>
        </w:rPr>
      </w:pPr>
      <w:r w:rsidRPr="00C350EC">
        <w:rPr>
          <w:color w:val="000000" w:themeColor="text1"/>
          <w:sz w:val="24"/>
          <w:lang w:val="el-GR"/>
        </w:rPr>
        <w:t>–</w:t>
      </w:r>
      <w:r w:rsidRPr="00C350EC">
        <w:rPr>
          <w:color w:val="000000" w:themeColor="text1"/>
          <w:sz w:val="24"/>
          <w:lang w:val="el-GR"/>
        </w:rPr>
        <w:tab/>
      </w:r>
      <w:r w:rsidRPr="00C350EC">
        <w:rPr>
          <w:sz w:val="24"/>
          <w:lang w:val="el-GR"/>
        </w:rPr>
        <w:t xml:space="preserve">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DP910521, σύμφωνα με τον κανονισμό (ΕΚ) αριθ. 1829/2003 του Ευρωπαϊκού Κοινοβουλίου και του Συμβουλίου (ΕΕ C, C/2025/2246, 29.4.2025, ELI: </w:t>
      </w:r>
      <w:hyperlink r:id="rId9" w:tooltip="Πρόσβαση στο εν λόγω κείμενο μέσω του ELI URI." w:history="1">
        <w:r w:rsidRPr="00C350EC">
          <w:rPr>
            <w:rStyle w:val="Hyperlink"/>
            <w:sz w:val="24"/>
            <w:lang w:val="el-GR"/>
          </w:rPr>
          <w:t>http://data.europa.eu/eli/C/2025/2246/oj</w:t>
        </w:r>
      </w:hyperlink>
      <w:r w:rsidRPr="00C350EC">
        <w:rPr>
          <w:sz w:val="24"/>
          <w:lang w:val="el-GR"/>
        </w:rPr>
        <w:t>).</w:t>
      </w:r>
    </w:p>
    <w:p w14:paraId="3D75A3A8" w14:textId="6776E9C3" w:rsidR="00C003CB" w:rsidRPr="00C350EC" w:rsidRDefault="00C003CB" w:rsidP="00E26650">
      <w:pPr>
        <w:pStyle w:val="FootnoteText"/>
        <w:ind w:left="1134" w:hanging="567"/>
        <w:rPr>
          <w:sz w:val="24"/>
          <w:vertAlign w:val="superscript"/>
          <w:lang w:val="el-GR"/>
        </w:rPr>
      </w:pPr>
      <w:r w:rsidRPr="00C350EC">
        <w:rPr>
          <w:sz w:val="24"/>
          <w:lang w:val="el-GR"/>
        </w:rPr>
        <w:t>–</w:t>
      </w:r>
      <w:r w:rsidRPr="00C350EC">
        <w:rPr>
          <w:sz w:val="24"/>
          <w:lang w:val="el-GR"/>
        </w:rPr>
        <w:tab/>
        <w:t xml:space="preserve">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95275, σύμφωνα με τον κανονισμό (ΕΚ) αριθ. 1829/2003 του Ευρωπαϊκού Κοινοβουλίου και του Συμβουλίου (ΕΕ C, C/2025/2247, 29.4.2025, ELI: </w:t>
      </w:r>
      <w:hyperlink r:id="rId10" w:tooltip="Πρόσβαση στο εν λόγω κείμενο μέσω του ELI URI." w:history="1">
        <w:r w:rsidRPr="00C350EC">
          <w:rPr>
            <w:rStyle w:val="Hyperlink"/>
            <w:sz w:val="24"/>
            <w:lang w:val="el-GR"/>
          </w:rPr>
          <w:t>http://data.europa.eu/eli/C/2025/2247/oj</w:t>
        </w:r>
      </w:hyperlink>
      <w:r w:rsidRPr="00C350EC">
        <w:rPr>
          <w:sz w:val="24"/>
          <w:lang w:val="el-GR"/>
        </w:rPr>
        <w:t>).</w:t>
      </w:r>
    </w:p>
    <w:p w14:paraId="65143E18" w14:textId="57F2C59D" w:rsidR="00C003CB" w:rsidRPr="00C350EC" w:rsidRDefault="00C003CB" w:rsidP="00E26650">
      <w:pPr>
        <w:pStyle w:val="FootnoteText"/>
        <w:ind w:left="1134" w:hanging="567"/>
        <w:rPr>
          <w:sz w:val="24"/>
          <w:vertAlign w:val="superscript"/>
          <w:lang w:val="el-GR"/>
        </w:rPr>
      </w:pPr>
      <w:r w:rsidRPr="00C350EC">
        <w:rPr>
          <w:sz w:val="24"/>
          <w:lang w:val="el-GR"/>
        </w:rPr>
        <w:t>–</w:t>
      </w:r>
      <w:r w:rsidRPr="00C350EC">
        <w:rPr>
          <w:sz w:val="24"/>
          <w:lang w:val="el-GR"/>
        </w:rPr>
        <w:tab/>
        <w:t>Ψήφισμα του Ευρωπαϊκού Κοινοβουλίου της 8ης Μαΐου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της σειράς MON 87705 × MON 87708 × MON 89788, σύμφωνα με τον κανονισμό (ΕΚ) αριθ. 1829/2003 του Ευρωπαϊκού Κοινοβουλίου και του Συμβουλίου (</w:t>
      </w:r>
      <w:r w:rsidR="0022329D">
        <w:rPr>
          <w:sz w:val="24"/>
          <w:lang w:val="el-GR"/>
        </w:rPr>
        <w:t xml:space="preserve">Κείμενα που εγκρίθηκαν, </w:t>
      </w:r>
      <w:r w:rsidRPr="00C350EC">
        <w:rPr>
          <w:sz w:val="24"/>
          <w:lang w:val="el-GR"/>
        </w:rPr>
        <w:t>P10_TA(2025)0106).</w:t>
      </w:r>
    </w:p>
    <w:p w14:paraId="549F054B" w14:textId="1F4707B7" w:rsidR="00C003CB" w:rsidRPr="00C350EC" w:rsidRDefault="00C003CB" w:rsidP="00E26650">
      <w:pPr>
        <w:pStyle w:val="FootnoteText"/>
        <w:ind w:left="1134" w:hanging="567"/>
        <w:rPr>
          <w:sz w:val="24"/>
          <w:vertAlign w:val="superscript"/>
          <w:lang w:val="el-GR"/>
        </w:rPr>
      </w:pPr>
      <w:r w:rsidRPr="00C350EC">
        <w:rPr>
          <w:sz w:val="24"/>
          <w:lang w:val="el-GR"/>
        </w:rPr>
        <w:t>–</w:t>
      </w:r>
      <w:r w:rsidRPr="00C350EC">
        <w:rPr>
          <w:sz w:val="24"/>
          <w:lang w:val="el-GR"/>
        </w:rPr>
        <w:tab/>
        <w:t xml:space="preserve">Ψήφισμα του Ευρωπαϊκού Κοινοβουλίου της 8ης Οκτωβρίου 2025 σχετικά με την εκτελεστική απόφαση (ΕΕ) 2025/1898 της Επιτροπής της 22ας Σεπτεμβρίου 2025 για την έγκριση της διάθεσης στην αγορά προϊόντων που περιέχουν, αποτελούνται ή παράγονται από γενετικώς τροποποιημένο αραβόσιτο DP51291 σύμφωνα με τον κανονισμό (ΕΚ) αριθ. 1829/2003 του Ευρωπαϊκού Κοινοβουλίου και του Συμβουλίου </w:t>
      </w:r>
      <w:r w:rsidR="0022329D">
        <w:rPr>
          <w:sz w:val="24"/>
          <w:lang w:val="el-GR"/>
        </w:rPr>
        <w:t xml:space="preserve">(Κείμενα που εγκρίθηκαν, </w:t>
      </w:r>
      <w:r w:rsidRPr="00C350EC">
        <w:rPr>
          <w:sz w:val="24"/>
          <w:lang w:val="el-GR"/>
        </w:rPr>
        <w:t>P10_TA(2025)0222</w:t>
      </w:r>
      <w:r w:rsidR="0022329D">
        <w:rPr>
          <w:sz w:val="24"/>
          <w:lang w:val="el-GR"/>
        </w:rPr>
        <w:t>)</w:t>
      </w:r>
      <w:r w:rsidRPr="00C350EC">
        <w:rPr>
          <w:sz w:val="24"/>
          <w:lang w:val="el-GR"/>
        </w:rPr>
        <w:t>.</w:t>
      </w:r>
    </w:p>
    <w:p w14:paraId="739B01A2" w14:textId="02FFC064" w:rsidR="00C003CB" w:rsidRPr="00C350EC" w:rsidRDefault="00C003CB" w:rsidP="00E26650">
      <w:pPr>
        <w:pStyle w:val="FootnoteText"/>
        <w:ind w:left="1134" w:hanging="567"/>
        <w:rPr>
          <w:sz w:val="24"/>
          <w:vertAlign w:val="superscript"/>
          <w:lang w:val="el-GR"/>
        </w:rPr>
      </w:pPr>
      <w:r w:rsidRPr="00C350EC">
        <w:rPr>
          <w:sz w:val="24"/>
          <w:lang w:val="el-GR"/>
        </w:rPr>
        <w:t>–</w:t>
      </w:r>
      <w:r w:rsidRPr="00C350EC">
        <w:rPr>
          <w:sz w:val="24"/>
          <w:lang w:val="el-GR"/>
        </w:rPr>
        <w:tab/>
        <w:t>Ψήφισμα του Ευρωπαϊκού Κοινοβουλίου της 25ης Νοεμβρίου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DAS1131, σύμφωνα με τον κανονισμό (ΕΚ) αριθ. 1829/2003 του Ευρωπαϊκού Κοινοβουλίου και του Συμβουλίου (</w:t>
      </w:r>
      <w:r w:rsidR="0022329D">
        <w:rPr>
          <w:sz w:val="24"/>
          <w:lang w:val="el-GR"/>
        </w:rPr>
        <w:t xml:space="preserve">Κείμενα που εγκρίθηκαν, </w:t>
      </w:r>
      <w:r w:rsidRPr="00C350EC">
        <w:rPr>
          <w:sz w:val="24"/>
          <w:lang w:val="el-GR"/>
        </w:rPr>
        <w:t>P10_TA(2025)0288).</w:t>
      </w:r>
    </w:p>
    <w:p w14:paraId="1C9A9991" w14:textId="288465B1" w:rsidR="00C003CB" w:rsidRPr="00C350EC" w:rsidRDefault="00C003CB" w:rsidP="00E26650">
      <w:pPr>
        <w:pStyle w:val="FootnoteText"/>
        <w:ind w:left="1134" w:hanging="567"/>
        <w:rPr>
          <w:sz w:val="24"/>
          <w:vertAlign w:val="superscript"/>
          <w:lang w:val="el-GR"/>
        </w:rPr>
      </w:pPr>
      <w:r w:rsidRPr="00C350EC">
        <w:rPr>
          <w:sz w:val="24"/>
          <w:lang w:val="el-GR"/>
        </w:rPr>
        <w:t>–</w:t>
      </w:r>
      <w:r w:rsidRPr="00C350EC">
        <w:rPr>
          <w:sz w:val="24"/>
          <w:lang w:val="el-GR"/>
        </w:rPr>
        <w:tab/>
        <w:t>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βαμβάκι MON 88913 (MON-88913-8), σύμφωνα με τον κανονισμό (ΕΚ) αριθ. 1829/2003 του Ευρωπαϊκού Κοινοβουλίου και του Συμβουλίου (</w:t>
      </w:r>
      <w:r w:rsidR="0022329D">
        <w:rPr>
          <w:sz w:val="24"/>
          <w:lang w:val="el-GR"/>
        </w:rPr>
        <w:t xml:space="preserve">Κείμενα που εγκρίθηκαν, </w:t>
      </w:r>
      <w:r w:rsidRPr="00C350EC">
        <w:rPr>
          <w:sz w:val="24"/>
          <w:lang w:val="el-GR"/>
        </w:rPr>
        <w:t>P10_TA(2025)0289).</w:t>
      </w:r>
    </w:p>
    <w:p w14:paraId="720210F0" w14:textId="7A3DF4F7" w:rsidR="00C003CB" w:rsidRPr="00C350EC" w:rsidRDefault="00C003CB" w:rsidP="00E26650">
      <w:pPr>
        <w:pStyle w:val="FootnoteText"/>
        <w:ind w:left="1134" w:hanging="567"/>
        <w:rPr>
          <w:sz w:val="24"/>
          <w:vertAlign w:val="superscript"/>
          <w:lang w:val="el-GR"/>
        </w:rPr>
      </w:pPr>
      <w:r w:rsidRPr="00C350EC">
        <w:rPr>
          <w:sz w:val="24"/>
          <w:lang w:val="el-GR"/>
        </w:rPr>
        <w:t>–</w:t>
      </w:r>
      <w:r w:rsidRPr="00C350EC">
        <w:rPr>
          <w:sz w:val="24"/>
          <w:lang w:val="el-GR"/>
        </w:rPr>
        <w:tab/>
        <w:t>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τροποποιημένη ελαιοκράμβη MON 88302, σύμφωνα με τον κανονισμό (ΕΚ) αριθ. 1829/2003 του Ευρωπαϊκού Κοινοβουλίου και του Συμβουλίου (</w:t>
      </w:r>
      <w:r w:rsidR="0022329D">
        <w:rPr>
          <w:sz w:val="24"/>
          <w:lang w:val="el-GR"/>
        </w:rPr>
        <w:t xml:space="preserve">Κείμενα που εγκρίθηκαν, </w:t>
      </w:r>
      <w:r w:rsidRPr="00C350EC">
        <w:rPr>
          <w:sz w:val="24"/>
          <w:lang w:val="el-GR"/>
        </w:rPr>
        <w:t>P10_TA(2025)0290).</w:t>
      </w:r>
    </w:p>
    <w:p w14:paraId="5450A90B" w14:textId="35EBAB61" w:rsidR="00C003CB" w:rsidRPr="00C350EC" w:rsidRDefault="00C003CB" w:rsidP="00E26650">
      <w:pPr>
        <w:pStyle w:val="FootnoteText"/>
        <w:ind w:left="1134" w:hanging="567"/>
        <w:rPr>
          <w:sz w:val="24"/>
          <w:vertAlign w:val="superscript"/>
          <w:lang w:val="el-GR"/>
        </w:rPr>
      </w:pPr>
      <w:r w:rsidRPr="00C350EC">
        <w:rPr>
          <w:sz w:val="24"/>
          <w:lang w:val="el-GR"/>
        </w:rPr>
        <w:t>–</w:t>
      </w:r>
      <w:r w:rsidRPr="00C350EC">
        <w:rPr>
          <w:sz w:val="24"/>
          <w:lang w:val="el-GR"/>
        </w:rPr>
        <w:tab/>
        <w:t>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τροποποιημένη σόγια MON 87708, σύμφωνα με τον κανονισμό (ΕΚ) αριθ. 1829/2003 του Ευρωπαϊκού Κοινοβουλίου και του Συμβουλίου (</w:t>
      </w:r>
      <w:r w:rsidR="0022329D">
        <w:rPr>
          <w:sz w:val="24"/>
          <w:lang w:val="el-GR"/>
        </w:rPr>
        <w:t xml:space="preserve">Κείμενα που εγκρίθηκαν, </w:t>
      </w:r>
      <w:r w:rsidRPr="00C350EC">
        <w:rPr>
          <w:sz w:val="24"/>
          <w:lang w:val="el-GR"/>
        </w:rPr>
        <w:t>P10_TA(2025)0291).</w:t>
      </w:r>
    </w:p>
    <w:p w14:paraId="3571ED87" w14:textId="6BB95086" w:rsidR="00C003CB" w:rsidRPr="00C350EC" w:rsidRDefault="00C003CB" w:rsidP="00E26650">
      <w:pPr>
        <w:pStyle w:val="FootnoteText"/>
        <w:ind w:left="1134" w:hanging="567"/>
        <w:rPr>
          <w:sz w:val="24"/>
          <w:lang w:val="el-GR"/>
        </w:rPr>
      </w:pPr>
      <w:r w:rsidRPr="00C350EC">
        <w:rPr>
          <w:sz w:val="24"/>
          <w:lang w:val="el-GR"/>
        </w:rPr>
        <w:t>–</w:t>
      </w:r>
      <w:r w:rsidRPr="00C350EC">
        <w:rPr>
          <w:sz w:val="24"/>
          <w:lang w:val="el-GR"/>
        </w:rPr>
        <w:tab/>
        <w:t xml:space="preserve">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87427, σύμφωνα με τον κανονισμό </w:t>
      </w:r>
      <w:r w:rsidR="00A42221" w:rsidRPr="00C350EC">
        <w:rPr>
          <w:sz w:val="24"/>
          <w:lang w:val="el-GR"/>
        </w:rPr>
        <w:t xml:space="preserve">(ΕΚ) </w:t>
      </w:r>
      <w:r w:rsidRPr="00C350EC">
        <w:rPr>
          <w:sz w:val="24"/>
          <w:lang w:val="el-GR"/>
        </w:rPr>
        <w:t>αριθ. 1829/2003 του Ευρωπαϊκού Κοινοβουλίου και του Συμβουλίου (</w:t>
      </w:r>
      <w:r w:rsidR="0022329D">
        <w:rPr>
          <w:sz w:val="24"/>
          <w:lang w:val="el-GR"/>
        </w:rPr>
        <w:t xml:space="preserve">Κείμενα που εγκρίθηκαν, </w:t>
      </w:r>
      <w:r w:rsidRPr="00C350EC">
        <w:rPr>
          <w:sz w:val="24"/>
          <w:lang w:val="el-GR"/>
        </w:rPr>
        <w:t>P10_TA(2025)0292).</w:t>
      </w:r>
    </w:p>
  </w:footnote>
  <w:footnote w:id="5">
    <w:p w14:paraId="6EB22869" w14:textId="4EB8938A" w:rsidR="00C003CB" w:rsidRPr="00C350EC" w:rsidRDefault="00C003CB" w:rsidP="00C350EC">
      <w:pPr>
        <w:pStyle w:val="FootnoteText"/>
        <w:ind w:left="567" w:hanging="567"/>
        <w:rPr>
          <w:sz w:val="24"/>
          <w:lang w:val="el-GR"/>
        </w:rPr>
      </w:pPr>
      <w:r w:rsidRPr="00C350EC">
        <w:rPr>
          <w:rStyle w:val="FootnoteReference"/>
          <w:sz w:val="24"/>
          <w:lang w:val="el-GR"/>
        </w:rPr>
        <w:footnoteRef/>
      </w:r>
      <w:r w:rsidR="00C350EC" w:rsidRPr="00C350EC">
        <w:rPr>
          <w:sz w:val="24"/>
          <w:shd w:val="clear" w:color="auto" w:fill="FFFFFF"/>
          <w:lang w:val="el-GR"/>
        </w:rPr>
        <w:t xml:space="preserve"> </w:t>
      </w:r>
      <w:r w:rsidR="00C350EC" w:rsidRPr="00C350EC">
        <w:rPr>
          <w:sz w:val="24"/>
          <w:shd w:val="clear" w:color="auto" w:fill="FFFFFF"/>
          <w:lang w:val="el-GR"/>
        </w:rPr>
        <w:tab/>
      </w:r>
      <w:r w:rsidRPr="00C350EC">
        <w:rPr>
          <w:sz w:val="24"/>
          <w:shd w:val="clear" w:color="auto" w:fill="FFFFFF"/>
          <w:lang w:val="el-GR"/>
        </w:rPr>
        <w:t xml:space="preserve">Βλ. για παράδειγμα, </w:t>
      </w:r>
      <w:proofErr w:type="spellStart"/>
      <w:r w:rsidRPr="00C350EC">
        <w:rPr>
          <w:sz w:val="24"/>
          <w:shd w:val="clear" w:color="auto" w:fill="FFFFFF"/>
          <w:lang w:val="el-GR"/>
        </w:rPr>
        <w:t>Bonny</w:t>
      </w:r>
      <w:proofErr w:type="spellEnd"/>
      <w:r w:rsidRPr="00C350EC">
        <w:rPr>
          <w:sz w:val="24"/>
          <w:shd w:val="clear" w:color="auto" w:fill="FFFFFF"/>
          <w:lang w:val="el-GR"/>
        </w:rPr>
        <w:t>, S., «</w:t>
      </w:r>
      <w:proofErr w:type="spellStart"/>
      <w:r w:rsidRPr="00C350EC">
        <w:rPr>
          <w:sz w:val="24"/>
          <w:shd w:val="clear" w:color="auto" w:fill="FFFFFF"/>
          <w:lang w:val="el-GR"/>
        </w:rPr>
        <w:t>Genetically</w:t>
      </w:r>
      <w:proofErr w:type="spellEnd"/>
      <w:r w:rsidRPr="00C350EC">
        <w:rPr>
          <w:sz w:val="24"/>
          <w:shd w:val="clear" w:color="auto" w:fill="FFFFFF"/>
          <w:lang w:val="el-GR"/>
        </w:rPr>
        <w:t xml:space="preserve"> </w:t>
      </w:r>
      <w:proofErr w:type="spellStart"/>
      <w:r w:rsidRPr="00C350EC">
        <w:rPr>
          <w:sz w:val="24"/>
          <w:shd w:val="clear" w:color="auto" w:fill="FFFFFF"/>
          <w:lang w:val="el-GR"/>
        </w:rPr>
        <w:t>Modified</w:t>
      </w:r>
      <w:proofErr w:type="spellEnd"/>
      <w:r w:rsidRPr="00C350EC">
        <w:rPr>
          <w:sz w:val="24"/>
          <w:shd w:val="clear" w:color="auto" w:fill="FFFFFF"/>
          <w:lang w:val="el-GR"/>
        </w:rPr>
        <w:t xml:space="preserve"> </w:t>
      </w:r>
      <w:proofErr w:type="spellStart"/>
      <w:r w:rsidRPr="00C350EC">
        <w:rPr>
          <w:sz w:val="24"/>
          <w:shd w:val="clear" w:color="auto" w:fill="FFFFFF"/>
          <w:lang w:val="el-GR"/>
        </w:rPr>
        <w:t>Herbicide-Tolerant</w:t>
      </w:r>
      <w:proofErr w:type="spellEnd"/>
      <w:r w:rsidRPr="00C350EC">
        <w:rPr>
          <w:sz w:val="24"/>
          <w:shd w:val="clear" w:color="auto" w:fill="FFFFFF"/>
          <w:lang w:val="el-GR"/>
        </w:rPr>
        <w:t xml:space="preserve"> </w:t>
      </w:r>
      <w:proofErr w:type="spellStart"/>
      <w:r w:rsidRPr="00C350EC">
        <w:rPr>
          <w:sz w:val="24"/>
          <w:shd w:val="clear" w:color="auto" w:fill="FFFFFF"/>
          <w:lang w:val="el-GR"/>
        </w:rPr>
        <w:t>Crops</w:t>
      </w:r>
      <w:proofErr w:type="spellEnd"/>
      <w:r w:rsidRPr="00C350EC">
        <w:rPr>
          <w:sz w:val="24"/>
          <w:shd w:val="clear" w:color="auto" w:fill="FFFFFF"/>
          <w:lang w:val="el-GR"/>
        </w:rPr>
        <w:t xml:space="preserve">, </w:t>
      </w:r>
      <w:proofErr w:type="spellStart"/>
      <w:r w:rsidRPr="00C350EC">
        <w:rPr>
          <w:sz w:val="24"/>
          <w:shd w:val="clear" w:color="auto" w:fill="FFFFFF"/>
          <w:lang w:val="el-GR"/>
        </w:rPr>
        <w:t>Weeds</w:t>
      </w:r>
      <w:proofErr w:type="spellEnd"/>
      <w:r w:rsidRPr="00C350EC">
        <w:rPr>
          <w:sz w:val="24"/>
          <w:shd w:val="clear" w:color="auto" w:fill="FFFFFF"/>
          <w:lang w:val="el-GR"/>
        </w:rPr>
        <w:t xml:space="preserve">, and </w:t>
      </w:r>
      <w:proofErr w:type="spellStart"/>
      <w:r w:rsidRPr="00C350EC">
        <w:rPr>
          <w:sz w:val="24"/>
          <w:shd w:val="clear" w:color="auto" w:fill="FFFFFF"/>
          <w:lang w:val="el-GR"/>
        </w:rPr>
        <w:t>Herbicides</w:t>
      </w:r>
      <w:proofErr w:type="spellEnd"/>
      <w:r w:rsidRPr="00C350EC">
        <w:rPr>
          <w:sz w:val="24"/>
          <w:shd w:val="clear" w:color="auto" w:fill="FFFFFF"/>
          <w:lang w:val="el-GR"/>
        </w:rPr>
        <w:t xml:space="preserve">: </w:t>
      </w:r>
      <w:proofErr w:type="spellStart"/>
      <w:r w:rsidRPr="00C350EC">
        <w:rPr>
          <w:sz w:val="24"/>
          <w:shd w:val="clear" w:color="auto" w:fill="FFFFFF"/>
          <w:lang w:val="el-GR"/>
        </w:rPr>
        <w:t>Overview</w:t>
      </w:r>
      <w:proofErr w:type="spellEnd"/>
      <w:r w:rsidRPr="00C350EC">
        <w:rPr>
          <w:sz w:val="24"/>
          <w:shd w:val="clear" w:color="auto" w:fill="FFFFFF"/>
          <w:lang w:val="el-GR"/>
        </w:rPr>
        <w:t xml:space="preserve"> and </w:t>
      </w:r>
      <w:proofErr w:type="spellStart"/>
      <w:r w:rsidRPr="00C350EC">
        <w:rPr>
          <w:sz w:val="24"/>
          <w:shd w:val="clear" w:color="auto" w:fill="FFFFFF"/>
          <w:lang w:val="el-GR"/>
        </w:rPr>
        <w:t>Impact</w:t>
      </w:r>
      <w:proofErr w:type="spellEnd"/>
      <w:r w:rsidRPr="00C350EC">
        <w:rPr>
          <w:sz w:val="24"/>
          <w:shd w:val="clear" w:color="auto" w:fill="FFFFFF"/>
          <w:lang w:val="el-GR"/>
        </w:rPr>
        <w:t xml:space="preserve">» (Γενετικώς τροποποιημένες καλλιέργειες ανθεκτικές στα ζιζανιοκτόνα, ζιζάνια και ζιζανιοκτόνα: επισκόπηση και αντίκτυπος), </w:t>
      </w:r>
      <w:proofErr w:type="spellStart"/>
      <w:r w:rsidRPr="00C350EC">
        <w:rPr>
          <w:sz w:val="24"/>
          <w:shd w:val="clear" w:color="auto" w:fill="FFFFFF"/>
          <w:lang w:val="el-GR"/>
        </w:rPr>
        <w:t>Environmental</w:t>
      </w:r>
      <w:proofErr w:type="spellEnd"/>
      <w:r w:rsidRPr="00C350EC">
        <w:rPr>
          <w:sz w:val="24"/>
          <w:shd w:val="clear" w:color="auto" w:fill="FFFFFF"/>
          <w:lang w:val="el-GR"/>
        </w:rPr>
        <w:t xml:space="preserve"> </w:t>
      </w:r>
      <w:proofErr w:type="spellStart"/>
      <w:r w:rsidRPr="00C350EC">
        <w:rPr>
          <w:sz w:val="24"/>
          <w:shd w:val="clear" w:color="auto" w:fill="FFFFFF"/>
          <w:lang w:val="el-GR"/>
        </w:rPr>
        <w:t>Management</w:t>
      </w:r>
      <w:proofErr w:type="spellEnd"/>
      <w:r w:rsidRPr="00C350EC">
        <w:rPr>
          <w:sz w:val="24"/>
          <w:shd w:val="clear" w:color="auto" w:fill="FFFFFF"/>
          <w:lang w:val="el-GR"/>
        </w:rPr>
        <w:t>, Ιανουάριος 2016· 57(1), σ. 31-48</w:t>
      </w:r>
      <w:r w:rsidRPr="00C350EC">
        <w:rPr>
          <w:sz w:val="24"/>
          <w:lang w:val="el-GR"/>
        </w:rPr>
        <w:t xml:space="preserve">, </w:t>
      </w:r>
      <w:r w:rsidR="00A42221">
        <w:fldChar w:fldCharType="begin"/>
      </w:r>
      <w:r w:rsidR="00A42221">
        <w:instrText>HYPERLINK</w:instrText>
      </w:r>
      <w:r w:rsidR="00A42221" w:rsidRPr="00A42221">
        <w:rPr>
          <w:lang w:val="el-GR"/>
        </w:rPr>
        <w:instrText xml:space="preserve"> "</w:instrText>
      </w:r>
      <w:r w:rsidR="00A42221">
        <w:instrText>https</w:instrText>
      </w:r>
      <w:r w:rsidR="00A42221" w:rsidRPr="00A42221">
        <w:rPr>
          <w:lang w:val="el-GR"/>
        </w:rPr>
        <w:instrText>://</w:instrText>
      </w:r>
      <w:r w:rsidR="00A42221">
        <w:instrText>doi</w:instrText>
      </w:r>
      <w:r w:rsidR="00A42221" w:rsidRPr="00A42221">
        <w:rPr>
          <w:lang w:val="el-GR"/>
        </w:rPr>
        <w:instrText>.</w:instrText>
      </w:r>
      <w:r w:rsidR="00A42221">
        <w:instrText>org</w:instrText>
      </w:r>
      <w:r w:rsidR="00A42221" w:rsidRPr="00A42221">
        <w:rPr>
          <w:lang w:val="el-GR"/>
        </w:rPr>
        <w:instrText>/10.1007/</w:instrText>
      </w:r>
      <w:r w:rsidR="00A42221">
        <w:instrText>s</w:instrText>
      </w:r>
      <w:r w:rsidR="00A42221" w:rsidRPr="00A42221">
        <w:rPr>
          <w:lang w:val="el-GR"/>
        </w:rPr>
        <w:instrText>00267-015-0589-7"</w:instrText>
      </w:r>
      <w:r w:rsidR="00A42221">
        <w:fldChar w:fldCharType="separate"/>
      </w:r>
      <w:r w:rsidRPr="00C350EC">
        <w:rPr>
          <w:rStyle w:val="Hyperlink"/>
          <w:sz w:val="24"/>
          <w:shd w:val="clear" w:color="auto" w:fill="FFFFFF"/>
          <w:lang w:val="el-GR"/>
        </w:rPr>
        <w:t>https://www.ncbi.nlm.nih.gov/pubmed/26296738</w:t>
      </w:r>
      <w:r w:rsidR="00A42221">
        <w:rPr>
          <w:rStyle w:val="Hyperlink"/>
          <w:sz w:val="24"/>
          <w:shd w:val="clear" w:color="auto" w:fill="FFFFFF"/>
          <w:lang w:val="el-GR"/>
        </w:rPr>
        <w:fldChar w:fldCharType="end"/>
      </w:r>
      <w:r w:rsidRPr="00C350EC">
        <w:rPr>
          <w:sz w:val="24"/>
          <w:lang w:val="el-GR"/>
        </w:rPr>
        <w:t xml:space="preserve"> </w:t>
      </w:r>
      <w:r w:rsidRPr="00C350EC">
        <w:rPr>
          <w:sz w:val="24"/>
          <w:shd w:val="clear" w:color="auto" w:fill="FFFFFF"/>
          <w:lang w:val="el-GR"/>
        </w:rPr>
        <w:t xml:space="preserve">και </w:t>
      </w:r>
      <w:proofErr w:type="spellStart"/>
      <w:r w:rsidRPr="00C350EC">
        <w:rPr>
          <w:sz w:val="24"/>
          <w:shd w:val="clear" w:color="auto" w:fill="FFFFFF"/>
          <w:lang w:val="el-GR"/>
        </w:rPr>
        <w:t>Benbrook</w:t>
      </w:r>
      <w:proofErr w:type="spellEnd"/>
      <w:r w:rsidRPr="00C350EC">
        <w:rPr>
          <w:sz w:val="24"/>
          <w:shd w:val="clear" w:color="auto" w:fill="FFFFFF"/>
          <w:lang w:val="el-GR"/>
        </w:rPr>
        <w:t>, C.M., «</w:t>
      </w:r>
      <w:proofErr w:type="spellStart"/>
      <w:r w:rsidRPr="00C350EC">
        <w:rPr>
          <w:sz w:val="24"/>
          <w:shd w:val="clear" w:color="auto" w:fill="FFFFFF"/>
          <w:lang w:val="el-GR"/>
        </w:rPr>
        <w:t>Impacts</w:t>
      </w:r>
      <w:proofErr w:type="spellEnd"/>
      <w:r w:rsidRPr="00C350EC">
        <w:rPr>
          <w:sz w:val="24"/>
          <w:shd w:val="clear" w:color="auto" w:fill="FFFFFF"/>
          <w:lang w:val="el-GR"/>
        </w:rPr>
        <w:t xml:space="preserve"> of </w:t>
      </w:r>
      <w:proofErr w:type="spellStart"/>
      <w:r w:rsidRPr="00C350EC">
        <w:rPr>
          <w:sz w:val="24"/>
          <w:shd w:val="clear" w:color="auto" w:fill="FFFFFF"/>
          <w:lang w:val="el-GR"/>
        </w:rPr>
        <w:t>genetically</w:t>
      </w:r>
      <w:proofErr w:type="spellEnd"/>
      <w:r w:rsidRPr="00C350EC">
        <w:rPr>
          <w:sz w:val="24"/>
          <w:shd w:val="clear" w:color="auto" w:fill="FFFFFF"/>
          <w:lang w:val="el-GR"/>
        </w:rPr>
        <w:t xml:space="preserve"> </w:t>
      </w:r>
      <w:proofErr w:type="spellStart"/>
      <w:r w:rsidRPr="00C350EC">
        <w:rPr>
          <w:sz w:val="24"/>
          <w:shd w:val="clear" w:color="auto" w:fill="FFFFFF"/>
          <w:lang w:val="el-GR"/>
        </w:rPr>
        <w:t>engineered</w:t>
      </w:r>
      <w:proofErr w:type="spellEnd"/>
      <w:r w:rsidRPr="00C350EC">
        <w:rPr>
          <w:sz w:val="24"/>
          <w:shd w:val="clear" w:color="auto" w:fill="FFFFFF"/>
          <w:lang w:val="el-GR"/>
        </w:rPr>
        <w:t xml:space="preserve"> </w:t>
      </w:r>
      <w:proofErr w:type="spellStart"/>
      <w:r w:rsidRPr="00C350EC">
        <w:rPr>
          <w:sz w:val="24"/>
          <w:shd w:val="clear" w:color="auto" w:fill="FFFFFF"/>
          <w:lang w:val="el-GR"/>
        </w:rPr>
        <w:t>crops</w:t>
      </w:r>
      <w:proofErr w:type="spellEnd"/>
      <w:r w:rsidRPr="00C350EC">
        <w:rPr>
          <w:sz w:val="24"/>
          <w:shd w:val="clear" w:color="auto" w:fill="FFFFFF"/>
          <w:lang w:val="el-GR"/>
        </w:rPr>
        <w:t xml:space="preserve"> on </w:t>
      </w:r>
      <w:proofErr w:type="spellStart"/>
      <w:r w:rsidRPr="00C350EC">
        <w:rPr>
          <w:sz w:val="24"/>
          <w:shd w:val="clear" w:color="auto" w:fill="FFFFFF"/>
          <w:lang w:val="el-GR"/>
        </w:rPr>
        <w:t>pesticide</w:t>
      </w:r>
      <w:proofErr w:type="spellEnd"/>
      <w:r w:rsidRPr="00C350EC">
        <w:rPr>
          <w:sz w:val="24"/>
          <w:shd w:val="clear" w:color="auto" w:fill="FFFFFF"/>
          <w:lang w:val="el-GR"/>
        </w:rPr>
        <w:t xml:space="preserve"> </w:t>
      </w:r>
      <w:proofErr w:type="spellStart"/>
      <w:r w:rsidRPr="00C350EC">
        <w:rPr>
          <w:sz w:val="24"/>
          <w:shd w:val="clear" w:color="auto" w:fill="FFFFFF"/>
          <w:lang w:val="el-GR"/>
        </w:rPr>
        <w:t>use</w:t>
      </w:r>
      <w:proofErr w:type="spellEnd"/>
      <w:r w:rsidRPr="00C350EC">
        <w:rPr>
          <w:sz w:val="24"/>
          <w:shd w:val="clear" w:color="auto" w:fill="FFFFFF"/>
          <w:lang w:val="el-GR"/>
        </w:rPr>
        <w:t xml:space="preserve"> in the U.S. – the </w:t>
      </w:r>
      <w:proofErr w:type="spellStart"/>
      <w:r w:rsidRPr="00C350EC">
        <w:rPr>
          <w:sz w:val="24"/>
          <w:shd w:val="clear" w:color="auto" w:fill="FFFFFF"/>
          <w:lang w:val="el-GR"/>
        </w:rPr>
        <w:t>first</w:t>
      </w:r>
      <w:proofErr w:type="spellEnd"/>
      <w:r w:rsidRPr="00C350EC">
        <w:rPr>
          <w:sz w:val="24"/>
          <w:shd w:val="clear" w:color="auto" w:fill="FFFFFF"/>
          <w:lang w:val="el-GR"/>
        </w:rPr>
        <w:t xml:space="preserve"> </w:t>
      </w:r>
      <w:proofErr w:type="spellStart"/>
      <w:r w:rsidRPr="00C350EC">
        <w:rPr>
          <w:sz w:val="24"/>
          <w:shd w:val="clear" w:color="auto" w:fill="FFFFFF"/>
          <w:lang w:val="el-GR"/>
        </w:rPr>
        <w:t>sixteen</w:t>
      </w:r>
      <w:proofErr w:type="spellEnd"/>
      <w:r w:rsidRPr="00C350EC">
        <w:rPr>
          <w:sz w:val="24"/>
          <w:shd w:val="clear" w:color="auto" w:fill="FFFFFF"/>
          <w:lang w:val="el-GR"/>
        </w:rPr>
        <w:t xml:space="preserve"> </w:t>
      </w:r>
      <w:proofErr w:type="spellStart"/>
      <w:r w:rsidRPr="00C350EC">
        <w:rPr>
          <w:sz w:val="24"/>
          <w:shd w:val="clear" w:color="auto" w:fill="FFFFFF"/>
          <w:lang w:val="el-GR"/>
        </w:rPr>
        <w:t>years</w:t>
      </w:r>
      <w:proofErr w:type="spellEnd"/>
      <w:r w:rsidRPr="00C350EC">
        <w:rPr>
          <w:sz w:val="24"/>
          <w:shd w:val="clear" w:color="auto" w:fill="FFFFFF"/>
          <w:lang w:val="el-GR"/>
        </w:rPr>
        <w:t xml:space="preserve">» (Επιπτώσεις των γενετικώς τροποποιημένων καλλιεργειών στη χρήση γεωργικών φαρμάκων στις ΗΠΑ – τα πρώτα 16 χρόνια), </w:t>
      </w:r>
      <w:proofErr w:type="spellStart"/>
      <w:r w:rsidRPr="00C350EC">
        <w:rPr>
          <w:sz w:val="24"/>
          <w:shd w:val="clear" w:color="auto" w:fill="FFFFFF"/>
          <w:lang w:val="el-GR"/>
        </w:rPr>
        <w:t>Environmental</w:t>
      </w:r>
      <w:proofErr w:type="spellEnd"/>
      <w:r w:rsidRPr="00C350EC">
        <w:rPr>
          <w:sz w:val="24"/>
          <w:shd w:val="clear" w:color="auto" w:fill="FFFFFF"/>
          <w:lang w:val="el-GR"/>
        </w:rPr>
        <w:t xml:space="preserve"> </w:t>
      </w:r>
      <w:proofErr w:type="spellStart"/>
      <w:r w:rsidRPr="00C350EC">
        <w:rPr>
          <w:sz w:val="24"/>
          <w:shd w:val="clear" w:color="auto" w:fill="FFFFFF"/>
          <w:lang w:val="el-GR"/>
        </w:rPr>
        <w:t>Sciences</w:t>
      </w:r>
      <w:proofErr w:type="spellEnd"/>
      <w:r w:rsidRPr="00C350EC">
        <w:rPr>
          <w:sz w:val="24"/>
          <w:shd w:val="clear" w:color="auto" w:fill="FFFFFF"/>
          <w:lang w:val="el-GR"/>
        </w:rPr>
        <w:t xml:space="preserve"> Europe· 28 Σεπτεμβρίου 2012, τόμος 24(1),</w:t>
      </w:r>
      <w:r w:rsidRPr="00C350EC">
        <w:rPr>
          <w:sz w:val="24"/>
          <w:lang w:val="el-GR"/>
        </w:rPr>
        <w:t xml:space="preserve"> </w:t>
      </w:r>
      <w:hyperlink r:id="rId11" w:history="1">
        <w:r w:rsidRPr="00C350EC">
          <w:rPr>
            <w:rStyle w:val="Hyperlink"/>
            <w:sz w:val="24"/>
            <w:lang w:val="el-GR"/>
          </w:rPr>
          <w:t>https://doi.org/10.1186/2190-4715-24-24</w:t>
        </w:r>
      </w:hyperlink>
    </w:p>
  </w:footnote>
  <w:footnote w:id="6">
    <w:p w14:paraId="43C53237" w14:textId="0A4FA8A8" w:rsidR="00C003CB" w:rsidRPr="00C350EC" w:rsidRDefault="00C003CB" w:rsidP="00C350EC">
      <w:pPr>
        <w:pStyle w:val="FootnoteText"/>
        <w:ind w:left="567" w:hanging="567"/>
        <w:rPr>
          <w:sz w:val="24"/>
          <w:lang w:val="el-GR"/>
        </w:rPr>
      </w:pPr>
      <w:r w:rsidRPr="00C350EC">
        <w:rPr>
          <w:rStyle w:val="FootnoteReference"/>
          <w:sz w:val="24"/>
          <w:lang w:val="el-GR"/>
        </w:rPr>
        <w:footnoteRef/>
      </w:r>
      <w:r w:rsidR="00C350EC" w:rsidRPr="00C350EC">
        <w:rPr>
          <w:sz w:val="24"/>
          <w:lang w:val="el-GR"/>
        </w:rPr>
        <w:t xml:space="preserve"> </w:t>
      </w:r>
      <w:r w:rsidR="00C350EC" w:rsidRPr="00C350EC">
        <w:rPr>
          <w:sz w:val="24"/>
          <w:lang w:val="el-GR"/>
        </w:rPr>
        <w:tab/>
      </w:r>
      <w:r w:rsidRPr="00C350EC">
        <w:rPr>
          <w:sz w:val="24"/>
          <w:lang w:val="el-GR"/>
        </w:rPr>
        <w:t xml:space="preserve">Βλ., για παράδειγμα: </w:t>
      </w:r>
      <w:r w:rsidR="00A42221">
        <w:fldChar w:fldCharType="begin"/>
      </w:r>
      <w:r w:rsidR="00A42221">
        <w:instrText>HYPERLINK</w:instrText>
      </w:r>
      <w:r w:rsidR="00A42221" w:rsidRPr="00A42221">
        <w:rPr>
          <w:lang w:val="el-GR"/>
        </w:rPr>
        <w:instrText xml:space="preserve"> "</w:instrText>
      </w:r>
      <w:r w:rsidR="00A42221">
        <w:instrText>https</w:instrText>
      </w:r>
      <w:r w:rsidR="00A42221" w:rsidRPr="00A42221">
        <w:rPr>
          <w:lang w:val="el-GR"/>
        </w:rPr>
        <w:instrText>://</w:instrText>
      </w:r>
      <w:r w:rsidR="00A42221">
        <w:instrText>doi</w:instrText>
      </w:r>
      <w:r w:rsidR="00A42221" w:rsidRPr="00A42221">
        <w:rPr>
          <w:lang w:val="el-GR"/>
        </w:rPr>
        <w:instrText>.</w:instrText>
      </w:r>
      <w:r w:rsidR="00A42221">
        <w:instrText>org</w:instrText>
      </w:r>
      <w:r w:rsidR="00A42221" w:rsidRPr="00A42221">
        <w:rPr>
          <w:lang w:val="el-GR"/>
        </w:rPr>
        <w:instrText>/10.1002/</w:instrText>
      </w:r>
      <w:r w:rsidR="00A42221">
        <w:instrText>ps</w:instrText>
      </w:r>
      <w:r w:rsidR="00A42221" w:rsidRPr="00A42221">
        <w:rPr>
          <w:lang w:val="el-GR"/>
        </w:rPr>
        <w:instrText>.8105"</w:instrText>
      </w:r>
      <w:r w:rsidR="00A42221">
        <w:fldChar w:fldCharType="separate"/>
      </w:r>
      <w:r w:rsidRPr="00C350EC">
        <w:rPr>
          <w:rStyle w:val="Hyperlink"/>
          <w:sz w:val="24"/>
          <w:lang w:val="el-GR"/>
        </w:rPr>
        <w:t>https://doi.org/10.1002/ps.8105</w:t>
      </w:r>
      <w:r w:rsidR="00A42221">
        <w:rPr>
          <w:rStyle w:val="Hyperlink"/>
          <w:sz w:val="24"/>
          <w:lang w:val="el-GR"/>
        </w:rPr>
        <w:fldChar w:fldCharType="end"/>
      </w:r>
      <w:r w:rsidRPr="00C350EC">
        <w:rPr>
          <w:sz w:val="24"/>
          <w:lang w:val="el-GR"/>
        </w:rPr>
        <w:t xml:space="preserve">, </w:t>
      </w:r>
      <w:hyperlink r:id="rId12" w:history="1">
        <w:r w:rsidRPr="00C350EC">
          <w:rPr>
            <w:rStyle w:val="Hyperlink"/>
            <w:sz w:val="24"/>
            <w:lang w:val="el-GR"/>
          </w:rPr>
          <w:t>https://doi.org/10.1016/j.geoforum.2009.03.009</w:t>
        </w:r>
      </w:hyperlink>
      <w:r w:rsidRPr="00C350EC">
        <w:rPr>
          <w:sz w:val="24"/>
          <w:lang w:val="el-GR"/>
        </w:rPr>
        <w:t>.</w:t>
      </w:r>
    </w:p>
  </w:footnote>
  <w:footnote w:id="7">
    <w:p w14:paraId="7F243B5F" w14:textId="5798AAAE" w:rsidR="00C003CB" w:rsidRPr="00C350EC" w:rsidRDefault="00C003CB" w:rsidP="00C350EC">
      <w:pPr>
        <w:pStyle w:val="FootnoteText"/>
        <w:ind w:left="567" w:hanging="567"/>
        <w:rPr>
          <w:sz w:val="24"/>
          <w:lang w:val="el-GR"/>
        </w:rPr>
      </w:pPr>
      <w:r w:rsidRPr="00C350EC">
        <w:rPr>
          <w:rStyle w:val="FootnoteReference"/>
          <w:sz w:val="24"/>
          <w:lang w:val="el-GR"/>
        </w:rPr>
        <w:footnoteRef/>
      </w:r>
      <w:r w:rsidR="00C350EC" w:rsidRPr="00C350EC">
        <w:rPr>
          <w:sz w:val="24"/>
          <w:lang w:val="el-GR"/>
        </w:rPr>
        <w:t xml:space="preserve"> </w:t>
      </w:r>
      <w:r w:rsidR="00C350EC" w:rsidRPr="00C350EC">
        <w:rPr>
          <w:sz w:val="24"/>
          <w:lang w:val="el-GR"/>
        </w:rPr>
        <w:tab/>
      </w:r>
      <w:r w:rsidRPr="00C350EC">
        <w:rPr>
          <w:sz w:val="24"/>
          <w:lang w:val="el-GR"/>
        </w:rPr>
        <w:t xml:space="preserve">Βλ., για παράδειγμα: </w:t>
      </w:r>
      <w:r w:rsidR="00A42221">
        <w:fldChar w:fldCharType="begin"/>
      </w:r>
      <w:r w:rsidR="00A42221">
        <w:instrText>HYPERLINK</w:instrText>
      </w:r>
      <w:r w:rsidR="00A42221" w:rsidRPr="00A42221">
        <w:rPr>
          <w:lang w:val="el-GR"/>
        </w:rPr>
        <w:instrText xml:space="preserve"> "</w:instrText>
      </w:r>
      <w:r w:rsidR="00A42221">
        <w:instrText>https</w:instrText>
      </w:r>
      <w:r w:rsidR="00A42221" w:rsidRPr="00A42221">
        <w:rPr>
          <w:lang w:val="el-GR"/>
        </w:rPr>
        <w:instrText>://</w:instrText>
      </w:r>
      <w:r w:rsidR="00A42221">
        <w:instrText>doi</w:instrText>
      </w:r>
      <w:r w:rsidR="00A42221" w:rsidRPr="00A42221">
        <w:rPr>
          <w:lang w:val="el-GR"/>
        </w:rPr>
        <w:instrText>.</w:instrText>
      </w:r>
      <w:r w:rsidR="00A42221">
        <w:instrText>org</w:instrText>
      </w:r>
      <w:r w:rsidR="00A42221" w:rsidRPr="00A42221">
        <w:rPr>
          <w:lang w:val="el-GR"/>
        </w:rPr>
        <w:instrText>/10.1016/</w:instrText>
      </w:r>
      <w:r w:rsidR="00A42221">
        <w:instrText>j</w:instrText>
      </w:r>
      <w:r w:rsidR="00A42221" w:rsidRPr="00A42221">
        <w:rPr>
          <w:lang w:val="el-GR"/>
        </w:rPr>
        <w:instrText>.</w:instrText>
      </w:r>
      <w:r w:rsidR="00A42221">
        <w:instrText>mrrev</w:instrText>
      </w:r>
      <w:r w:rsidR="00A42221" w:rsidRPr="00A42221">
        <w:rPr>
          <w:lang w:val="el-GR"/>
        </w:rPr>
        <w:instrText>.2019.02.001"</w:instrText>
      </w:r>
      <w:r w:rsidR="00A42221">
        <w:fldChar w:fldCharType="separate"/>
      </w:r>
      <w:r w:rsidRPr="00C350EC">
        <w:rPr>
          <w:rStyle w:val="Hyperlink"/>
          <w:sz w:val="24"/>
          <w:lang w:val="el-GR"/>
        </w:rPr>
        <w:t>https://doi.org/10.1016/j.mrrev.2019.02.001</w:t>
      </w:r>
      <w:r w:rsidR="00A42221">
        <w:rPr>
          <w:rStyle w:val="Hyperlink"/>
          <w:sz w:val="24"/>
          <w:lang w:val="el-GR"/>
        </w:rPr>
        <w:fldChar w:fldCharType="end"/>
      </w:r>
      <w:r w:rsidRPr="00C350EC">
        <w:rPr>
          <w:sz w:val="24"/>
          <w:lang w:val="el-GR"/>
        </w:rPr>
        <w:t xml:space="preserve">, </w:t>
      </w:r>
      <w:hyperlink r:id="rId13" w:history="1">
        <w:r w:rsidRPr="00C350EC">
          <w:rPr>
            <w:rStyle w:val="Hyperlink"/>
            <w:sz w:val="24"/>
            <w:lang w:val="el-GR"/>
          </w:rPr>
          <w:t>https://doi.org/10.1093/ije/dyz017</w:t>
        </w:r>
      </w:hyperlink>
      <w:r w:rsidRPr="00C350EC">
        <w:rPr>
          <w:sz w:val="24"/>
          <w:lang w:val="el-GR"/>
        </w:rPr>
        <w:t xml:space="preserve">, </w:t>
      </w:r>
      <w:hyperlink r:id="rId14" w:history="1">
        <w:r w:rsidRPr="00C350EC">
          <w:rPr>
            <w:rStyle w:val="Hyperlink"/>
            <w:sz w:val="24"/>
            <w:lang w:val="el-GR"/>
          </w:rPr>
          <w:t>https://doi.org/10.1371/journal.pone.0219610</w:t>
        </w:r>
      </w:hyperlink>
      <w:r w:rsidRPr="00C350EC">
        <w:rPr>
          <w:sz w:val="24"/>
          <w:lang w:val="el-GR"/>
        </w:rPr>
        <w:t xml:space="preserve"> και </w:t>
      </w:r>
      <w:hyperlink r:id="rId15" w:history="1">
        <w:r w:rsidRPr="00C350EC">
          <w:rPr>
            <w:rStyle w:val="Hyperlink"/>
            <w:sz w:val="24"/>
            <w:lang w:val="el-GR"/>
          </w:rPr>
          <w:t>https://doi.org/10.1186/s13045-019-0767-9</w:t>
        </w:r>
      </w:hyperlink>
      <w:r w:rsidRPr="00C350EC">
        <w:rPr>
          <w:sz w:val="24"/>
          <w:lang w:val="el-GR"/>
        </w:rPr>
        <w:t>.</w:t>
      </w:r>
    </w:p>
  </w:footnote>
  <w:footnote w:id="8">
    <w:p w14:paraId="2C06B216" w14:textId="14A31629" w:rsidR="00C003CB" w:rsidRPr="00C350EC" w:rsidRDefault="00C003CB" w:rsidP="00C350EC">
      <w:pPr>
        <w:pStyle w:val="FootnoteText"/>
        <w:ind w:left="567" w:hanging="567"/>
        <w:rPr>
          <w:sz w:val="24"/>
          <w:lang w:val="el-GR"/>
        </w:rPr>
      </w:pPr>
      <w:r w:rsidRPr="00C350EC">
        <w:rPr>
          <w:rStyle w:val="FootnoteReference"/>
          <w:sz w:val="24"/>
          <w:lang w:val="el-GR"/>
        </w:rPr>
        <w:footnoteRef/>
      </w:r>
      <w:r w:rsidR="00C350EC" w:rsidRPr="00C350EC">
        <w:rPr>
          <w:sz w:val="24"/>
          <w:lang w:val="el-GR"/>
        </w:rPr>
        <w:t xml:space="preserve"> </w:t>
      </w:r>
      <w:r w:rsidR="00C350EC" w:rsidRPr="00C350EC">
        <w:rPr>
          <w:sz w:val="24"/>
          <w:lang w:val="el-GR"/>
        </w:rPr>
        <w:tab/>
      </w:r>
      <w:r w:rsidRPr="00C350EC">
        <w:rPr>
          <w:sz w:val="24"/>
          <w:lang w:val="el-GR"/>
        </w:rPr>
        <w:t xml:space="preserve">Κανονισμός (ΕΚ) αριθ. 1107/2009 του Ευρωπαϊκού Κοινοβουλίου και του Συμβουλίου, της 21ης Οκτωβρίου 2009, σχετικά με τη διάθεση φυτοπροστατευτικών προϊόντων στην αγορά και την κατάργηση των οδηγιών 79/117/ΕΟΚ και 91/414/ΕΟΚ του Συμβουλίου (ΕΕ L 309 της 24.11.2009, σ. 1, ELI: </w:t>
      </w:r>
      <w:r w:rsidR="00A42221">
        <w:fldChar w:fldCharType="begin"/>
      </w:r>
      <w:r w:rsidR="00A42221">
        <w:instrText>HYPERLINK</w:instrText>
      </w:r>
      <w:r w:rsidR="00A42221" w:rsidRPr="00A42221">
        <w:rPr>
          <w:lang w:val="el-GR"/>
        </w:rPr>
        <w:instrText xml:space="preserve"> "</w:instrText>
      </w:r>
      <w:r w:rsidR="00A42221">
        <w:instrText>http</w:instrText>
      </w:r>
      <w:r w:rsidR="00A42221" w:rsidRPr="00A42221">
        <w:rPr>
          <w:lang w:val="el-GR"/>
        </w:rPr>
        <w:instrText>://</w:instrText>
      </w:r>
      <w:r w:rsidR="00A42221">
        <w:instrText>data</w:instrText>
      </w:r>
      <w:r w:rsidR="00A42221" w:rsidRPr="00A42221">
        <w:rPr>
          <w:lang w:val="el-GR"/>
        </w:rPr>
        <w:instrText>.</w:instrText>
      </w:r>
      <w:r w:rsidR="00A42221">
        <w:instrText>europa</w:instrText>
      </w:r>
      <w:r w:rsidR="00A42221" w:rsidRPr="00A42221">
        <w:rPr>
          <w:lang w:val="el-GR"/>
        </w:rPr>
        <w:instrText>.</w:instrText>
      </w:r>
      <w:r w:rsidR="00A42221">
        <w:instrText>eu</w:instrText>
      </w:r>
      <w:r w:rsidR="00A42221" w:rsidRPr="00A42221">
        <w:rPr>
          <w:lang w:val="el-GR"/>
        </w:rPr>
        <w:instrText>/</w:instrText>
      </w:r>
      <w:r w:rsidR="00A42221">
        <w:instrText>eli</w:instrText>
      </w:r>
      <w:r w:rsidR="00A42221" w:rsidRPr="00A42221">
        <w:rPr>
          <w:lang w:val="el-GR"/>
        </w:rPr>
        <w:instrText>/</w:instrText>
      </w:r>
      <w:r w:rsidR="00A42221">
        <w:instrText>reg</w:instrText>
      </w:r>
      <w:r w:rsidR="00A42221" w:rsidRPr="00A42221">
        <w:rPr>
          <w:lang w:val="el-GR"/>
        </w:rPr>
        <w:instrText>/2009/1107/</w:instrText>
      </w:r>
      <w:r w:rsidR="00A42221">
        <w:instrText>oj</w:instrText>
      </w:r>
      <w:r w:rsidR="00A42221" w:rsidRPr="00A42221">
        <w:rPr>
          <w:lang w:val="el-GR"/>
        </w:rPr>
        <w:instrText>" \</w:instrText>
      </w:r>
      <w:r w:rsidR="00A42221">
        <w:instrText>o</w:instrText>
      </w:r>
      <w:r w:rsidR="00A42221" w:rsidRPr="00A42221">
        <w:rPr>
          <w:lang w:val="el-GR"/>
        </w:rPr>
        <w:instrText xml:space="preserve"> "Πρόσβαση στο εν λόγω κείμενο μέσω του </w:instrText>
      </w:r>
      <w:r w:rsidR="00A42221">
        <w:instrText>ELI</w:instrText>
      </w:r>
      <w:r w:rsidR="00A42221" w:rsidRPr="00A42221">
        <w:rPr>
          <w:lang w:val="el-GR"/>
        </w:rPr>
        <w:instrText xml:space="preserve"> </w:instrText>
      </w:r>
      <w:r w:rsidR="00A42221">
        <w:instrText>URI</w:instrText>
      </w:r>
      <w:r w:rsidR="00A42221" w:rsidRPr="00A42221">
        <w:rPr>
          <w:lang w:val="el-GR"/>
        </w:rPr>
        <w:instrText>."</w:instrText>
      </w:r>
      <w:r w:rsidR="00A42221">
        <w:fldChar w:fldCharType="separate"/>
      </w:r>
      <w:r w:rsidRPr="00C350EC">
        <w:rPr>
          <w:rStyle w:val="Hyperlink"/>
          <w:sz w:val="24"/>
          <w:lang w:val="el-GR"/>
        </w:rPr>
        <w:t>http://data.europa.eu/eli/reg/2009/1107/oj</w:t>
      </w:r>
      <w:r w:rsidR="00A42221">
        <w:rPr>
          <w:rStyle w:val="Hyperlink"/>
          <w:sz w:val="24"/>
          <w:lang w:val="el-GR"/>
        </w:rPr>
        <w:fldChar w:fldCharType="end"/>
      </w:r>
      <w:r w:rsidRPr="00C350EC">
        <w:rPr>
          <w:sz w:val="24"/>
          <w:lang w:val="el-GR"/>
        </w:rPr>
        <w:t>).</w:t>
      </w:r>
    </w:p>
  </w:footnote>
  <w:footnote w:id="9">
    <w:p w14:paraId="17EAB22A" w14:textId="447E52F7" w:rsidR="00C003CB" w:rsidRPr="00C350EC" w:rsidRDefault="00C003CB" w:rsidP="00C350EC">
      <w:pPr>
        <w:pStyle w:val="FootnoteText"/>
        <w:ind w:left="567" w:hanging="567"/>
        <w:rPr>
          <w:sz w:val="24"/>
          <w:lang w:val="el-GR"/>
        </w:rPr>
      </w:pPr>
      <w:r w:rsidRPr="00C350EC">
        <w:rPr>
          <w:rStyle w:val="FootnoteReference"/>
          <w:sz w:val="24"/>
          <w:lang w:val="el-GR"/>
        </w:rPr>
        <w:footnoteRef/>
      </w:r>
      <w:r w:rsidR="00C350EC" w:rsidRPr="00C350EC">
        <w:rPr>
          <w:sz w:val="24"/>
          <w:lang w:val="el-GR"/>
        </w:rPr>
        <w:t xml:space="preserve"> </w:t>
      </w:r>
      <w:r w:rsidR="00C350EC" w:rsidRPr="00C350EC">
        <w:rPr>
          <w:sz w:val="24"/>
          <w:lang w:val="el-GR"/>
        </w:rPr>
        <w:tab/>
      </w:r>
      <w:r w:rsidRPr="00C350EC">
        <w:rPr>
          <w:sz w:val="24"/>
          <w:lang w:val="el-GR"/>
        </w:rPr>
        <w:t>Τον Δεκέμβριο του 2022 συμφωνήθηκε ένα παγκόσμιο πλαίσιο για τη βιοποικιλότητα στην COP15 της Σύμβασης των Ηνωμένων Εθνών για τη βιολογική ποικιλότητα, το οποίο περιλαμβάνει έναν παγκόσμιο στόχο για τη μείωση του κινδύνου από τα φυτοφάρμακα κατά τουλάχιστον 50 % έως το 2030 (βλ.:</w:t>
      </w:r>
      <w:r w:rsidRPr="00C350EC">
        <w:rPr>
          <w:color w:val="000000" w:themeColor="text1"/>
          <w:sz w:val="24"/>
          <w:lang w:val="el-GR"/>
        </w:rPr>
        <w:t xml:space="preserve"> </w:t>
      </w:r>
      <w:r w:rsidR="00A42221">
        <w:fldChar w:fldCharType="begin"/>
      </w:r>
      <w:r w:rsidR="00A42221">
        <w:instrText>HYPERLINK</w:instrText>
      </w:r>
      <w:r w:rsidR="00A42221" w:rsidRPr="00A42221">
        <w:rPr>
          <w:lang w:val="el-GR"/>
        </w:rPr>
        <w:instrText xml:space="preserve"> "</w:instrText>
      </w:r>
      <w:r w:rsidR="00A42221">
        <w:instrText>https</w:instrText>
      </w:r>
      <w:r w:rsidR="00A42221" w:rsidRPr="00A42221">
        <w:rPr>
          <w:lang w:val="el-GR"/>
        </w:rPr>
        <w:instrText>://</w:instrText>
      </w:r>
      <w:r w:rsidR="00A42221">
        <w:instrText>ec</w:instrText>
      </w:r>
      <w:r w:rsidR="00A42221" w:rsidRPr="00A42221">
        <w:rPr>
          <w:lang w:val="el-GR"/>
        </w:rPr>
        <w:instrText>.</w:instrText>
      </w:r>
      <w:r w:rsidR="00A42221">
        <w:instrText>europa</w:instrText>
      </w:r>
      <w:r w:rsidR="00A42221" w:rsidRPr="00A42221">
        <w:rPr>
          <w:lang w:val="el-GR"/>
        </w:rPr>
        <w:instrText>.</w:instrText>
      </w:r>
      <w:r w:rsidR="00A42221">
        <w:instrText>eu</w:instrText>
      </w:r>
      <w:r w:rsidR="00A42221" w:rsidRPr="00A42221">
        <w:rPr>
          <w:lang w:val="el-GR"/>
        </w:rPr>
        <w:instrText>/</w:instrText>
      </w:r>
      <w:r w:rsidR="00A42221">
        <w:instrText>commission</w:instrText>
      </w:r>
      <w:r w:rsidR="00A42221" w:rsidRPr="00A42221">
        <w:rPr>
          <w:lang w:val="el-GR"/>
        </w:rPr>
        <w:instrText>/</w:instrText>
      </w:r>
      <w:r w:rsidR="00A42221">
        <w:instrText>presscorner</w:instrText>
      </w:r>
      <w:r w:rsidR="00A42221" w:rsidRPr="00A42221">
        <w:rPr>
          <w:lang w:val="el-GR"/>
        </w:rPr>
        <w:instrText>/</w:instrText>
      </w:r>
      <w:r w:rsidR="00A42221">
        <w:instrText>detail</w:instrText>
      </w:r>
      <w:r w:rsidR="00A42221" w:rsidRPr="00A42221">
        <w:rPr>
          <w:lang w:val="el-GR"/>
        </w:rPr>
        <w:instrText>/</w:instrText>
      </w:r>
      <w:r w:rsidR="00A42221">
        <w:instrText>el</w:instrText>
      </w:r>
      <w:r w:rsidR="00A42221" w:rsidRPr="00A42221">
        <w:rPr>
          <w:lang w:val="el-GR"/>
        </w:rPr>
        <w:instrText>/</w:instrText>
      </w:r>
      <w:r w:rsidR="00A42221">
        <w:instrText>ip</w:instrText>
      </w:r>
      <w:r w:rsidR="00A42221" w:rsidRPr="00A42221">
        <w:rPr>
          <w:lang w:val="el-GR"/>
        </w:rPr>
        <w:instrText>_22_7834"</w:instrText>
      </w:r>
      <w:r w:rsidR="00A42221">
        <w:fldChar w:fldCharType="separate"/>
      </w:r>
      <w:r w:rsidRPr="00C350EC">
        <w:rPr>
          <w:rStyle w:val="Hyperlink"/>
          <w:sz w:val="24"/>
          <w:lang w:val="el-GR"/>
        </w:rPr>
        <w:t>https://ec.europa.eu/commission/presscorner/detail/el/ip_22_7834</w:t>
      </w:r>
      <w:r w:rsidR="00A42221">
        <w:rPr>
          <w:rStyle w:val="Hyperlink"/>
          <w:sz w:val="24"/>
          <w:lang w:val="el-GR"/>
        </w:rPr>
        <w:fldChar w:fldCharType="end"/>
      </w:r>
      <w:r w:rsidRPr="00C350EC">
        <w:rPr>
          <w:sz w:val="24"/>
          <w:lang w:val="el-GR"/>
        </w:rPr>
        <w:t xml:space="preserve">) </w:t>
      </w:r>
    </w:p>
  </w:footnote>
  <w:footnote w:id="10">
    <w:p w14:paraId="21C1A344" w14:textId="52CC9836" w:rsidR="00C003CB" w:rsidRPr="00C350EC" w:rsidRDefault="00C003CB" w:rsidP="00C350EC">
      <w:pPr>
        <w:pStyle w:val="FootnoteText"/>
        <w:ind w:left="567" w:hanging="567"/>
        <w:rPr>
          <w:sz w:val="24"/>
          <w:lang w:val="el-GR"/>
        </w:rPr>
      </w:pPr>
      <w:r w:rsidRPr="00C350EC">
        <w:rPr>
          <w:rStyle w:val="FootnoteReference"/>
          <w:sz w:val="24"/>
          <w:lang w:val="el-GR"/>
        </w:rPr>
        <w:footnoteRef/>
      </w:r>
      <w:r w:rsidR="00C350EC" w:rsidRPr="00C350EC">
        <w:rPr>
          <w:sz w:val="24"/>
          <w:lang w:val="el-GR"/>
        </w:rPr>
        <w:t xml:space="preserve"> </w:t>
      </w:r>
      <w:r w:rsidR="00C350EC" w:rsidRPr="00C350EC">
        <w:rPr>
          <w:sz w:val="24"/>
          <w:lang w:val="el-GR"/>
        </w:rPr>
        <w:tab/>
      </w:r>
      <w:r w:rsidR="00A42221">
        <w:fldChar w:fldCharType="begin"/>
      </w:r>
      <w:r w:rsidR="00A42221">
        <w:instrText>HYPERLINK</w:instrText>
      </w:r>
      <w:r w:rsidR="00A42221" w:rsidRPr="00A42221">
        <w:rPr>
          <w:lang w:val="el-GR"/>
        </w:rPr>
        <w:instrText xml:space="preserve"> "</w:instrText>
      </w:r>
      <w:r w:rsidR="00A42221">
        <w:instrText>https</w:instrText>
      </w:r>
      <w:r w:rsidR="00A42221" w:rsidRPr="00A42221">
        <w:rPr>
          <w:lang w:val="el-GR"/>
        </w:rPr>
        <w:instrText>://</w:instrText>
      </w:r>
      <w:r w:rsidR="00A42221">
        <w:instrText>commission</w:instrText>
      </w:r>
      <w:r w:rsidR="00A42221" w:rsidRPr="00A42221">
        <w:rPr>
          <w:lang w:val="el-GR"/>
        </w:rPr>
        <w:instrText>.</w:instrText>
      </w:r>
      <w:r w:rsidR="00A42221">
        <w:instrText>europa</w:instrText>
      </w:r>
      <w:r w:rsidR="00A42221" w:rsidRPr="00A42221">
        <w:rPr>
          <w:lang w:val="el-GR"/>
        </w:rPr>
        <w:instrText>.</w:instrText>
      </w:r>
      <w:r w:rsidR="00A42221">
        <w:instrText>eu</w:instrText>
      </w:r>
      <w:r w:rsidR="00A42221" w:rsidRPr="00A42221">
        <w:rPr>
          <w:lang w:val="el-GR"/>
        </w:rPr>
        <w:instrText>/</w:instrText>
      </w:r>
      <w:r w:rsidR="00A42221">
        <w:instrText>strategy</w:instrText>
      </w:r>
      <w:r w:rsidR="00A42221" w:rsidRPr="00A42221">
        <w:rPr>
          <w:lang w:val="el-GR"/>
        </w:rPr>
        <w:instrText>-</w:instrText>
      </w:r>
      <w:r w:rsidR="00A42221">
        <w:instrText>and</w:instrText>
      </w:r>
      <w:r w:rsidR="00A42221" w:rsidRPr="00A42221">
        <w:rPr>
          <w:lang w:val="el-GR"/>
        </w:rPr>
        <w:instrText>-</w:instrText>
      </w:r>
      <w:r w:rsidR="00A42221">
        <w:instrText>policy</w:instrText>
      </w:r>
      <w:r w:rsidR="00A42221" w:rsidRPr="00A42221">
        <w:rPr>
          <w:lang w:val="el-GR"/>
        </w:rPr>
        <w:instrText>/</w:instrText>
      </w:r>
      <w:r w:rsidR="00A42221">
        <w:instrText>priorities</w:instrText>
      </w:r>
      <w:r w:rsidR="00A42221" w:rsidRPr="00A42221">
        <w:rPr>
          <w:lang w:val="el-GR"/>
        </w:rPr>
        <w:instrText>-2019-2024/</w:instrText>
      </w:r>
      <w:r w:rsidR="00A42221">
        <w:instrText>european</w:instrText>
      </w:r>
      <w:r w:rsidR="00A42221" w:rsidRPr="00A42221">
        <w:rPr>
          <w:lang w:val="el-GR"/>
        </w:rPr>
        <w:instrText>-</w:instrText>
      </w:r>
      <w:r w:rsidR="00A42221">
        <w:instrText>green</w:instrText>
      </w:r>
      <w:r w:rsidR="00A42221" w:rsidRPr="00A42221">
        <w:rPr>
          <w:lang w:val="el-GR"/>
        </w:rPr>
        <w:instrText>-</w:instrText>
      </w:r>
      <w:r w:rsidR="00A42221">
        <w:instrText>deal</w:instrText>
      </w:r>
      <w:r w:rsidR="00A42221" w:rsidRPr="00A42221">
        <w:rPr>
          <w:lang w:val="el-GR"/>
        </w:rPr>
        <w:instrText>/</w:instrText>
      </w:r>
      <w:r w:rsidR="00A42221">
        <w:instrText>agriculture</w:instrText>
      </w:r>
      <w:r w:rsidR="00A42221" w:rsidRPr="00A42221">
        <w:rPr>
          <w:lang w:val="el-GR"/>
        </w:rPr>
        <w:instrText>-</w:instrText>
      </w:r>
      <w:r w:rsidR="00A42221">
        <w:instrText>and</w:instrText>
      </w:r>
      <w:r w:rsidR="00A42221" w:rsidRPr="00A42221">
        <w:rPr>
          <w:lang w:val="el-GR"/>
        </w:rPr>
        <w:instrText>-</w:instrText>
      </w:r>
      <w:r w:rsidR="00A42221">
        <w:instrText>green</w:instrText>
      </w:r>
      <w:r w:rsidR="00A42221" w:rsidRPr="00A42221">
        <w:rPr>
          <w:lang w:val="el-GR"/>
        </w:rPr>
        <w:instrText>-</w:instrText>
      </w:r>
      <w:r w:rsidR="00A42221">
        <w:instrText>deal</w:instrText>
      </w:r>
      <w:r w:rsidR="00A42221" w:rsidRPr="00A42221">
        <w:rPr>
          <w:lang w:val="el-GR"/>
        </w:rPr>
        <w:instrText>/</w:instrText>
      </w:r>
      <w:r w:rsidR="00A42221">
        <w:instrText>strategic</w:instrText>
      </w:r>
      <w:r w:rsidR="00A42221" w:rsidRPr="00A42221">
        <w:rPr>
          <w:lang w:val="el-GR"/>
        </w:rPr>
        <w:instrText>-</w:instrText>
      </w:r>
      <w:r w:rsidR="00A42221">
        <w:instrText>dialogue</w:instrText>
      </w:r>
      <w:r w:rsidR="00A42221" w:rsidRPr="00A42221">
        <w:rPr>
          <w:lang w:val="el-GR"/>
        </w:rPr>
        <w:instrText>-</w:instrText>
      </w:r>
      <w:r w:rsidR="00A42221">
        <w:instrText>future</w:instrText>
      </w:r>
      <w:r w:rsidR="00A42221" w:rsidRPr="00A42221">
        <w:rPr>
          <w:lang w:val="el-GR"/>
        </w:rPr>
        <w:instrText>-</w:instrText>
      </w:r>
      <w:r w:rsidR="00A42221">
        <w:instrText>eu</w:instrText>
      </w:r>
      <w:r w:rsidR="00A42221" w:rsidRPr="00A42221">
        <w:rPr>
          <w:lang w:val="el-GR"/>
        </w:rPr>
        <w:instrText>-</w:instrText>
      </w:r>
      <w:r w:rsidR="00A42221">
        <w:instrText>agriculture</w:instrText>
      </w:r>
      <w:r w:rsidR="00A42221" w:rsidRPr="00A42221">
        <w:rPr>
          <w:lang w:val="el-GR"/>
        </w:rPr>
        <w:instrText>_</w:instrText>
      </w:r>
      <w:r w:rsidR="00A42221">
        <w:instrText>el</w:instrText>
      </w:r>
      <w:r w:rsidR="00A42221" w:rsidRPr="00A42221">
        <w:rPr>
          <w:lang w:val="el-GR"/>
        </w:rPr>
        <w:instrText>"</w:instrText>
      </w:r>
      <w:r w:rsidR="00A42221">
        <w:fldChar w:fldCharType="separate"/>
      </w:r>
      <w:r w:rsidRPr="00C350EC">
        <w:rPr>
          <w:rStyle w:val="Hyperlink"/>
          <w:sz w:val="24"/>
          <w:lang w:val="el-GR"/>
        </w:rPr>
        <w:t>https://commission.europa.eu/strategy-and-policy/priorities-2019-2024/european-green-deal/agriculture-and-green-deal/strategic-dialogue-future-eu-agriculture_el</w:t>
      </w:r>
      <w:r w:rsidR="00A42221">
        <w:rPr>
          <w:rStyle w:val="Hyperlink"/>
          <w:sz w:val="24"/>
          <w:lang w:val="el-GR"/>
        </w:rPr>
        <w:fldChar w:fldCharType="end"/>
      </w:r>
      <w:r w:rsidRPr="00C350EC">
        <w:rPr>
          <w:rStyle w:val="Hyperlink"/>
          <w:sz w:val="24"/>
          <w:lang w:val="el-GR"/>
        </w:rPr>
        <w:t>.</w:t>
      </w:r>
      <w:r w:rsidRPr="00C350EC">
        <w:rPr>
          <w:sz w:val="24"/>
          <w:lang w:val="el-GR"/>
        </w:rPr>
        <w:t xml:space="preserve"> </w:t>
      </w:r>
    </w:p>
  </w:footnote>
  <w:footnote w:id="11">
    <w:p w14:paraId="1CA12F69" w14:textId="03CB85A5" w:rsidR="00C003CB" w:rsidRPr="00C350EC" w:rsidRDefault="00C003CB" w:rsidP="00C350EC">
      <w:pPr>
        <w:pStyle w:val="FootnoteText"/>
        <w:ind w:left="567" w:hanging="567"/>
        <w:rPr>
          <w:sz w:val="24"/>
          <w:lang w:val="el-GR"/>
        </w:rPr>
      </w:pPr>
      <w:r w:rsidRPr="00C350EC">
        <w:rPr>
          <w:rStyle w:val="FootnoteReference"/>
          <w:sz w:val="24"/>
          <w:lang w:val="el-GR"/>
        </w:rPr>
        <w:footnoteRef/>
      </w:r>
      <w:r w:rsidR="00C350EC" w:rsidRPr="00C350EC">
        <w:rPr>
          <w:sz w:val="24"/>
          <w:lang w:val="el-GR"/>
        </w:rPr>
        <w:t xml:space="preserve"> </w:t>
      </w:r>
      <w:r w:rsidR="00C350EC" w:rsidRPr="00C350EC">
        <w:rPr>
          <w:sz w:val="24"/>
          <w:lang w:val="el-GR"/>
        </w:rPr>
        <w:tab/>
      </w:r>
      <w:r w:rsidRPr="00C350EC">
        <w:rPr>
          <w:sz w:val="24"/>
          <w:lang w:val="el-GR"/>
        </w:rPr>
        <w:t>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L 31 της 1.2.2002, σ. 1, ELI: </w:t>
      </w:r>
      <w:r w:rsidR="00A42221">
        <w:fldChar w:fldCharType="begin"/>
      </w:r>
      <w:r w:rsidR="00A42221">
        <w:instrText>HYPERLINK</w:instrText>
      </w:r>
      <w:r w:rsidR="00A42221" w:rsidRPr="00A42221">
        <w:rPr>
          <w:lang w:val="el-GR"/>
        </w:rPr>
        <w:instrText xml:space="preserve"> "</w:instrText>
      </w:r>
      <w:r w:rsidR="00A42221">
        <w:instrText>http</w:instrText>
      </w:r>
      <w:r w:rsidR="00A42221" w:rsidRPr="00A42221">
        <w:rPr>
          <w:lang w:val="el-GR"/>
        </w:rPr>
        <w:instrText>://</w:instrText>
      </w:r>
      <w:r w:rsidR="00A42221">
        <w:instrText>data</w:instrText>
      </w:r>
      <w:r w:rsidR="00A42221" w:rsidRPr="00A42221">
        <w:rPr>
          <w:lang w:val="el-GR"/>
        </w:rPr>
        <w:instrText>.</w:instrText>
      </w:r>
      <w:r w:rsidR="00A42221">
        <w:instrText>europa</w:instrText>
      </w:r>
      <w:r w:rsidR="00A42221" w:rsidRPr="00A42221">
        <w:rPr>
          <w:lang w:val="el-GR"/>
        </w:rPr>
        <w:instrText>.</w:instrText>
      </w:r>
      <w:r w:rsidR="00A42221">
        <w:instrText>eu</w:instrText>
      </w:r>
      <w:r w:rsidR="00A42221" w:rsidRPr="00A42221">
        <w:rPr>
          <w:lang w:val="el-GR"/>
        </w:rPr>
        <w:instrText>/</w:instrText>
      </w:r>
      <w:r w:rsidR="00A42221">
        <w:instrText>eli</w:instrText>
      </w:r>
      <w:r w:rsidR="00A42221" w:rsidRPr="00A42221">
        <w:rPr>
          <w:lang w:val="el-GR"/>
        </w:rPr>
        <w:instrText>/</w:instrText>
      </w:r>
      <w:r w:rsidR="00A42221">
        <w:instrText>reg</w:instrText>
      </w:r>
      <w:r w:rsidR="00A42221" w:rsidRPr="00A42221">
        <w:rPr>
          <w:lang w:val="el-GR"/>
        </w:rPr>
        <w:instrText>/2002/178/</w:instrText>
      </w:r>
      <w:r w:rsidR="00A42221">
        <w:instrText>oj</w:instrText>
      </w:r>
      <w:r w:rsidR="00A42221" w:rsidRPr="00A42221">
        <w:rPr>
          <w:lang w:val="el-GR"/>
        </w:rPr>
        <w:instrText>" \</w:instrText>
      </w:r>
      <w:r w:rsidR="00A42221">
        <w:instrText>t</w:instrText>
      </w:r>
      <w:r w:rsidR="00A42221" w:rsidRPr="00A42221">
        <w:rPr>
          <w:lang w:val="el-GR"/>
        </w:rPr>
        <w:instrText xml:space="preserve"> "</w:instrText>
      </w:r>
      <w:r w:rsidR="00A42221">
        <w:instrText>Gives</w:instrText>
      </w:r>
      <w:r w:rsidR="00A42221" w:rsidRPr="00A42221">
        <w:rPr>
          <w:lang w:val="el-GR"/>
        </w:rPr>
        <w:instrText>%20</w:instrText>
      </w:r>
      <w:r w:rsidR="00A42221">
        <w:instrText>access</w:instrText>
      </w:r>
      <w:r w:rsidR="00A42221" w:rsidRPr="00A42221">
        <w:rPr>
          <w:lang w:val="el-GR"/>
        </w:rPr>
        <w:instrText>%20</w:instrText>
      </w:r>
      <w:r w:rsidR="00A42221">
        <w:instrText>to</w:instrText>
      </w:r>
      <w:r w:rsidR="00A42221" w:rsidRPr="00A42221">
        <w:rPr>
          <w:lang w:val="el-GR"/>
        </w:rPr>
        <w:instrText>%20</w:instrText>
      </w:r>
      <w:r w:rsidR="00A42221">
        <w:instrText>this</w:instrText>
      </w:r>
      <w:r w:rsidR="00A42221" w:rsidRPr="00A42221">
        <w:rPr>
          <w:lang w:val="el-GR"/>
        </w:rPr>
        <w:instrText>%20</w:instrText>
      </w:r>
      <w:r w:rsidR="00A42221">
        <w:instrText>document</w:instrText>
      </w:r>
      <w:r w:rsidR="00A42221" w:rsidRPr="00A42221">
        <w:rPr>
          <w:lang w:val="el-GR"/>
        </w:rPr>
        <w:instrText>%20</w:instrText>
      </w:r>
      <w:r w:rsidR="00A42221">
        <w:instrText>through</w:instrText>
      </w:r>
      <w:r w:rsidR="00A42221" w:rsidRPr="00A42221">
        <w:rPr>
          <w:lang w:val="el-GR"/>
        </w:rPr>
        <w:instrText>%20</w:instrText>
      </w:r>
      <w:r w:rsidR="00A42221">
        <w:instrText>its</w:instrText>
      </w:r>
      <w:r w:rsidR="00A42221" w:rsidRPr="00A42221">
        <w:rPr>
          <w:lang w:val="el-GR"/>
        </w:rPr>
        <w:instrText>%20</w:instrText>
      </w:r>
      <w:r w:rsidR="00A42221">
        <w:instrText>ELI</w:instrText>
      </w:r>
      <w:r w:rsidR="00A42221" w:rsidRPr="00A42221">
        <w:rPr>
          <w:lang w:val="el-GR"/>
        </w:rPr>
        <w:instrText>%20</w:instrText>
      </w:r>
      <w:r w:rsidR="00A42221">
        <w:instrText>URI</w:instrText>
      </w:r>
      <w:r w:rsidR="00A42221" w:rsidRPr="00A42221">
        <w:rPr>
          <w:lang w:val="el-GR"/>
        </w:rPr>
        <w:instrText>."</w:instrText>
      </w:r>
      <w:r w:rsidR="00A42221">
        <w:fldChar w:fldCharType="separate"/>
      </w:r>
      <w:r w:rsidRPr="00C350EC">
        <w:rPr>
          <w:rStyle w:val="Hyperlink"/>
          <w:sz w:val="24"/>
          <w:lang w:val="el-GR"/>
        </w:rPr>
        <w:t>http://data.europa.eu/eli/reg/2002/178/oj</w:t>
      </w:r>
      <w:r w:rsidR="00A42221">
        <w:rPr>
          <w:rStyle w:val="Hyperlink"/>
          <w:sz w:val="24"/>
          <w:lang w:val="el-GR"/>
        </w:rPr>
        <w:fldChar w:fldCharType="end"/>
      </w:r>
      <w:r w:rsidRPr="00C350EC">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9755A" w14:textId="77777777" w:rsidR="00064002" w:rsidRPr="00C350E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1F5FF" w14:textId="77777777" w:rsidR="00064002" w:rsidRPr="00C350E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C0791" w14:textId="77777777" w:rsidR="00064002" w:rsidRPr="00C350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247354A"/>
    <w:multiLevelType w:val="hybridMultilevel"/>
    <w:tmpl w:val="0BA88D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1606D99"/>
    <w:multiLevelType w:val="hybridMultilevel"/>
    <w:tmpl w:val="300CBED2"/>
    <w:lvl w:ilvl="0" w:tplc="F112C83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83338474">
    <w:abstractNumId w:val="9"/>
  </w:num>
  <w:num w:numId="2" w16cid:durableId="1492019092">
    <w:abstractNumId w:val="9"/>
  </w:num>
  <w:num w:numId="3" w16cid:durableId="369578332">
    <w:abstractNumId w:val="7"/>
  </w:num>
  <w:num w:numId="4" w16cid:durableId="156505329">
    <w:abstractNumId w:val="7"/>
  </w:num>
  <w:num w:numId="5" w16cid:durableId="2083788977">
    <w:abstractNumId w:val="6"/>
  </w:num>
  <w:num w:numId="6" w16cid:durableId="1939095344">
    <w:abstractNumId w:val="6"/>
  </w:num>
  <w:num w:numId="7" w16cid:durableId="330453628">
    <w:abstractNumId w:val="5"/>
  </w:num>
  <w:num w:numId="8" w16cid:durableId="1737628770">
    <w:abstractNumId w:val="5"/>
  </w:num>
  <w:num w:numId="9" w16cid:durableId="1469318498">
    <w:abstractNumId w:val="4"/>
  </w:num>
  <w:num w:numId="10" w16cid:durableId="1403675653">
    <w:abstractNumId w:val="4"/>
  </w:num>
  <w:num w:numId="11" w16cid:durableId="1315643329">
    <w:abstractNumId w:val="8"/>
  </w:num>
  <w:num w:numId="12" w16cid:durableId="1920870139">
    <w:abstractNumId w:val="8"/>
  </w:num>
  <w:num w:numId="13" w16cid:durableId="551237441">
    <w:abstractNumId w:val="3"/>
  </w:num>
  <w:num w:numId="14" w16cid:durableId="507869205">
    <w:abstractNumId w:val="3"/>
  </w:num>
  <w:num w:numId="15" w16cid:durableId="851606440">
    <w:abstractNumId w:val="2"/>
  </w:num>
  <w:num w:numId="16" w16cid:durableId="1259873604">
    <w:abstractNumId w:val="2"/>
  </w:num>
  <w:num w:numId="17" w16cid:durableId="1309937343">
    <w:abstractNumId w:val="1"/>
  </w:num>
  <w:num w:numId="18" w16cid:durableId="1114397332">
    <w:abstractNumId w:val="1"/>
  </w:num>
  <w:num w:numId="19" w16cid:durableId="756052449">
    <w:abstractNumId w:val="0"/>
  </w:num>
  <w:num w:numId="20" w16cid:durableId="630215093">
    <w:abstractNumId w:val="0"/>
  </w:num>
  <w:num w:numId="21" w16cid:durableId="2071421143">
    <w:abstractNumId w:val="9"/>
  </w:num>
  <w:num w:numId="22" w16cid:durableId="1487743701">
    <w:abstractNumId w:val="7"/>
  </w:num>
  <w:num w:numId="23" w16cid:durableId="384259394">
    <w:abstractNumId w:val="6"/>
  </w:num>
  <w:num w:numId="24" w16cid:durableId="477842173">
    <w:abstractNumId w:val="5"/>
  </w:num>
  <w:num w:numId="25" w16cid:durableId="968435333">
    <w:abstractNumId w:val="4"/>
  </w:num>
  <w:num w:numId="26" w16cid:durableId="1700928879">
    <w:abstractNumId w:val="8"/>
  </w:num>
  <w:num w:numId="27" w16cid:durableId="273943068">
    <w:abstractNumId w:val="3"/>
  </w:num>
  <w:num w:numId="28" w16cid:durableId="2056269247">
    <w:abstractNumId w:val="2"/>
  </w:num>
  <w:num w:numId="29" w16cid:durableId="1222979664">
    <w:abstractNumId w:val="1"/>
  </w:num>
  <w:num w:numId="30" w16cid:durableId="921448236">
    <w:abstractNumId w:val="0"/>
  </w:num>
  <w:num w:numId="31" w16cid:durableId="625308294">
    <w:abstractNumId w:val="9"/>
  </w:num>
  <w:num w:numId="32" w16cid:durableId="1440875660">
    <w:abstractNumId w:val="7"/>
  </w:num>
  <w:num w:numId="33" w16cid:durableId="550309525">
    <w:abstractNumId w:val="6"/>
  </w:num>
  <w:num w:numId="34" w16cid:durableId="1053576150">
    <w:abstractNumId w:val="5"/>
  </w:num>
  <w:num w:numId="35" w16cid:durableId="1647585977">
    <w:abstractNumId w:val="4"/>
  </w:num>
  <w:num w:numId="36" w16cid:durableId="2030445811">
    <w:abstractNumId w:val="8"/>
  </w:num>
  <w:num w:numId="37" w16cid:durableId="2094618335">
    <w:abstractNumId w:val="3"/>
  </w:num>
  <w:num w:numId="38" w16cid:durableId="1878079224">
    <w:abstractNumId w:val="2"/>
  </w:num>
  <w:num w:numId="39" w16cid:durableId="92602803">
    <w:abstractNumId w:val="1"/>
  </w:num>
  <w:num w:numId="40" w16cid:durableId="1738281197">
    <w:abstractNumId w:val="0"/>
  </w:num>
  <w:num w:numId="41" w16cid:durableId="1871719101">
    <w:abstractNumId w:val="10"/>
  </w:num>
  <w:num w:numId="42" w16cid:durableId="1849323072">
    <w:abstractNumId w:val="10"/>
  </w:num>
  <w:num w:numId="43" w16cid:durableId="2063289457">
    <w:abstractNumId w:val="10"/>
  </w:num>
  <w:num w:numId="44" w16cid:durableId="390426550">
    <w:abstractNumId w:val="12"/>
  </w:num>
  <w:num w:numId="45" w16cid:durableId="2057269976">
    <w:abstractNumId w:val="11"/>
  </w:num>
  <w:num w:numId="46" w16cid:durableId="7789880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9/2025"/>
    <w:docVar w:name="dvlangue" w:val="EL"/>
    <w:docVar w:name="dvnumam" w:val="0"/>
    <w:docVar w:name="dvpe" w:val="779.398"/>
    <w:docVar w:name="dvtitre" w:val="Ψήφισμα του Ευρωπαϊκού Κοινοβουλίου σχετικά με το σχέδιο εκτελεστικής απόφασης της Επιτροπής όσον αφορά την έγκριση της διάθεσης στην αγορά τροφίμων, συστατικών τροφίμων και ζωοτροφών που παράγονται από γενετικώς τροποποιημένα ζαχαρότευτλα KWS20-1, σύμφωνα με τον κανονισμό (ΕΚ) αριθ. 1829/2003 του Ευρωπαϊκού Κοινοβουλίου και του Συμβουλίου(D110122/02 – 2025/2959(RSP))"/>
  </w:docVars>
  <w:rsids>
    <w:rsidRoot w:val="00AD6B17"/>
    <w:rsid w:val="00002272"/>
    <w:rsid w:val="00064002"/>
    <w:rsid w:val="000677B9"/>
    <w:rsid w:val="000831BA"/>
    <w:rsid w:val="000A42CC"/>
    <w:rsid w:val="000E7DD9"/>
    <w:rsid w:val="0010095E"/>
    <w:rsid w:val="00125B37"/>
    <w:rsid w:val="00187494"/>
    <w:rsid w:val="001F32AE"/>
    <w:rsid w:val="0022329D"/>
    <w:rsid w:val="002767FF"/>
    <w:rsid w:val="002B18FE"/>
    <w:rsid w:val="002B5493"/>
    <w:rsid w:val="002F4E2C"/>
    <w:rsid w:val="00343214"/>
    <w:rsid w:val="00361C00"/>
    <w:rsid w:val="00395FA1"/>
    <w:rsid w:val="003D41F5"/>
    <w:rsid w:val="003D7E62"/>
    <w:rsid w:val="003E15D4"/>
    <w:rsid w:val="00411CCE"/>
    <w:rsid w:val="0041666E"/>
    <w:rsid w:val="00421060"/>
    <w:rsid w:val="00471C19"/>
    <w:rsid w:val="004867E3"/>
    <w:rsid w:val="00494A28"/>
    <w:rsid w:val="004B57A6"/>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2CC3"/>
    <w:rsid w:val="00786EC0"/>
    <w:rsid w:val="007D1690"/>
    <w:rsid w:val="007E22AD"/>
    <w:rsid w:val="00817416"/>
    <w:rsid w:val="00842779"/>
    <w:rsid w:val="00865F67"/>
    <w:rsid w:val="00881A7B"/>
    <w:rsid w:val="008840E5"/>
    <w:rsid w:val="00887B3E"/>
    <w:rsid w:val="008C2AC6"/>
    <w:rsid w:val="008D0A5D"/>
    <w:rsid w:val="00930C23"/>
    <w:rsid w:val="0093193B"/>
    <w:rsid w:val="009509D8"/>
    <w:rsid w:val="00950B64"/>
    <w:rsid w:val="00981893"/>
    <w:rsid w:val="00A1687D"/>
    <w:rsid w:val="00A42221"/>
    <w:rsid w:val="00A43E52"/>
    <w:rsid w:val="00A4678D"/>
    <w:rsid w:val="00A778C7"/>
    <w:rsid w:val="00AB441E"/>
    <w:rsid w:val="00AB6293"/>
    <w:rsid w:val="00AD6B17"/>
    <w:rsid w:val="00AD76DD"/>
    <w:rsid w:val="00AE0928"/>
    <w:rsid w:val="00AF3B82"/>
    <w:rsid w:val="00B12E95"/>
    <w:rsid w:val="00B22876"/>
    <w:rsid w:val="00B558F0"/>
    <w:rsid w:val="00BD48FE"/>
    <w:rsid w:val="00BD7BD8"/>
    <w:rsid w:val="00BE6ADC"/>
    <w:rsid w:val="00C003CB"/>
    <w:rsid w:val="00C05BFE"/>
    <w:rsid w:val="00C23CD4"/>
    <w:rsid w:val="00C350EC"/>
    <w:rsid w:val="00C61C0C"/>
    <w:rsid w:val="00C941CB"/>
    <w:rsid w:val="00CC2357"/>
    <w:rsid w:val="00CF071A"/>
    <w:rsid w:val="00D058B8"/>
    <w:rsid w:val="00D30DAC"/>
    <w:rsid w:val="00D56C11"/>
    <w:rsid w:val="00D834A0"/>
    <w:rsid w:val="00D872DF"/>
    <w:rsid w:val="00D91E21"/>
    <w:rsid w:val="00DA7FCD"/>
    <w:rsid w:val="00DE386C"/>
    <w:rsid w:val="00E2665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A1B59C"/>
  <w15:chartTrackingRefBased/>
  <w15:docId w15:val="{E9E7E4F1-3DA3-4E78-9297-811A1EA73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C003CB"/>
    <w:pPr>
      <w:spacing w:before="480" w:after="240"/>
    </w:pPr>
  </w:style>
  <w:style w:type="paragraph" w:customStyle="1" w:styleId="NormalHanging12a">
    <w:name w:val="NormalHanging12a"/>
    <w:basedOn w:val="Normal"/>
    <w:uiPriority w:val="99"/>
    <w:qFormat/>
    <w:rsid w:val="00C003CB"/>
    <w:pPr>
      <w:spacing w:after="240"/>
      <w:ind w:left="567" w:hanging="567"/>
    </w:pPr>
  </w:style>
  <w:style w:type="paragraph" w:customStyle="1" w:styleId="NormalBold">
    <w:name w:val="NormalBold"/>
    <w:basedOn w:val="Normal"/>
    <w:uiPriority w:val="99"/>
    <w:rsid w:val="00C003CB"/>
    <w:rPr>
      <w:b/>
    </w:rPr>
  </w:style>
  <w:style w:type="character" w:styleId="Hyperlink">
    <w:name w:val="Hyperlink"/>
    <w:basedOn w:val="DefaultParagraphFont"/>
    <w:uiPriority w:val="99"/>
    <w:rsid w:val="00C003CB"/>
    <w:rPr>
      <w:color w:val="0563C1" w:themeColor="hyperlink"/>
      <w:u w:val="single"/>
    </w:rPr>
  </w:style>
  <w:style w:type="paragraph" w:styleId="NormalWeb">
    <w:name w:val="Normal (Web)"/>
    <w:basedOn w:val="Normal"/>
    <w:uiPriority w:val="99"/>
    <w:unhideWhenUsed/>
    <w:rsid w:val="00C003CB"/>
    <w:pPr>
      <w:widowControl/>
      <w:spacing w:before="100" w:beforeAutospacing="1" w:after="100" w:afterAutospacing="1"/>
    </w:pPr>
    <w:rPr>
      <w:szCs w:val="24"/>
    </w:rPr>
  </w:style>
  <w:style w:type="paragraph" w:styleId="ListParagraph">
    <w:name w:val="List Paragraph"/>
    <w:basedOn w:val="Normal"/>
    <w:uiPriority w:val="34"/>
    <w:qFormat/>
    <w:rsid w:val="004B57A6"/>
    <w:pPr>
      <w:ind w:left="720"/>
      <w:contextualSpacing/>
    </w:pPr>
  </w:style>
  <w:style w:type="paragraph" w:styleId="Revision">
    <w:name w:val="Revision"/>
    <w:hidden/>
    <w:uiPriority w:val="99"/>
    <w:semiHidden/>
    <w:rsid w:val="004B57A6"/>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4/oj" TargetMode="External"/><Relationship Id="rId13" Type="http://schemas.openxmlformats.org/officeDocument/2006/relationships/hyperlink" Target="https://doi.org/10.1093/ije/dyz017" TargetMode="External"/><Relationship Id="rId3" Type="http://schemas.openxmlformats.org/officeDocument/2006/relationships/hyperlink" Target="http://data.europa.eu/eli/C/2025/1799/oj" TargetMode="External"/><Relationship Id="rId7" Type="http://schemas.openxmlformats.org/officeDocument/2006/relationships/hyperlink" Target="http://data.europa.eu/eli/C/2025/1803/oj" TargetMode="External"/><Relationship Id="rId12" Type="http://schemas.openxmlformats.org/officeDocument/2006/relationships/hyperlink" Target="https://doi.org/10.1016/j.geoforum.2009.03.009" TargetMode="External"/><Relationship Id="rId2" Type="http://schemas.openxmlformats.org/officeDocument/2006/relationships/hyperlink" Target="http://data.europa.eu/eli/C/2025/1798/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802/oj" TargetMode="External"/><Relationship Id="rId11" Type="http://schemas.openxmlformats.org/officeDocument/2006/relationships/hyperlink" Target="https://doi.org/10.1186/2190-4715-24-24" TargetMode="External"/><Relationship Id="rId5" Type="http://schemas.openxmlformats.org/officeDocument/2006/relationships/hyperlink" Target="http://data.europa.eu/eli/C/2025/1801/oj" TargetMode="External"/><Relationship Id="rId15" Type="http://schemas.openxmlformats.org/officeDocument/2006/relationships/hyperlink" Target="https://doi.org/10.1186/s13045-019-0767-9" TargetMode="External"/><Relationship Id="rId10" Type="http://schemas.openxmlformats.org/officeDocument/2006/relationships/hyperlink" Target="http://data.europa.eu/eli/C/2025/2247/oj" TargetMode="External"/><Relationship Id="rId4" Type="http://schemas.openxmlformats.org/officeDocument/2006/relationships/hyperlink" Target="http://data.europa.eu/eli/C/2025/1800/oj" TargetMode="External"/><Relationship Id="rId9" Type="http://schemas.openxmlformats.org/officeDocument/2006/relationships/hyperlink" Target="http://data.europa.eu/eli/C/2025/2246/oj" TargetMode="External"/><Relationship Id="rId14" Type="http://schemas.openxmlformats.org/officeDocument/2006/relationships/hyperlink" Target="https://doi.org/10.1371/journal.pone.0219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1795</Words>
  <Characters>10801</Characters>
  <Application>Microsoft Office Word</Application>
  <DocSecurity>0</DocSecurity>
  <Lines>270</Lines>
  <Paragraphs>155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SAVVIDOU Viktoria</cp:lastModifiedBy>
  <cp:revision>2</cp:revision>
  <cp:lastPrinted>2004-11-19T15:42:00Z</cp:lastPrinted>
  <dcterms:created xsi:type="dcterms:W3CDTF">2026-01-30T08:18:00Z</dcterms:created>
  <dcterms:modified xsi:type="dcterms:W3CDTF">2026-01-30T08:18:00Z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B10-0559/2025</vt:lpwstr>
  </property>
  <property fmtid="{D5CDD505-2E9C-101B-9397-08002B2CF9AE}" pid="4" name="&lt;Type&gt;">
    <vt:lpwstr>RR</vt:lpwstr>
  </property>
</Properties>
</file>