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2E5C" w14:paraId="1364C0A4" w14:textId="77777777" w:rsidTr="0010095E">
        <w:trPr>
          <w:trHeight w:hRule="exact" w:val="1418"/>
        </w:trPr>
        <w:tc>
          <w:tcPr>
            <w:tcW w:w="6804" w:type="dxa"/>
            <w:shd w:val="clear" w:color="auto" w:fill="auto"/>
            <w:vAlign w:val="center"/>
          </w:tcPr>
          <w:p w14:paraId="7A29FB6A" w14:textId="77777777" w:rsidR="00751A4A" w:rsidRPr="004C2E5C" w:rsidRDefault="00AC3450" w:rsidP="0010095E">
            <w:pPr>
              <w:pStyle w:val="EPName"/>
            </w:pPr>
            <w:r w:rsidRPr="004C2E5C">
              <w:t>Euroopan parlamentti</w:t>
            </w:r>
          </w:p>
          <w:p w14:paraId="379F081F" w14:textId="77777777" w:rsidR="00751A4A" w:rsidRPr="004C2E5C" w:rsidRDefault="005F1B17" w:rsidP="005F1B17">
            <w:pPr>
              <w:pStyle w:val="EPTerm"/>
              <w:rPr>
                <w:rStyle w:val="HideTWBExt"/>
                <w:noProof w:val="0"/>
                <w:vanish w:val="0"/>
                <w:color w:val="auto"/>
              </w:rPr>
            </w:pPr>
            <w:proofErr w:type="gramStart"/>
            <w:r w:rsidRPr="004C2E5C">
              <w:t>2024</w:t>
            </w:r>
            <w:r w:rsidR="00817416" w:rsidRPr="004C2E5C">
              <w:t>-202</w:t>
            </w:r>
            <w:r w:rsidRPr="004C2E5C">
              <w:t>9</w:t>
            </w:r>
            <w:proofErr w:type="gramEnd"/>
          </w:p>
        </w:tc>
        <w:tc>
          <w:tcPr>
            <w:tcW w:w="2268" w:type="dxa"/>
            <w:shd w:val="clear" w:color="auto" w:fill="auto"/>
          </w:tcPr>
          <w:p w14:paraId="6B07556A" w14:textId="77777777" w:rsidR="00751A4A" w:rsidRPr="004C2E5C" w:rsidRDefault="00187494" w:rsidP="0010095E">
            <w:pPr>
              <w:pStyle w:val="EPLogo"/>
            </w:pPr>
            <w:r w:rsidRPr="004C2E5C">
              <w:rPr>
                <w:noProof/>
                <w:lang w:eastAsia="ja-JP"/>
              </w:rPr>
              <w:drawing>
                <wp:inline distT="0" distB="0" distL="0" distR="0" wp14:anchorId="6FDDA82D" wp14:editId="2589AA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3F143E" w14:textId="77777777" w:rsidR="00D058B8" w:rsidRPr="004C2E5C" w:rsidRDefault="00D058B8" w:rsidP="004C5D52">
      <w:pPr>
        <w:pStyle w:val="LineTop"/>
      </w:pPr>
    </w:p>
    <w:p w14:paraId="5DF85EFF" w14:textId="77777777" w:rsidR="00680577" w:rsidRPr="004C2E5C" w:rsidRDefault="00AC3450" w:rsidP="00680577">
      <w:pPr>
        <w:pStyle w:val="EPBodyTA1"/>
      </w:pPr>
      <w:r w:rsidRPr="004C2E5C">
        <w:t>HYVÄKSYTYT TEKSTIT</w:t>
      </w:r>
    </w:p>
    <w:p w14:paraId="1C6139A0" w14:textId="77777777" w:rsidR="00D058B8" w:rsidRPr="004C2E5C" w:rsidRDefault="00D058B8" w:rsidP="00D058B8">
      <w:pPr>
        <w:pStyle w:val="LineBottom"/>
      </w:pPr>
    </w:p>
    <w:p w14:paraId="58EC728F" w14:textId="150A5918" w:rsidR="00AC3450" w:rsidRPr="004C2E5C" w:rsidRDefault="00AC3450" w:rsidP="00AC3450">
      <w:pPr>
        <w:pStyle w:val="ATHeading1"/>
      </w:pPr>
      <w:bookmarkStart w:id="0" w:name="TANumber"/>
      <w:r w:rsidRPr="004C2E5C">
        <w:t>P10_TA(2025)0</w:t>
      </w:r>
      <w:r w:rsidR="00F92B51">
        <w:t>328</w:t>
      </w:r>
      <w:bookmarkEnd w:id="0"/>
    </w:p>
    <w:p w14:paraId="01F3C413" w14:textId="77777777" w:rsidR="00AC3450" w:rsidRPr="004C2E5C" w:rsidRDefault="00AC3450" w:rsidP="00AC3450">
      <w:pPr>
        <w:pStyle w:val="ATHeading2"/>
      </w:pPr>
      <w:bookmarkStart w:id="1" w:name="title"/>
      <w:r w:rsidRPr="004C2E5C">
        <w:t xml:space="preserve">Muuntogeeninen sokerijuurikas KWS20-1 </w:t>
      </w:r>
      <w:bookmarkEnd w:id="1"/>
    </w:p>
    <w:p w14:paraId="7FB5C47F" w14:textId="77777777" w:rsidR="00AC3450" w:rsidRPr="004C2E5C" w:rsidRDefault="00AC3450" w:rsidP="00AC3450">
      <w:pPr>
        <w:rPr>
          <w:i/>
          <w:vanish/>
        </w:rPr>
      </w:pPr>
      <w:r w:rsidRPr="004C2E5C">
        <w:rPr>
          <w:i/>
        </w:rPr>
        <w:fldChar w:fldCharType="begin"/>
      </w:r>
      <w:r w:rsidRPr="004C2E5C">
        <w:rPr>
          <w:i/>
        </w:rPr>
        <w:instrText xml:space="preserve"> TC"(</w:instrText>
      </w:r>
      <w:bookmarkStart w:id="2" w:name="DocNumber"/>
      <w:r w:rsidRPr="004C2E5C">
        <w:rPr>
          <w:i/>
        </w:rPr>
        <w:instrText>B10-0559/2025</w:instrText>
      </w:r>
      <w:bookmarkEnd w:id="2"/>
      <w:r w:rsidRPr="004C2E5C">
        <w:rPr>
          <w:i/>
        </w:rPr>
        <w:instrText xml:space="preserve">)"\l3 \n&gt; \* MERGEFORMAT </w:instrText>
      </w:r>
      <w:r w:rsidRPr="004C2E5C">
        <w:rPr>
          <w:i/>
        </w:rPr>
        <w:fldChar w:fldCharType="end"/>
      </w:r>
    </w:p>
    <w:p w14:paraId="7B4033CC" w14:textId="77777777" w:rsidR="00AC3450" w:rsidRPr="004C2E5C" w:rsidRDefault="00AC3450" w:rsidP="00AC3450">
      <w:pPr>
        <w:rPr>
          <w:vanish/>
        </w:rPr>
      </w:pPr>
      <w:bookmarkStart w:id="3" w:name="PE"/>
      <w:r w:rsidRPr="004C2E5C">
        <w:rPr>
          <w:vanish/>
        </w:rPr>
        <w:t>PE779.398</w:t>
      </w:r>
      <w:bookmarkEnd w:id="3"/>
    </w:p>
    <w:p w14:paraId="69100D05" w14:textId="4544D8AF" w:rsidR="00AC3450" w:rsidRPr="004C2E5C" w:rsidRDefault="00AC3450" w:rsidP="00AC3450">
      <w:pPr>
        <w:pStyle w:val="ATHeading3"/>
      </w:pPr>
      <w:bookmarkStart w:id="4" w:name="Sujet"/>
      <w:r w:rsidRPr="004C2E5C">
        <w:t xml:space="preserve">Euroopan parlamentin päätöslauselma </w:t>
      </w:r>
      <w:r w:rsidR="00933426" w:rsidRPr="004C2E5C">
        <w:t>16</w:t>
      </w:r>
      <w:r w:rsidRPr="004C2E5C">
        <w:t>.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w:t>
      </w:r>
      <w:bookmarkEnd w:id="4"/>
      <w:r w:rsidRPr="004C2E5C">
        <w:t xml:space="preserve"> </w:t>
      </w:r>
      <w:bookmarkStart w:id="5" w:name="References"/>
      <w:r w:rsidRPr="004C2E5C">
        <w:t>(D110122/</w:t>
      </w:r>
      <w:proofErr w:type="gramStart"/>
      <w:r w:rsidRPr="004C2E5C">
        <w:t>02 – 2025</w:t>
      </w:r>
      <w:proofErr w:type="gramEnd"/>
      <w:r w:rsidRPr="004C2E5C">
        <w:t>/2959(RSP))</w:t>
      </w:r>
      <w:bookmarkEnd w:id="5"/>
    </w:p>
    <w:p w14:paraId="10A9C72F" w14:textId="77777777" w:rsidR="007318F1" w:rsidRPr="004C2E5C" w:rsidRDefault="007318F1" w:rsidP="007318F1">
      <w:pPr>
        <w:pStyle w:val="EPComma"/>
        <w:widowControl/>
      </w:pPr>
      <w:bookmarkStart w:id="6" w:name="TextBodyBegin"/>
      <w:bookmarkEnd w:id="6"/>
      <w:r w:rsidRPr="004C2E5C">
        <w:rPr>
          <w:i/>
          <w:iCs/>
        </w:rPr>
        <w:t>Euroopan parlamentti</w:t>
      </w:r>
      <w:r w:rsidRPr="004C2E5C">
        <w:t>, joka</w:t>
      </w:r>
    </w:p>
    <w:p w14:paraId="5C4B2366" w14:textId="77777777" w:rsidR="007318F1" w:rsidRPr="004C2E5C" w:rsidRDefault="007318F1" w:rsidP="00C8409F">
      <w:pPr>
        <w:pStyle w:val="NormalHanging12a"/>
        <w:widowControl/>
      </w:pPr>
      <w:r w:rsidRPr="004C2E5C">
        <w:t>–</w:t>
      </w:r>
      <w:r w:rsidRPr="004C2E5C">
        <w:tab/>
        <w:t>ottaa huomioon ehdotuksen komission täytäntöönpanopäätökseksi luvan antamisesta muuntogeenisestä sokerijuurikkaasta KWS20-1 valmistettujen elintarvikkeiden, elintarvikkeiden ainesosien ja rehujen saattamiseksi markkinoille Euroopan parlamentin ja neuvoston asetuksen (EY) N:o 1829/2003 mukaisesti (D110122/02),</w:t>
      </w:r>
    </w:p>
    <w:p w14:paraId="4999EB47" w14:textId="77777777" w:rsidR="007318F1" w:rsidRPr="004C2E5C" w:rsidRDefault="007318F1" w:rsidP="00C8409F">
      <w:pPr>
        <w:pStyle w:val="NormalHanging12a"/>
        <w:widowControl/>
      </w:pPr>
      <w:r w:rsidRPr="004C2E5C">
        <w:t>–</w:t>
      </w:r>
      <w:r w:rsidRPr="004C2E5C">
        <w:tab/>
        <w:t>ottaa huomioon muuntogeenisistä elintarvikkeista ja rehuista 22. syyskuuta 2003 annetun Euroopan parlamentin ja neuvoston asetuksen (EY) N:o 1829/2003</w:t>
      </w:r>
      <w:r w:rsidRPr="004C2E5C">
        <w:rPr>
          <w:rStyle w:val="FootnoteReference"/>
        </w:rPr>
        <w:footnoteReference w:id="1"/>
      </w:r>
      <w:r w:rsidRPr="004C2E5C">
        <w:t xml:space="preserve"> ja erityisesti sen 7 artiklan 3 kohdan ja 19 artiklan 3 kohdan,</w:t>
      </w:r>
    </w:p>
    <w:p w14:paraId="30E3D9DC" w14:textId="48A5D631" w:rsidR="007318F1" w:rsidRPr="004C2E5C" w:rsidRDefault="007318F1" w:rsidP="00C8409F">
      <w:pPr>
        <w:pStyle w:val="NormalHanging12a"/>
        <w:widowControl/>
      </w:pPr>
      <w:r w:rsidRPr="004C2E5C">
        <w:t>–</w:t>
      </w:r>
      <w:r w:rsidRPr="004C2E5C">
        <w:tab/>
        <w:t>ottaa huomioon asetuksen (EY) N:o 1829/2003 35 artiklassa tarkoitetussa pysyvässä kasvi-, eläin-, elintarvike- ja rehukomiteassa 14. lokakuuta 2025 toimitetun äänestyksen, jossa päätettiin olla antamatta lausuntoa,</w:t>
      </w:r>
      <w:r w:rsidR="00933426" w:rsidRPr="004C2E5C">
        <w:t xml:space="preserve"> ja muutoksenhakukomiteassa 28. marraskuuta 2025 toimitetun äänestyksen, jossa päätettiin niin ikään olla antamatta lausuntoa,</w:t>
      </w:r>
    </w:p>
    <w:p w14:paraId="3029A94F" w14:textId="77777777" w:rsidR="007318F1" w:rsidRPr="004C2E5C" w:rsidRDefault="007318F1" w:rsidP="00C8409F">
      <w:pPr>
        <w:pStyle w:val="NormalHanging12a"/>
        <w:widowControl/>
      </w:pPr>
      <w:r w:rsidRPr="004C2E5C">
        <w:t>–</w:t>
      </w:r>
      <w:r w:rsidRPr="004C2E5C">
        <w:tab/>
        <w:t>ottaa huomioon yleisistä säännöistä ja periaatteista, joiden mukaisesti jäsenvaltiot valvovat komission täytäntöönpanovallan käyttöä, 16. helmikuuta 2011 annetun Euroopan parlamentin ja neuvoston asetuksen (EU) N:o 182/2011 11 artiklan</w:t>
      </w:r>
      <w:r w:rsidRPr="004C2E5C">
        <w:rPr>
          <w:rStyle w:val="FootnoteReference"/>
          <w:szCs w:val="24"/>
        </w:rPr>
        <w:footnoteReference w:id="2"/>
      </w:r>
      <w:r w:rsidRPr="004C2E5C">
        <w:t>,</w:t>
      </w:r>
    </w:p>
    <w:p w14:paraId="4951141D" w14:textId="77777777" w:rsidR="007318F1" w:rsidRPr="004C2E5C" w:rsidRDefault="007318F1" w:rsidP="00C8409F">
      <w:pPr>
        <w:pStyle w:val="NormalHanging12a"/>
        <w:widowControl/>
      </w:pPr>
      <w:r w:rsidRPr="004C2E5C">
        <w:t>–</w:t>
      </w:r>
      <w:r w:rsidRPr="004C2E5C">
        <w:tab/>
        <w:t>ottaa huomioon Euroopan elintarviketurvallisuusviranomaisen (EFSA) 26. maaliskuuta 2025 antaman lausunnon, joka julkaistiin 12. toukokuuta 2025</w:t>
      </w:r>
      <w:r w:rsidRPr="004C2E5C">
        <w:rPr>
          <w:rStyle w:val="FootnoteReference"/>
        </w:rPr>
        <w:footnoteReference w:id="3"/>
      </w:r>
      <w:r w:rsidRPr="004C2E5C">
        <w:t>,</w:t>
      </w:r>
    </w:p>
    <w:p w14:paraId="467D8343" w14:textId="77777777" w:rsidR="007318F1" w:rsidRPr="004C2E5C" w:rsidRDefault="007318F1" w:rsidP="00C8409F">
      <w:pPr>
        <w:pStyle w:val="NormalHanging12a"/>
        <w:widowControl/>
      </w:pPr>
      <w:r w:rsidRPr="004C2E5C">
        <w:lastRenderedPageBreak/>
        <w:t>–</w:t>
      </w:r>
      <w:r w:rsidRPr="004C2E5C">
        <w:tab/>
        <w:t>ottaa huomioon aikaisemmat päätöslauselmansa, joissa vastustetaan luvan myöntämistä muuntogeenisille organismeille</w:t>
      </w:r>
      <w:r w:rsidRPr="004C2E5C">
        <w:rPr>
          <w:rStyle w:val="FootnoteReference"/>
        </w:rPr>
        <w:footnoteReference w:id="4"/>
      </w:r>
      <w:r w:rsidRPr="004C2E5C">
        <w:t>,</w:t>
      </w:r>
    </w:p>
    <w:p w14:paraId="58217C4D" w14:textId="77777777" w:rsidR="007318F1" w:rsidRPr="004C2E5C" w:rsidRDefault="007318F1" w:rsidP="00C8409F">
      <w:pPr>
        <w:pStyle w:val="NormalHanging12a"/>
        <w:widowControl/>
      </w:pPr>
      <w:r w:rsidRPr="004C2E5C">
        <w:lastRenderedPageBreak/>
        <w:t>–</w:t>
      </w:r>
      <w:r w:rsidRPr="004C2E5C">
        <w:tab/>
        <w:t>ottaa huomioon työjärjestyksen 115 artiklan 2 ja 3 kohdan,</w:t>
      </w:r>
    </w:p>
    <w:p w14:paraId="17AA8372" w14:textId="77777777" w:rsidR="007318F1" w:rsidRPr="004C2E5C" w:rsidRDefault="007318F1" w:rsidP="00C8409F">
      <w:pPr>
        <w:pStyle w:val="NormalHanging12a"/>
        <w:widowControl/>
      </w:pPr>
      <w:r w:rsidRPr="004C2E5C">
        <w:t>–</w:t>
      </w:r>
      <w:r w:rsidRPr="004C2E5C">
        <w:tab/>
        <w:t>ottaa huomioon ympäristön, ilmaston ja elintarvikkeiden turvallisuuden valiokunnan päätöslauselmaesityksen,</w:t>
      </w:r>
    </w:p>
    <w:p w14:paraId="03816E5B" w14:textId="77777777" w:rsidR="007318F1" w:rsidRPr="004C2E5C" w:rsidRDefault="007318F1" w:rsidP="00C8409F">
      <w:pPr>
        <w:pStyle w:val="NormalHanging12a"/>
        <w:widowControl/>
      </w:pPr>
      <w:r w:rsidRPr="004C2E5C">
        <w:t>A.</w:t>
      </w:r>
      <w:r w:rsidRPr="004C2E5C">
        <w:tab/>
        <w:t xml:space="preserve">ottaa huomioon, että Belgiaan sijoittautunut Bayer </w:t>
      </w:r>
      <w:proofErr w:type="spellStart"/>
      <w:r w:rsidRPr="004C2E5C">
        <w:t>Agriculture</w:t>
      </w:r>
      <w:proofErr w:type="spellEnd"/>
      <w:r w:rsidRPr="004C2E5C">
        <w:t xml:space="preserve"> B.V. toimitti 30. toukokuuta 2023 Yhdysvaltoihin sijoittautuneen yrityksen Bayer </w:t>
      </w:r>
      <w:proofErr w:type="spellStart"/>
      <w:r w:rsidRPr="004C2E5C">
        <w:t>CropScience</w:t>
      </w:r>
      <w:proofErr w:type="spellEnd"/>
      <w:r w:rsidRPr="004C2E5C">
        <w:t xml:space="preserve"> LP ja Saksaan sijoittautuneen yrityksen KWS SAAT SE &amp; Co. </w:t>
      </w:r>
      <w:proofErr w:type="spellStart"/>
      <w:r w:rsidRPr="004C2E5C">
        <w:t>KGaA</w:t>
      </w:r>
      <w:proofErr w:type="spellEnd"/>
      <w:r w:rsidRPr="004C2E5C">
        <w:t xml:space="preserve"> puolesta </w:t>
      </w:r>
      <w:r w:rsidRPr="004C2E5C">
        <w:rPr>
          <w:snapToGrid w:val="0"/>
        </w:rPr>
        <w:t>Alankomaiden kansalliselle toimivaltaiselle viranomaiselle</w:t>
      </w:r>
      <w:r w:rsidRPr="004C2E5C">
        <w:t xml:space="preserve"> asetuksen (EY) N:o 1829/2003 5 ja 17 artiklan mukaisesti hakemuksen muuntogeenisestä sokerijuurikkaasta KWS20-1 valmistettujen elintarvikkeiden, elintarvikkeiden ainesosien ja rehujen saattamiseksi markkinoille;</w:t>
      </w:r>
    </w:p>
    <w:p w14:paraId="1773468B" w14:textId="77777777" w:rsidR="007318F1" w:rsidRPr="004C2E5C" w:rsidRDefault="007318F1" w:rsidP="00C8409F">
      <w:pPr>
        <w:pStyle w:val="NormalHanging12a"/>
        <w:widowControl/>
      </w:pPr>
      <w:r w:rsidRPr="004C2E5C">
        <w:t>B.</w:t>
      </w:r>
      <w:r w:rsidRPr="004C2E5C">
        <w:tab/>
        <w:t>ottaa huomioon, että EFSA antoi 12. toukokuuta 2025 puoltavan tieteellisen lausunnon, jossa todettiin muuntogeenisen sokerijuurikkaan olevan yhtä turvallista kuin sen tavanomaiset vastineet; ottaa huomioon, että EFSA katsoo monien laajempien ympäristöön liittyvien, sosioekonomisten ja kumulatiivisten vaikutusten jäävän sen toimivallan ulkopuolelle, minkä vuoksi se ei käsitellyt niitä lausunnossaan;</w:t>
      </w:r>
    </w:p>
    <w:p w14:paraId="3C65FFCA" w14:textId="77777777" w:rsidR="007318F1" w:rsidRPr="004C2E5C" w:rsidRDefault="007318F1" w:rsidP="00C8409F">
      <w:pPr>
        <w:pStyle w:val="NormalHanging12a"/>
        <w:widowControl/>
      </w:pPr>
      <w:r w:rsidRPr="004C2E5C">
        <w:t>C.</w:t>
      </w:r>
      <w:r w:rsidRPr="004C2E5C">
        <w:tab/>
        <w:t xml:space="preserve">ottaa huomioon, että muuntogeeninen sokerijuurikas on kehitetty sietämään glyfosaattiin, </w:t>
      </w:r>
      <w:proofErr w:type="spellStart"/>
      <w:r w:rsidRPr="004C2E5C">
        <w:t>dikambaan</w:t>
      </w:r>
      <w:proofErr w:type="spellEnd"/>
      <w:r w:rsidRPr="004C2E5C">
        <w:t xml:space="preserve"> ja </w:t>
      </w:r>
      <w:proofErr w:type="spellStart"/>
      <w:r w:rsidRPr="004C2E5C">
        <w:t>glufosinaattiammoniumiin</w:t>
      </w:r>
      <w:proofErr w:type="spellEnd"/>
      <w:r w:rsidRPr="004C2E5C">
        <w:t xml:space="preserve"> pohjautuvia rikkakasvien torjunta-aineita;</w:t>
      </w:r>
    </w:p>
    <w:p w14:paraId="3012B230" w14:textId="06C17228" w:rsidR="007318F1" w:rsidRPr="004C2E5C" w:rsidRDefault="007318F1" w:rsidP="00C8409F">
      <w:pPr>
        <w:pStyle w:val="NormalHanging12a"/>
        <w:widowControl/>
      </w:pPr>
      <w:r w:rsidRPr="004C2E5C">
        <w:t>D.</w:t>
      </w:r>
      <w:r w:rsidRPr="004C2E5C">
        <w:tab/>
        <w:t xml:space="preserve">ottaa huomioon, että </w:t>
      </w:r>
      <w:proofErr w:type="spellStart"/>
      <w:r w:rsidRPr="004C2E5C">
        <w:t>EFSAn</w:t>
      </w:r>
      <w:proofErr w:type="spellEnd"/>
      <w:r w:rsidRPr="004C2E5C">
        <w:t xml:space="preserve"> tekemään riskinarviointiin ei sisältynyt pitkän ajan toksikologisia tutkimuksia eikä yksityiskohtaista analyysia kumulatiivisista ja yhteisvaikutuksista, kuten mahdollisesta vuorovaikutuksesta sokerijuurikkaan viljelyssä yleisesti käytettyjen torjunta-ainejäämien kanssa;</w:t>
      </w:r>
    </w:p>
    <w:p w14:paraId="584AB20E" w14:textId="77777777" w:rsidR="007318F1" w:rsidRPr="004C2E5C" w:rsidRDefault="007318F1" w:rsidP="00C8409F">
      <w:pPr>
        <w:pStyle w:val="NormalHanging12a"/>
        <w:widowControl/>
      </w:pPr>
      <w:r w:rsidRPr="004C2E5C">
        <w:t>E.</w:t>
      </w:r>
      <w:r w:rsidRPr="004C2E5C">
        <w:tab/>
        <w:t>ottaa huomioon, että suurinta osaa muuntogeenisistä viljelykasveista, muuntogeeninen sokerijuurikas mukaan lukien, on muunnettu geneettisesti siten, että ne ovat sietokykyisiä yhdelle tai useammalle ”täydentävälle” rikkakasvien torjunta-aineelle, jota voidaan käyttää koko muuntogeenisen viljelykasvin viljelyn ajan ilman, että viljelykasvi kuolee, kuten käy niiden viljelykasvien tapauksessa, jotka eivät siedä torjunta-aineita; 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torjunta-aineita</w:t>
      </w:r>
      <w:r w:rsidRPr="004C2E5C">
        <w:rPr>
          <w:rStyle w:val="FootnoteReference"/>
        </w:rPr>
        <w:footnoteReference w:id="5"/>
      </w:r>
      <w:r w:rsidRPr="004C2E5C">
        <w:t>;</w:t>
      </w:r>
    </w:p>
    <w:p w14:paraId="449D9C07" w14:textId="77777777" w:rsidR="007318F1" w:rsidRPr="004C2E5C" w:rsidRDefault="007318F1" w:rsidP="00C8409F">
      <w:pPr>
        <w:pStyle w:val="NormalHanging12a"/>
        <w:widowControl/>
      </w:pPr>
      <w:r w:rsidRPr="004C2E5C">
        <w:t>F.</w:t>
      </w:r>
      <w:r w:rsidRPr="004C2E5C">
        <w:tab/>
        <w:t xml:space="preserve">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 ottaa huomioon, että lisääntynyt riippuvuus täydentävistä rikkakasvien torjunta-aineista muuntogeenistä sokerijuurikasta viljelevillä tiloilla nopeuttaa näille torjunta-aineille sietokykyisten rikkakasvien ilmaantumista ja leviämistä, mikä johtaa noidankehään, jossa rikkakasvien torjunta-aineita on käytettävä </w:t>
      </w:r>
      <w:r w:rsidRPr="004C2E5C">
        <w:lastRenderedPageBreak/>
        <w:t>jatkuvasti enemmän; toteaa, että tämän seurauksena rikkakasvien torjunta-aineiden liiallisesta käytöstä aiheutuu yhä haitallisempia vaikutuksia maaperän terveyteen, veden laatuun sekä maanpäälliseen ja -alaiseen biologiseen monimuotoisuuteen ja lisäksi ihmisten ja eläinten altistuminen lisääntyy, mahdollisesti myös sen kautta, että rikkakasvien torjunta-aineiden jäämät elintarvikkeissa ja rehuissa lisääntyvät</w:t>
      </w:r>
      <w:r w:rsidRPr="004C2E5C">
        <w:rPr>
          <w:rStyle w:val="FootnoteReference"/>
        </w:rPr>
        <w:footnoteReference w:id="6"/>
      </w:r>
      <w:r w:rsidRPr="004C2E5C">
        <w:t>;</w:t>
      </w:r>
    </w:p>
    <w:p w14:paraId="6D778352" w14:textId="77777777" w:rsidR="007318F1" w:rsidRPr="004C2E5C" w:rsidRDefault="007318F1" w:rsidP="00C8409F">
      <w:pPr>
        <w:pStyle w:val="NormalHanging12a"/>
        <w:widowControl/>
      </w:pPr>
      <w:r w:rsidRPr="004C2E5C">
        <w:t>G.</w:t>
      </w:r>
      <w:r w:rsidRPr="004C2E5C">
        <w:tab/>
        <w:t>toteaa, että glyfosaatin karsinogeenisyydestä on tuotu esiin vakavia kysymyksiä, jotka ovat edelleen vailla vastausta; ottaa huomioon, että EFSA totesi marraskuussa 2015, että glyfosaatti ei todennäköisesti ole syöpää aiheuttava aine, ja että Euroopan kemikaalivirasto totesi maaliskuussa 2017, että vaaraluokitus ei ollut aiheellinen; ottaa huomioon, että Kansainvälinen syöväntutkimuslaitos, joka on Maailman terveysjärjestön syöväntutkimukseen erikoistunut virasto, sen sijaan luokitteli glyfosaatin vuonna 2015 todennäköisesti ihmisille syöpää aiheuttavaksi aineeksi; ottaa huomioon, että monissa viimeaikaisissa vertaisarvioiduissa tieteellisissä tutkimuksissa vahvistetaan glyfosaatin syöpää aiheuttavat vaikutukset</w:t>
      </w:r>
      <w:r w:rsidRPr="004C2E5C">
        <w:rPr>
          <w:rStyle w:val="FootnoteReference"/>
        </w:rPr>
        <w:footnoteReference w:id="7"/>
      </w:r>
      <w:r w:rsidRPr="004C2E5C">
        <w:t>;</w:t>
      </w:r>
    </w:p>
    <w:p w14:paraId="1CF5C545" w14:textId="77777777" w:rsidR="007318F1" w:rsidRPr="004C2E5C" w:rsidRDefault="007318F1" w:rsidP="00C8409F">
      <w:pPr>
        <w:pStyle w:val="NormalHanging12a"/>
        <w:widowControl/>
      </w:pPr>
      <w:r w:rsidRPr="004C2E5C">
        <w:t>H.</w:t>
      </w:r>
      <w:r w:rsidRPr="004C2E5C">
        <w:tab/>
        <w:t xml:space="preserve">ottaa huomioon, että </w:t>
      </w:r>
      <w:proofErr w:type="spellStart"/>
      <w:r w:rsidRPr="004C2E5C">
        <w:t>dikamba</w:t>
      </w:r>
      <w:proofErr w:type="spellEnd"/>
      <w:r w:rsidRPr="004C2E5C">
        <w:t xml:space="preserve"> on erittäin helposti haihtuva, mikä tarkoittaa, että kun sitä käytetään, sillä on taipumus haihtua ja siirtyä ilmaan ja sen jälkeen ajautua tuulen mukana, kunnes se laskeutuu maahan, jolloin se altistaa ihmiset, eläimet sekä muut kuin kohteena olevat kasvit, köynnöskasvit, puut ja pensaat mahdollisille vahingoille, jotka voivat olla vakaviakin, etenkin silloin, kun altistus kestää useita vuosia; ottaa huomioon, että </w:t>
      </w:r>
      <w:proofErr w:type="spellStart"/>
      <w:r w:rsidRPr="004C2E5C">
        <w:t>dikamban</w:t>
      </w:r>
      <w:proofErr w:type="spellEnd"/>
      <w:r w:rsidRPr="004C2E5C">
        <w:t xml:space="preserve"> kulkeutumisesta lähialueen viljelykasveihin, puihin ja köynnöskasveihin ja sen niille aiheuttamista vahingoista on tullut asia, joka aiheuttaa eripuraa eri viljelijäryhmien ja naapuruston asukkaiden välillä ja joka on synnyttänyt laajoja oikeusriitoja menetettyjen satojen ja uudelleenistutuskustannusten vuoksi;</w:t>
      </w:r>
    </w:p>
    <w:p w14:paraId="1B9DB1E0" w14:textId="77777777" w:rsidR="007318F1" w:rsidRPr="004C2E5C" w:rsidRDefault="007318F1" w:rsidP="00C8409F">
      <w:pPr>
        <w:pStyle w:val="NormalHanging12a"/>
        <w:widowControl/>
      </w:pPr>
      <w:r w:rsidRPr="004C2E5C">
        <w:t>I.</w:t>
      </w:r>
      <w:r w:rsidRPr="004C2E5C">
        <w:tab/>
        <w:t xml:space="preserve">ottaa huomioon, että </w:t>
      </w:r>
      <w:proofErr w:type="spellStart"/>
      <w:r w:rsidRPr="004C2E5C">
        <w:t>glufosinaatti</w:t>
      </w:r>
      <w:proofErr w:type="spellEnd"/>
      <w:r w:rsidRPr="004C2E5C">
        <w:t xml:space="preserve"> on luokiteltu lisääntymiselle vaarallisten aineiden kategoriaan 1B ja näin ollen se täyttää Euroopan parlamentin ja neuvoston asetuksessa (EY) N:o 1107/2009 säädetyt poissulkemiskriteerit</w:t>
      </w:r>
      <w:r w:rsidRPr="004C2E5C">
        <w:rPr>
          <w:rStyle w:val="FootnoteReference"/>
        </w:rPr>
        <w:footnoteReference w:id="8"/>
      </w:r>
      <w:r w:rsidRPr="004C2E5C">
        <w:t xml:space="preserve">; ottaa huomioon, että </w:t>
      </w:r>
      <w:proofErr w:type="spellStart"/>
      <w:r w:rsidRPr="004C2E5C">
        <w:t>glufosinaatin</w:t>
      </w:r>
      <w:proofErr w:type="spellEnd"/>
      <w:r w:rsidRPr="004C2E5C">
        <w:t xml:space="preserve"> käyttöä unionissa koskevan hyväksynnän voimassaolo päättyi 31. heinäkuuta 2018;</w:t>
      </w:r>
    </w:p>
    <w:p w14:paraId="0BBD8EA2" w14:textId="77777777" w:rsidR="007318F1" w:rsidRPr="004C2E5C" w:rsidRDefault="007318F1" w:rsidP="00C8409F">
      <w:pPr>
        <w:pStyle w:val="NormalHanging12a"/>
        <w:widowControl/>
      </w:pPr>
      <w:r w:rsidRPr="004C2E5C">
        <w:t>J.</w:t>
      </w:r>
      <w:r w:rsidRPr="004C2E5C">
        <w:tab/>
        <w:t>ottaa huomioon, että hakemuksen tueksi esitettyjä kenttäkokeita tehtiin ainoastaan Yhdysvalloissa maantieteellisesti ja ilmastollisesti melko yksipuolisissa olosuhteissa, jotka eivät edusta sokerijuurikkaan viljelyalueiden koko kirjoa, esimerkiksi niitä, joihin ilmastonmuutokseen liittyvät stressitekijät vaikuttavat voimakkaasti;</w:t>
      </w:r>
    </w:p>
    <w:p w14:paraId="02158F6F" w14:textId="6DC21E06" w:rsidR="007318F1" w:rsidRPr="004C2E5C" w:rsidRDefault="007318F1" w:rsidP="00C8409F">
      <w:pPr>
        <w:pStyle w:val="NormalHanging12a"/>
        <w:widowControl/>
      </w:pPr>
      <w:r w:rsidRPr="004C2E5C">
        <w:t>K.</w:t>
      </w:r>
      <w:r w:rsidRPr="004C2E5C">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14:paraId="102C39BE" w14:textId="77777777" w:rsidR="007318F1" w:rsidRPr="004C2E5C" w:rsidRDefault="007318F1" w:rsidP="00C8409F">
      <w:pPr>
        <w:pStyle w:val="NormalHanging12a"/>
        <w:widowControl/>
      </w:pPr>
      <w:r w:rsidRPr="004C2E5C">
        <w:lastRenderedPageBreak/>
        <w:t>L.</w:t>
      </w:r>
      <w:r w:rsidRPr="004C2E5C">
        <w:tab/>
        <w:t>katsoo, että tapauksissa, joissa tieteellistä varmuutta ei ole, olisi sovellettava Euroopan unionin toiminnasta tehdyn sopimuksen 191 artiklassa tarkoitettua ennalta varautumisen periaatetta;</w:t>
      </w:r>
    </w:p>
    <w:p w14:paraId="0BAFEC25" w14:textId="77777777" w:rsidR="007318F1" w:rsidRPr="004C2E5C" w:rsidRDefault="007318F1" w:rsidP="00C8409F">
      <w:pPr>
        <w:pStyle w:val="NormalHanging12a"/>
        <w:widowControl/>
      </w:pPr>
      <w:r w:rsidRPr="004C2E5C">
        <w:t>M.</w:t>
      </w:r>
      <w:r w:rsidRPr="004C2E5C">
        <w:tab/>
        <w:t>ottaa huomioon, että asetuksen (EY) N:o 1829/2003 mukaan muuntogeeniset elintarvikkeet tai rehut eivät saa vaikuttaa haitallisesti ihmisten terveyteen, eläinten terveyteen tai ympäristöön;</w:t>
      </w:r>
    </w:p>
    <w:p w14:paraId="770301CF" w14:textId="77777777" w:rsidR="007318F1" w:rsidRPr="004C2E5C" w:rsidRDefault="007318F1" w:rsidP="00C8409F">
      <w:pPr>
        <w:pStyle w:val="NormalHanging12a"/>
        <w:widowControl/>
      </w:pPr>
      <w:r w:rsidRPr="004C2E5C">
        <w:t>N.</w:t>
      </w:r>
      <w:r w:rsidRPr="004C2E5C">
        <w:tab/>
        <w:t>toteaa, että unionin lupa muuntogeeniselle sokerijuurikkaalle ei olisi torjunta-aineiden vähentämistä koskevien kansainvälisten sitoumusten mukainen</w:t>
      </w:r>
      <w:r w:rsidRPr="004C2E5C">
        <w:rPr>
          <w:rStyle w:val="FootnoteReference"/>
        </w:rPr>
        <w:footnoteReference w:id="9"/>
      </w:r>
      <w:r w:rsidRPr="004C2E5C">
        <w:t xml:space="preserve">, kun otetaan huomioon ihmisten, eläinten ja ympäristön lisääntynyt altistuminen glyfosaatille, </w:t>
      </w:r>
      <w:proofErr w:type="spellStart"/>
      <w:r w:rsidRPr="004C2E5C">
        <w:t>dikamballe</w:t>
      </w:r>
      <w:proofErr w:type="spellEnd"/>
      <w:r w:rsidRPr="004C2E5C">
        <w:t xml:space="preserve"> ja </w:t>
      </w:r>
      <w:proofErr w:type="spellStart"/>
      <w:r w:rsidRPr="004C2E5C">
        <w:t>glufosinaatille</w:t>
      </w:r>
      <w:proofErr w:type="spellEnd"/>
      <w:r w:rsidRPr="004C2E5C">
        <w:t xml:space="preserve"> maissa, joissa viljellään kyseistä torjunta-aineita sietävää muuntogeenistä kasvia, sekä siihen mahdollisesti liittyvät vakavat terveysvaikutukset;</w:t>
      </w:r>
    </w:p>
    <w:p w14:paraId="49694F25" w14:textId="77777777" w:rsidR="007318F1" w:rsidRPr="004C2E5C" w:rsidRDefault="007318F1" w:rsidP="00C8409F">
      <w:pPr>
        <w:pStyle w:val="NormalHanging12a"/>
        <w:widowControl/>
      </w:pPr>
      <w:r w:rsidRPr="004C2E5C">
        <w:t>O.</w:t>
      </w:r>
      <w:r w:rsidRPr="004C2E5C">
        <w:tab/>
        <w:t>toteaa, että komission täytäntöönpanopäätös sallisi sen, että unioniin tuodaan tuotteita, jotka eivät ole EU:n sääntöjen mukaisia, mikä asettaisi unionin viljelijät epäedulliseen kilpailuasemaan;</w:t>
      </w:r>
    </w:p>
    <w:p w14:paraId="680E1C79" w14:textId="77777777" w:rsidR="007318F1" w:rsidRPr="004C2E5C" w:rsidRDefault="007318F1" w:rsidP="00C8409F">
      <w:pPr>
        <w:pStyle w:val="NormalHanging12a"/>
        <w:widowControl/>
      </w:pPr>
      <w:r w:rsidRPr="004C2E5C">
        <w:t>P.</w:t>
      </w:r>
      <w:r w:rsidRPr="004C2E5C">
        <w:tab/>
        <w:t>ottaa huomioon, että EU:n maatalouden tulevaisuudesta käytävän strategisen vuoropuhelun päätelmissä</w:t>
      </w:r>
      <w:r w:rsidRPr="004C2E5C">
        <w:rPr>
          <w:rStyle w:val="FootnoteReference"/>
        </w:rPr>
        <w:footnoteReference w:id="10"/>
      </w:r>
      <w:r w:rsidRPr="004C2E5C">
        <w:t xml:space="preserve">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oikeudenmukaisemmat kauppasuhteet, jotka ovat johdonmukaisia terveellistä ympäristöä koskevien tavoitteiden kanssa, olivat yksi viljelijöiden keskeisistä vaatimuksista vuosien 2023 ja 2024 mielenosoituksissa;</w:t>
      </w:r>
    </w:p>
    <w:p w14:paraId="00674C97" w14:textId="77777777" w:rsidR="007318F1" w:rsidRPr="004C2E5C" w:rsidRDefault="007318F1" w:rsidP="00C8409F">
      <w:pPr>
        <w:pStyle w:val="NormalHanging12a"/>
        <w:widowControl/>
      </w:pPr>
      <w:r w:rsidRPr="004C2E5C">
        <w:t>Q.</w:t>
      </w:r>
      <w:r w:rsidRPr="004C2E5C">
        <w:tab/>
        <w:t>toteaa korostaneensa toistuvasti, että jatkuvan demokratiavajeen korjaamiseksi komission ei pitäisi antaa lupaa muuntogeenisille organismeille silloin, kun jäsenvaltiot eivät saavuta määräenemmistöä pysyvässä kasvi-, eläin-, elintarvike- ja rehukomiteassa tai muutoksenhakukomiteassa;</w:t>
      </w:r>
    </w:p>
    <w:p w14:paraId="15F1EF49" w14:textId="77777777" w:rsidR="007318F1" w:rsidRPr="004C2E5C" w:rsidRDefault="007318F1" w:rsidP="00C8409F">
      <w:pPr>
        <w:pStyle w:val="NormalHanging12a"/>
        <w:widowControl/>
      </w:pPr>
      <w:r w:rsidRPr="004C2E5C">
        <w:t>R.</w:t>
      </w:r>
      <w:r w:rsidRPr="004C2E5C">
        <w:tab/>
        <w:t>toteaa, että komissio jatkaa lupien myöntämistä muuntogeenisille organismeille, vaikka se itse myöntää demokraattisuuden puutteen, ja huolimatta jäsenvaltioiden tuen puuttumisesta ja parlamentin vastustuksesta;</w:t>
      </w:r>
    </w:p>
    <w:p w14:paraId="7D75805C" w14:textId="77777777" w:rsidR="007318F1" w:rsidRPr="004C2E5C" w:rsidRDefault="007318F1" w:rsidP="00C8409F">
      <w:pPr>
        <w:pStyle w:val="NormalHanging12a"/>
        <w:widowControl/>
      </w:pPr>
      <w:r w:rsidRPr="004C2E5C">
        <w:t>S.</w:t>
      </w:r>
      <w:r w:rsidRPr="004C2E5C">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1FCA4483" w14:textId="77777777" w:rsidR="007318F1" w:rsidRPr="004C2E5C" w:rsidRDefault="007318F1" w:rsidP="00C8409F">
      <w:pPr>
        <w:pStyle w:val="NormalHanging12a"/>
        <w:widowControl/>
      </w:pPr>
      <w:r w:rsidRPr="004C2E5C">
        <w:t>1.</w:t>
      </w:r>
      <w:r w:rsidRPr="004C2E5C">
        <w:tab/>
        <w:t>katsoo, että ehdotus komission täytäntöönpanopäätökseksi ylittää asetuksessa (EY) N:o 1829/2003 säädetyn täytäntöönpanovallan;</w:t>
      </w:r>
    </w:p>
    <w:p w14:paraId="2DB321A5" w14:textId="77777777" w:rsidR="007318F1" w:rsidRPr="004C2E5C" w:rsidRDefault="007318F1" w:rsidP="00C8409F">
      <w:pPr>
        <w:pStyle w:val="NormalHanging12a"/>
        <w:widowControl/>
      </w:pPr>
      <w:r w:rsidRPr="004C2E5C">
        <w:t>2.</w:t>
      </w:r>
      <w:r w:rsidRPr="004C2E5C">
        <w:tab/>
        <w:t xml:space="preserve">katsoo, että ehdotus komission täytäntöönpanopäätökseksi ei ole unionin oikeuden mukainen, sillä se on yhteensopimaton asetuksen (EY) N:o 1829/2003 tavoitteen </w:t>
      </w:r>
      <w:r w:rsidRPr="004C2E5C">
        <w:lastRenderedPageBreak/>
        <w:t>kanssa; toteaa, että kyseisen asetuksen tavoitteena on Euroopan parlamentin ja neuvoston asetuksessa (EY) N:o 178/2002</w:t>
      </w:r>
      <w:r w:rsidRPr="004C2E5C">
        <w:rPr>
          <w:rStyle w:val="FootnoteReference"/>
        </w:rPr>
        <w:footnoteReference w:id="11"/>
      </w:r>
      <w:r w:rsidRPr="004C2E5C">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14:paraId="4C1E786E" w14:textId="77777777" w:rsidR="007318F1" w:rsidRPr="004C2E5C" w:rsidRDefault="007318F1" w:rsidP="00C8409F">
      <w:pPr>
        <w:pStyle w:val="NormalHanging12a"/>
        <w:widowControl/>
      </w:pPr>
      <w:r w:rsidRPr="004C2E5C">
        <w:t>3.</w:t>
      </w:r>
      <w:r w:rsidRPr="004C2E5C">
        <w:tab/>
        <w:t>pyytää komissiota peruuttamaan täytäntöönpanopäätöksen;</w:t>
      </w:r>
    </w:p>
    <w:p w14:paraId="47FEE45C" w14:textId="77777777" w:rsidR="007318F1" w:rsidRPr="004C2E5C" w:rsidRDefault="007318F1" w:rsidP="00C8409F">
      <w:pPr>
        <w:pStyle w:val="NormalHanging12a"/>
        <w:widowControl/>
      </w:pPr>
      <w:r w:rsidRPr="004C2E5C">
        <w:t>4.</w:t>
      </w:r>
      <w:r w:rsidRPr="004C2E5C">
        <w:tab/>
        <w:t>pyytää komissiota olemaan myöntämättä lupaa muuntogeeniselle sokerijuurikkaalle, koska biologiseen monimuotoisuuteen, elintarviketurvallisuuteen, viljelijöiden toimeentuloon ja eläinten terveyteen kohdistuvista pitkän aikavälin vaikutuksista ei ole riittävästi yhteinen terveys -mallin edellyttämää näyttöä;</w:t>
      </w:r>
    </w:p>
    <w:p w14:paraId="188B7371" w14:textId="77777777" w:rsidR="007318F1" w:rsidRPr="004C2E5C" w:rsidRDefault="007318F1" w:rsidP="00C8409F">
      <w:pPr>
        <w:pStyle w:val="NormalHanging12a"/>
        <w:widowControl/>
      </w:pPr>
      <w:r w:rsidRPr="004C2E5C">
        <w:t>5.</w:t>
      </w:r>
      <w:r w:rsidRPr="004C2E5C">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p>
    <w:p w14:paraId="38D87D9C" w14:textId="77777777" w:rsidR="007318F1" w:rsidRPr="004C2E5C" w:rsidRDefault="007318F1" w:rsidP="00C8409F">
      <w:pPr>
        <w:pStyle w:val="NormalHanging12a"/>
        <w:widowControl/>
      </w:pPr>
      <w:r w:rsidRPr="004C2E5C">
        <w:t>6.</w:t>
      </w:r>
      <w:r w:rsidRPr="004C2E5C">
        <w:tab/>
        <w:t xml:space="preserve">korostaa tässä yhteydessä, että luvan myöntäminen minkä tahansa sellaisen muuntogeenisen kasvin tuonnille elintarvike- tai rehukäyttöön, josta on tehty sietokykyinen unionissa kielletyille rikkakasvien torjunta-aineille, kuten </w:t>
      </w:r>
      <w:proofErr w:type="spellStart"/>
      <w:r w:rsidRPr="004C2E5C">
        <w:t>glufosinaatille</w:t>
      </w:r>
      <w:proofErr w:type="spellEnd"/>
      <w:r w:rsidRPr="004C2E5C">
        <w:t>, on ristiriidassa muun muassa biologista monimuotoisuutta koskevasta YK:n yleissopimuksesta ja YK:n kestävän kehityksen tavoitteista, mukaan lukien Kunmingin-Montrealin maailmanlaajuinen luonnon monimuotoisuuskehys, johtuvien unionin kansainvälisten sitoumusten kanssa ja johtaa unionin viljelijöiden kannalta epätasapuolisiin toimintaedellytyksiin;</w:t>
      </w:r>
    </w:p>
    <w:p w14:paraId="659742CC" w14:textId="5B011CDD" w:rsidR="00E365E1" w:rsidRPr="004C2E5C" w:rsidRDefault="007318F1" w:rsidP="00C8409F">
      <w:pPr>
        <w:pStyle w:val="NormalHanging12a"/>
        <w:widowControl/>
      </w:pPr>
      <w:r w:rsidRPr="004C2E5C">
        <w:t>7.</w:t>
      </w:r>
      <w:r w:rsidRPr="004C2E5C">
        <w:tab/>
        <w:t>kehottaa puhemiestä välittämään tämän päätöslauselman neuvostolle ja komissiolle sekä jäsenvaltioiden hallituksille ja parlamenteille.</w:t>
      </w:r>
    </w:p>
    <w:sectPr w:rsidR="00E365E1" w:rsidRPr="004C2E5C" w:rsidSect="00A4029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4F2B9" w14:textId="77777777" w:rsidR="00AC3450" w:rsidRPr="00A40298" w:rsidRDefault="00AC3450">
      <w:r w:rsidRPr="00A40298">
        <w:separator/>
      </w:r>
    </w:p>
  </w:endnote>
  <w:endnote w:type="continuationSeparator" w:id="0">
    <w:p w14:paraId="621590EA" w14:textId="77777777" w:rsidR="00AC3450" w:rsidRPr="00A40298" w:rsidRDefault="00AC3450">
      <w:r w:rsidRPr="00A40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1A8AA" w14:textId="77777777" w:rsidR="00AC3450" w:rsidRPr="00A40298" w:rsidRDefault="00AC3450">
      <w:r w:rsidRPr="00A40298">
        <w:separator/>
      </w:r>
    </w:p>
  </w:footnote>
  <w:footnote w:type="continuationSeparator" w:id="0">
    <w:p w14:paraId="7D945421" w14:textId="77777777" w:rsidR="00AC3450" w:rsidRPr="00A40298" w:rsidRDefault="00AC3450">
      <w:r w:rsidRPr="00A40298">
        <w:continuationSeparator/>
      </w:r>
    </w:p>
  </w:footnote>
  <w:footnote w:id="1">
    <w:p w14:paraId="0E17ED92" w14:textId="0BDD17EA" w:rsidR="007318F1" w:rsidRPr="00933426" w:rsidRDefault="007318F1" w:rsidP="00A40298">
      <w:pPr>
        <w:pStyle w:val="FootnoteText"/>
        <w:suppressAutoHyphens/>
        <w:ind w:left="567" w:hanging="567"/>
        <w:rPr>
          <w:sz w:val="24"/>
          <w:lang w:val="fr-BE"/>
        </w:rPr>
      </w:pPr>
      <w:r w:rsidRPr="00A40298">
        <w:rPr>
          <w:rStyle w:val="FootnoteReference"/>
          <w:sz w:val="24"/>
          <w:lang w:val="fi-FI"/>
        </w:rPr>
        <w:footnoteRef/>
      </w:r>
      <w:r w:rsidR="00A40298" w:rsidRPr="00933426">
        <w:rPr>
          <w:sz w:val="24"/>
          <w:lang w:val="fr-BE"/>
        </w:rPr>
        <w:t xml:space="preserve"> </w:t>
      </w:r>
      <w:r w:rsidR="00A40298" w:rsidRPr="00933426">
        <w:rPr>
          <w:sz w:val="24"/>
          <w:lang w:val="fr-BE"/>
        </w:rPr>
        <w:tab/>
      </w:r>
      <w:r w:rsidRPr="00933426">
        <w:rPr>
          <w:sz w:val="24"/>
          <w:lang w:val="fr-BE"/>
        </w:rPr>
        <w:t xml:space="preserve">EUVL L 268, 18.10.2003, s. 1, </w:t>
      </w:r>
      <w:proofErr w:type="gramStart"/>
      <w:r w:rsidRPr="00933426">
        <w:rPr>
          <w:sz w:val="24"/>
          <w:lang w:val="fr-BE"/>
        </w:rPr>
        <w:t>ELI:</w:t>
      </w:r>
      <w:proofErr w:type="gramEnd"/>
      <w:r w:rsidRPr="00933426">
        <w:rPr>
          <w:sz w:val="24"/>
          <w:lang w:val="fr-BE"/>
        </w:rPr>
        <w:t> </w:t>
      </w:r>
      <w:hyperlink r:id="rId1" w:tooltip="Avaa asiakirjan ELI URI -tunnisteen kautta." w:history="1">
        <w:r w:rsidRPr="00933426">
          <w:rPr>
            <w:rStyle w:val="Hyperlink"/>
            <w:sz w:val="24"/>
            <w:lang w:val="fr-BE"/>
          </w:rPr>
          <w:t>http://data.europa.eu/eli/reg/2003/1829/oj</w:t>
        </w:r>
      </w:hyperlink>
      <w:r w:rsidRPr="00933426">
        <w:rPr>
          <w:rStyle w:val="Hyperlink"/>
          <w:sz w:val="24"/>
          <w:lang w:val="fr-BE"/>
        </w:rPr>
        <w:t>.</w:t>
      </w:r>
    </w:p>
  </w:footnote>
  <w:footnote w:id="2">
    <w:p w14:paraId="4701B994" w14:textId="47D5B631" w:rsidR="007318F1" w:rsidRPr="00A40298" w:rsidRDefault="007318F1" w:rsidP="00A40298">
      <w:pPr>
        <w:pStyle w:val="FootnoteText"/>
        <w:ind w:left="567" w:hanging="567"/>
        <w:rPr>
          <w:sz w:val="24"/>
          <w:lang w:val="fi-FI"/>
        </w:rPr>
      </w:pPr>
      <w:r w:rsidRPr="00A40298">
        <w:rPr>
          <w:rStyle w:val="FootnoteReference"/>
          <w:sz w:val="24"/>
          <w:lang w:val="fi-FI"/>
        </w:rPr>
        <w:footnoteRef/>
      </w:r>
      <w:r w:rsidR="00A40298" w:rsidRPr="00A40298">
        <w:rPr>
          <w:sz w:val="24"/>
          <w:lang w:val="fi-FI"/>
        </w:rPr>
        <w:t xml:space="preserve"> </w:t>
      </w:r>
      <w:r w:rsidR="00A40298" w:rsidRPr="00A40298">
        <w:rPr>
          <w:sz w:val="24"/>
          <w:lang w:val="fi-FI"/>
        </w:rPr>
        <w:tab/>
      </w:r>
      <w:r w:rsidRPr="00A40298">
        <w:rPr>
          <w:sz w:val="24"/>
          <w:lang w:val="fi-FI"/>
        </w:rPr>
        <w:t xml:space="preserve">EUVL L 55, 28.2.2011, s. 13, ELI: </w:t>
      </w:r>
      <w:r w:rsidR="00F92B51">
        <w:fldChar w:fldCharType="begin"/>
      </w:r>
      <w:r w:rsidR="00F92B51" w:rsidRPr="00F92B51">
        <w:rPr>
          <w:lang w:val="fi-FI"/>
        </w:rPr>
        <w:instrText>HYPERLINK "http://data.europa.eu/eli/reg/2011/182/oj"</w:instrText>
      </w:r>
      <w:r w:rsidR="00F92B51">
        <w:fldChar w:fldCharType="separate"/>
      </w:r>
      <w:r w:rsidRPr="00A40298">
        <w:rPr>
          <w:rStyle w:val="Hyperlink"/>
          <w:sz w:val="24"/>
          <w:lang w:val="fi-FI"/>
        </w:rPr>
        <w:t>http://data.europa.eu/eli/reg/2011/182/oj</w:t>
      </w:r>
      <w:r w:rsidR="00F92B51">
        <w:rPr>
          <w:rStyle w:val="Hyperlink"/>
          <w:sz w:val="24"/>
          <w:lang w:val="fi-FI"/>
        </w:rPr>
        <w:fldChar w:fldCharType="end"/>
      </w:r>
      <w:r w:rsidRPr="00A40298">
        <w:rPr>
          <w:sz w:val="24"/>
          <w:lang w:val="fi-FI"/>
        </w:rPr>
        <w:t>.</w:t>
      </w:r>
    </w:p>
  </w:footnote>
  <w:footnote w:id="3">
    <w:p w14:paraId="28393DCE" w14:textId="679507A3" w:rsidR="007318F1" w:rsidRPr="00A40298" w:rsidRDefault="007318F1" w:rsidP="00A40298">
      <w:pPr>
        <w:pStyle w:val="FootnoteText"/>
        <w:suppressAutoHyphens/>
        <w:ind w:left="567" w:hanging="567"/>
        <w:rPr>
          <w:sz w:val="24"/>
          <w:lang w:val="fi-FI"/>
        </w:rPr>
      </w:pPr>
      <w:r w:rsidRPr="00A40298">
        <w:rPr>
          <w:rStyle w:val="FootnoteReference"/>
          <w:sz w:val="24"/>
          <w:lang w:val="fi-FI"/>
        </w:rPr>
        <w:footnoteRef/>
      </w:r>
      <w:r w:rsidR="00A40298" w:rsidRPr="00A40298">
        <w:rPr>
          <w:sz w:val="24"/>
          <w:lang w:val="fi-FI"/>
        </w:rPr>
        <w:t xml:space="preserve"> </w:t>
      </w:r>
      <w:r w:rsidR="00A40298" w:rsidRPr="00A40298">
        <w:rPr>
          <w:sz w:val="24"/>
          <w:lang w:val="fi-FI"/>
        </w:rPr>
        <w:tab/>
      </w:r>
      <w:r w:rsidRPr="00A40298">
        <w:rPr>
          <w:sz w:val="24"/>
          <w:lang w:val="fi-FI"/>
        </w:rPr>
        <w:t xml:space="preserve">Muuntogeenisiä organismeja käsittelevän </w:t>
      </w:r>
      <w:proofErr w:type="spellStart"/>
      <w:r w:rsidRPr="00A40298">
        <w:rPr>
          <w:sz w:val="24"/>
          <w:lang w:val="fi-FI"/>
        </w:rPr>
        <w:t>EFSAn</w:t>
      </w:r>
      <w:proofErr w:type="spellEnd"/>
      <w:r w:rsidRPr="00A40298">
        <w:rPr>
          <w:sz w:val="24"/>
          <w:lang w:val="fi-FI"/>
        </w:rPr>
        <w:t xml:space="preserve"> tiedelautakunnan tieteellinen lausunto ”</w:t>
      </w:r>
      <w:proofErr w:type="spellStart"/>
      <w:r w:rsidRPr="00A40298">
        <w:rPr>
          <w:sz w:val="24"/>
          <w:lang w:val="fi-FI"/>
        </w:rPr>
        <w:t>Assessment</w:t>
      </w:r>
      <w:proofErr w:type="spellEnd"/>
      <w:r w:rsidRPr="00A40298">
        <w:rPr>
          <w:sz w:val="24"/>
          <w:lang w:val="fi-FI"/>
        </w:rPr>
        <w:t xml:space="preserve"> of </w:t>
      </w:r>
      <w:proofErr w:type="spellStart"/>
      <w:r w:rsidRPr="00A40298">
        <w:rPr>
          <w:sz w:val="24"/>
          <w:lang w:val="fi-FI"/>
        </w:rPr>
        <w:t>genetically</w:t>
      </w:r>
      <w:proofErr w:type="spellEnd"/>
      <w:r w:rsidRPr="00A40298">
        <w:rPr>
          <w:sz w:val="24"/>
          <w:lang w:val="fi-FI"/>
        </w:rPr>
        <w:t xml:space="preserve"> </w:t>
      </w:r>
      <w:proofErr w:type="spellStart"/>
      <w:r w:rsidRPr="00A40298">
        <w:rPr>
          <w:sz w:val="24"/>
          <w:lang w:val="fi-FI"/>
        </w:rPr>
        <w:t>modified</w:t>
      </w:r>
      <w:proofErr w:type="spellEnd"/>
      <w:r w:rsidRPr="00A40298">
        <w:rPr>
          <w:sz w:val="24"/>
          <w:lang w:val="fi-FI"/>
        </w:rPr>
        <w:t xml:space="preserve"> </w:t>
      </w:r>
      <w:proofErr w:type="spellStart"/>
      <w:r w:rsidRPr="00A40298">
        <w:rPr>
          <w:sz w:val="24"/>
          <w:lang w:val="fi-FI"/>
        </w:rPr>
        <w:t>sugar</w:t>
      </w:r>
      <w:proofErr w:type="spellEnd"/>
      <w:r w:rsidRPr="00A40298">
        <w:rPr>
          <w:sz w:val="24"/>
          <w:lang w:val="fi-FI"/>
        </w:rPr>
        <w:t xml:space="preserve"> </w:t>
      </w:r>
      <w:proofErr w:type="spellStart"/>
      <w:r w:rsidRPr="00A40298">
        <w:rPr>
          <w:sz w:val="24"/>
          <w:lang w:val="fi-FI"/>
        </w:rPr>
        <w:t>beet</w:t>
      </w:r>
      <w:proofErr w:type="spellEnd"/>
      <w:r w:rsidRPr="00A40298">
        <w:rPr>
          <w:sz w:val="24"/>
          <w:lang w:val="fi-FI"/>
        </w:rPr>
        <w:t xml:space="preserve"> KWS20-1 (</w:t>
      </w:r>
      <w:proofErr w:type="spellStart"/>
      <w:r w:rsidRPr="00A40298">
        <w:rPr>
          <w:sz w:val="24"/>
          <w:lang w:val="fi-FI"/>
        </w:rPr>
        <w:t>application</w:t>
      </w:r>
      <w:proofErr w:type="spellEnd"/>
      <w:r w:rsidRPr="00A40298">
        <w:rPr>
          <w:sz w:val="24"/>
          <w:lang w:val="fi-FI"/>
        </w:rPr>
        <w:t xml:space="preserve"> GMFF-2023-14732)”, EFSA Journal 2025;23(5):9381. </w:t>
      </w:r>
      <w:r w:rsidR="00F92B51">
        <w:fldChar w:fldCharType="begin"/>
      </w:r>
      <w:r w:rsidR="00F92B51" w:rsidRPr="00F92B51">
        <w:rPr>
          <w:lang w:val="fi-FI"/>
        </w:rPr>
        <w:instrText>HYPERLINK "https://doi.org/10.2903/j.efsa.2025.9381"</w:instrText>
      </w:r>
      <w:r w:rsidR="00F92B51">
        <w:fldChar w:fldCharType="separate"/>
      </w:r>
      <w:r w:rsidRPr="00A40298">
        <w:rPr>
          <w:rStyle w:val="Hyperlink"/>
          <w:sz w:val="24"/>
          <w:lang w:val="fi-FI"/>
        </w:rPr>
        <w:t>https://doi.org/10.2903/j.efsa.2025.9381</w:t>
      </w:r>
      <w:r w:rsidR="00F92B51">
        <w:rPr>
          <w:rStyle w:val="Hyperlink"/>
          <w:sz w:val="24"/>
          <w:lang w:val="fi-FI"/>
        </w:rPr>
        <w:fldChar w:fldCharType="end"/>
      </w:r>
      <w:r w:rsidRPr="00A40298">
        <w:rPr>
          <w:sz w:val="24"/>
          <w:lang w:val="fi-FI"/>
        </w:rPr>
        <w:t>.</w:t>
      </w:r>
    </w:p>
  </w:footnote>
  <w:footnote w:id="4">
    <w:p w14:paraId="3704D5E9" w14:textId="17C3818C" w:rsidR="007318F1" w:rsidRPr="00A40298" w:rsidRDefault="007318F1" w:rsidP="00A40298">
      <w:pPr>
        <w:pStyle w:val="FootnoteText"/>
        <w:suppressAutoHyphens/>
        <w:ind w:left="567" w:hanging="567"/>
        <w:rPr>
          <w:color w:val="000000" w:themeColor="text1"/>
          <w:sz w:val="24"/>
          <w:vertAlign w:val="superscript"/>
          <w:lang w:val="fi-FI"/>
        </w:rPr>
      </w:pPr>
      <w:r w:rsidRPr="00A40298">
        <w:rPr>
          <w:rStyle w:val="FootnoteReference"/>
          <w:sz w:val="24"/>
          <w:lang w:val="fi-FI"/>
        </w:rPr>
        <w:footnoteRef/>
      </w:r>
      <w:r w:rsidR="00A40298" w:rsidRPr="00A40298">
        <w:rPr>
          <w:sz w:val="24"/>
          <w:lang w:val="fi-FI"/>
        </w:rPr>
        <w:t xml:space="preserve"> </w:t>
      </w:r>
      <w:r w:rsidR="00A40298" w:rsidRPr="00A40298">
        <w:rPr>
          <w:sz w:val="24"/>
          <w:lang w:val="fi-FI"/>
        </w:rPr>
        <w:tab/>
      </w:r>
      <w:r w:rsidRPr="00A40298">
        <w:rPr>
          <w:sz w:val="24"/>
          <w:lang w:val="fi-FI"/>
        </w:rPr>
        <w:t>Kahdeksannella vaalikaudella parlamentti hyväksyi 36 päätöslauselmaa ja yhdeksännellä vaalikaudella 38 päätöslauselmaa, joissa vastustettiin lupien myöntämistä muuntogeenisille organismeille.</w:t>
      </w:r>
      <w:r w:rsidRPr="00A40298">
        <w:rPr>
          <w:color w:val="000000" w:themeColor="text1"/>
          <w:sz w:val="24"/>
          <w:lang w:val="fi-FI"/>
        </w:rPr>
        <w:t xml:space="preserve"> Lisäksi parlamentti on hyväksynyt kymmenennellä vaalikaudella seuraavat päätöslauselmat:</w:t>
      </w:r>
    </w:p>
    <w:p w14:paraId="4F8F2FD3" w14:textId="424D9C92" w:rsidR="007318F1" w:rsidRPr="00A40298" w:rsidRDefault="00A40298" w:rsidP="00A40298">
      <w:pPr>
        <w:pStyle w:val="FootnoteText"/>
        <w:suppressAutoHyphens/>
        <w:ind w:left="567" w:hanging="567"/>
        <w:rPr>
          <w:color w:val="000000" w:themeColor="text1"/>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C/2025/1798, 4.4.2025, ELI: </w:t>
      </w:r>
      <w:r w:rsidR="00F92B51">
        <w:fldChar w:fldCharType="begin"/>
      </w:r>
      <w:r w:rsidR="00F92B51" w:rsidRPr="00F92B51">
        <w:rPr>
          <w:lang w:val="fi-FI"/>
        </w:rPr>
        <w:instrText>HYPERLINK "http://data.europa.eu/eli/C/2025/1797/oj"</w:instrText>
      </w:r>
      <w:r w:rsidR="00F92B51">
        <w:fldChar w:fldCharType="separate"/>
      </w:r>
      <w:r w:rsidR="007318F1" w:rsidRPr="00A40298">
        <w:rPr>
          <w:rStyle w:val="Hyperlink"/>
          <w:sz w:val="24"/>
          <w:lang w:val="fi-FI"/>
        </w:rPr>
        <w:t>http://data.europa.eu/eli/C/2025/1797/oj</w:t>
      </w:r>
      <w:r w:rsidR="00F92B51">
        <w:rPr>
          <w:rStyle w:val="Hyperlink"/>
          <w:sz w:val="24"/>
          <w:lang w:val="fi-FI"/>
        </w:rPr>
        <w:fldChar w:fldCharType="end"/>
      </w:r>
      <w:r w:rsidR="007318F1" w:rsidRPr="00A40298">
        <w:rPr>
          <w:color w:val="000000" w:themeColor="text1"/>
          <w:sz w:val="24"/>
          <w:lang w:val="fi-FI"/>
        </w:rPr>
        <w:t>).</w:t>
      </w:r>
    </w:p>
    <w:p w14:paraId="432A85DF" w14:textId="367C562C" w:rsidR="007318F1" w:rsidRPr="00A40298" w:rsidRDefault="00A40298" w:rsidP="00A40298">
      <w:pPr>
        <w:pStyle w:val="FootnoteText"/>
        <w:suppressAutoHyphens/>
        <w:ind w:left="567" w:hanging="567"/>
        <w:rPr>
          <w:color w:val="000000" w:themeColor="text1"/>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t xml:space="preserve">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r w:rsidR="00F92B51">
        <w:fldChar w:fldCharType="begin"/>
      </w:r>
      <w:r w:rsidR="00F92B51" w:rsidRPr="00F92B51">
        <w:rPr>
          <w:lang w:val="fi-FI"/>
        </w:rPr>
        <w:instrText>HYPERLINK "http://data.europa.eu/eli/C/2025/1798/oj"</w:instrText>
      </w:r>
      <w:r w:rsidR="00F92B51">
        <w:fldChar w:fldCharType="separate"/>
      </w:r>
      <w:r w:rsidR="007318F1" w:rsidRPr="00A40298">
        <w:rPr>
          <w:rStyle w:val="Hyperlink"/>
          <w:sz w:val="24"/>
          <w:lang w:val="fi-FI"/>
        </w:rPr>
        <w:t>http://data.europa.eu/eli/C/2025/1798/oj</w:t>
      </w:r>
      <w:r w:rsidR="00F92B51">
        <w:rPr>
          <w:rStyle w:val="Hyperlink"/>
          <w:sz w:val="24"/>
          <w:lang w:val="fi-FI"/>
        </w:rPr>
        <w:fldChar w:fldCharType="end"/>
      </w:r>
      <w:r w:rsidR="007318F1" w:rsidRPr="00A40298">
        <w:rPr>
          <w:color w:val="000000" w:themeColor="text1"/>
          <w:sz w:val="24"/>
          <w:lang w:val="fi-FI"/>
        </w:rPr>
        <w:t>).</w:t>
      </w:r>
    </w:p>
    <w:p w14:paraId="515E9C25" w14:textId="5B029440" w:rsidR="007318F1" w:rsidRPr="00A40298" w:rsidRDefault="00A40298" w:rsidP="00A40298">
      <w:pPr>
        <w:pStyle w:val="FootnoteText"/>
        <w:suppressAutoHyphens/>
        <w:ind w:left="567" w:hanging="567"/>
        <w:rPr>
          <w:color w:val="000000" w:themeColor="text1"/>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r w:rsidR="00F92B51">
        <w:fldChar w:fldCharType="begin"/>
      </w:r>
      <w:r w:rsidR="00F92B51" w:rsidRPr="00F92B51">
        <w:rPr>
          <w:lang w:val="fi-FI"/>
        </w:rPr>
        <w:instrText>HYPERLINK "http://data.europa.eu/eli/C/2025/1799/oj"</w:instrText>
      </w:r>
      <w:r w:rsidR="00F92B51">
        <w:fldChar w:fldCharType="separate"/>
      </w:r>
      <w:r w:rsidR="007318F1" w:rsidRPr="00A40298">
        <w:rPr>
          <w:rStyle w:val="Hyperlink"/>
          <w:sz w:val="24"/>
          <w:lang w:val="fi-FI"/>
        </w:rPr>
        <w:t>http://data.europa.eu/eli/C/2025/1799/oj</w:t>
      </w:r>
      <w:r w:rsidR="00F92B51">
        <w:rPr>
          <w:rStyle w:val="Hyperlink"/>
          <w:sz w:val="24"/>
          <w:lang w:val="fi-FI"/>
        </w:rPr>
        <w:fldChar w:fldCharType="end"/>
      </w:r>
      <w:r w:rsidR="007318F1" w:rsidRPr="00A40298">
        <w:rPr>
          <w:color w:val="000000" w:themeColor="text1"/>
          <w:sz w:val="24"/>
          <w:lang w:val="fi-FI"/>
        </w:rPr>
        <w:t>).</w:t>
      </w:r>
    </w:p>
    <w:p w14:paraId="35991301" w14:textId="0CFE32EB" w:rsidR="007318F1" w:rsidRPr="00A40298" w:rsidRDefault="00A40298" w:rsidP="00A40298">
      <w:pPr>
        <w:pStyle w:val="FootnoteText"/>
        <w:ind w:left="567" w:hanging="567"/>
        <w:rPr>
          <w:color w:val="000000" w:themeColor="text1"/>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r w:rsidR="00F92B51">
        <w:fldChar w:fldCharType="begin"/>
      </w:r>
      <w:r w:rsidR="00F92B51" w:rsidRPr="00F92B51">
        <w:rPr>
          <w:lang w:val="fi-FI"/>
        </w:rPr>
        <w:instrText>HYPERLINK "http://data.europa.eu/eli/C/2025/1800/oj"</w:instrText>
      </w:r>
      <w:r w:rsidR="00F92B51">
        <w:fldChar w:fldCharType="separate"/>
      </w:r>
      <w:r w:rsidR="007318F1" w:rsidRPr="00A40298">
        <w:rPr>
          <w:rStyle w:val="Hyperlink"/>
          <w:sz w:val="24"/>
          <w:lang w:val="fi-FI"/>
        </w:rPr>
        <w:t>http://data.europa.eu/eli/C/2025/1800/oj</w:t>
      </w:r>
      <w:r w:rsidR="00F92B51">
        <w:rPr>
          <w:rStyle w:val="Hyperlink"/>
          <w:sz w:val="24"/>
          <w:lang w:val="fi-FI"/>
        </w:rPr>
        <w:fldChar w:fldCharType="end"/>
      </w:r>
      <w:r w:rsidR="007318F1" w:rsidRPr="00A40298">
        <w:rPr>
          <w:color w:val="000000" w:themeColor="text1"/>
          <w:sz w:val="24"/>
          <w:lang w:val="fi-FI"/>
        </w:rPr>
        <w:t>).</w:t>
      </w:r>
    </w:p>
    <w:p w14:paraId="4C7AE5DA" w14:textId="0EF428C8" w:rsidR="007318F1" w:rsidRPr="00A40298" w:rsidRDefault="00A40298" w:rsidP="00A40298">
      <w:pPr>
        <w:pStyle w:val="FootnoteText"/>
        <w:ind w:left="567" w:hanging="567"/>
        <w:rPr>
          <w:color w:val="000000" w:themeColor="text1"/>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t xml:space="preserve">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r w:rsidR="00F92B51">
        <w:fldChar w:fldCharType="begin"/>
      </w:r>
      <w:r w:rsidR="00F92B51" w:rsidRPr="00F92B51">
        <w:rPr>
          <w:lang w:val="fi-FI"/>
        </w:rPr>
        <w:instrText>HYPERLINK "http://data.europa.eu/eli/C/2025/1801/oj"</w:instrText>
      </w:r>
      <w:r w:rsidR="00F92B51">
        <w:fldChar w:fldCharType="separate"/>
      </w:r>
      <w:r w:rsidR="007318F1" w:rsidRPr="00A40298">
        <w:rPr>
          <w:rStyle w:val="Hyperlink"/>
          <w:sz w:val="24"/>
          <w:lang w:val="fi-FI"/>
        </w:rPr>
        <w:t>http://data.europa.eu/eli/C/2025/1801/oj</w:t>
      </w:r>
      <w:r w:rsidR="00F92B51">
        <w:rPr>
          <w:rStyle w:val="Hyperlink"/>
          <w:sz w:val="24"/>
          <w:lang w:val="fi-FI"/>
        </w:rPr>
        <w:fldChar w:fldCharType="end"/>
      </w:r>
      <w:r w:rsidR="007318F1" w:rsidRPr="00A40298">
        <w:rPr>
          <w:color w:val="000000" w:themeColor="text1"/>
          <w:sz w:val="24"/>
          <w:lang w:val="fi-FI"/>
        </w:rPr>
        <w:t>).</w:t>
      </w:r>
    </w:p>
    <w:p w14:paraId="21D0C9E4" w14:textId="47CD381A" w:rsidR="007318F1" w:rsidRPr="00A40298" w:rsidRDefault="00A40298" w:rsidP="00A40298">
      <w:pPr>
        <w:pStyle w:val="FootnoteText"/>
        <w:ind w:left="567" w:hanging="567"/>
        <w:rPr>
          <w:color w:val="000000" w:themeColor="text1"/>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t xml:space="preserve">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r w:rsidR="00F92B51">
        <w:fldChar w:fldCharType="begin"/>
      </w:r>
      <w:r w:rsidR="00F92B51" w:rsidRPr="00F92B51">
        <w:rPr>
          <w:lang w:val="fi-FI"/>
        </w:rPr>
        <w:instrText>HYPERLINK "http://data.europa.eu/eli/C/2025/1802/oj"</w:instrText>
      </w:r>
      <w:r w:rsidR="00F92B51">
        <w:fldChar w:fldCharType="separate"/>
      </w:r>
      <w:r w:rsidR="007318F1" w:rsidRPr="00A40298">
        <w:rPr>
          <w:rStyle w:val="Hyperlink"/>
          <w:sz w:val="24"/>
          <w:lang w:val="fi-FI"/>
        </w:rPr>
        <w:t>http://data.europa.eu/eli/C/2025/1802/oj</w:t>
      </w:r>
      <w:r w:rsidR="00F92B51">
        <w:rPr>
          <w:rStyle w:val="Hyperlink"/>
          <w:sz w:val="24"/>
          <w:lang w:val="fi-FI"/>
        </w:rPr>
        <w:fldChar w:fldCharType="end"/>
      </w:r>
      <w:r w:rsidR="007318F1" w:rsidRPr="00A40298">
        <w:rPr>
          <w:color w:val="000000" w:themeColor="text1"/>
          <w:sz w:val="24"/>
          <w:lang w:val="fi-FI"/>
        </w:rPr>
        <w:t>).</w:t>
      </w:r>
    </w:p>
    <w:p w14:paraId="61DE06AB" w14:textId="26EE272C" w:rsidR="007318F1" w:rsidRPr="00A40298" w:rsidRDefault="00A40298" w:rsidP="00A40298">
      <w:pPr>
        <w:pStyle w:val="FootnoteText"/>
        <w:ind w:left="567" w:hanging="567"/>
        <w:rPr>
          <w:color w:val="000000" w:themeColor="text1"/>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t xml:space="preserve">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r w:rsidR="00F92B51">
        <w:fldChar w:fldCharType="begin"/>
      </w:r>
      <w:r w:rsidR="00F92B51" w:rsidRPr="00F92B51">
        <w:rPr>
          <w:lang w:val="fi-FI"/>
        </w:rPr>
        <w:instrText>HYPERLINK "http://data.europa.eu/eli/C/2025/1803/oj"</w:instrText>
      </w:r>
      <w:r w:rsidR="00F92B51">
        <w:fldChar w:fldCharType="separate"/>
      </w:r>
      <w:r w:rsidR="007318F1" w:rsidRPr="00A40298">
        <w:rPr>
          <w:rStyle w:val="Hyperlink"/>
          <w:sz w:val="24"/>
          <w:lang w:val="fi-FI"/>
        </w:rPr>
        <w:t>http://data.europa.eu/eli/C/2025/1803/oj</w:t>
      </w:r>
      <w:r w:rsidR="00F92B51">
        <w:rPr>
          <w:rStyle w:val="Hyperlink"/>
          <w:sz w:val="24"/>
          <w:lang w:val="fi-FI"/>
        </w:rPr>
        <w:fldChar w:fldCharType="end"/>
      </w:r>
      <w:r w:rsidR="007318F1" w:rsidRPr="00A40298">
        <w:rPr>
          <w:color w:val="000000" w:themeColor="text1"/>
          <w:sz w:val="24"/>
          <w:lang w:val="fi-FI"/>
        </w:rPr>
        <w:t>).</w:t>
      </w:r>
    </w:p>
    <w:p w14:paraId="1DB2BBF8" w14:textId="196181C7" w:rsidR="007318F1" w:rsidRPr="00A40298" w:rsidRDefault="00A40298" w:rsidP="00A40298">
      <w:pPr>
        <w:pStyle w:val="FootnoteText"/>
        <w:ind w:left="567" w:hanging="567"/>
        <w:rPr>
          <w:color w:val="000000" w:themeColor="text1"/>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t xml:space="preserve">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r w:rsidR="00F92B51">
        <w:fldChar w:fldCharType="begin"/>
      </w:r>
      <w:r w:rsidR="00F92B51" w:rsidRPr="00F92B51">
        <w:rPr>
          <w:lang w:val="fi-FI"/>
        </w:rPr>
        <w:instrText>HYPERLINK "http://data.europa.eu/eli/C/2025/1804/oj"</w:instrText>
      </w:r>
      <w:r w:rsidR="00F92B51">
        <w:fldChar w:fldCharType="separate"/>
      </w:r>
      <w:r w:rsidR="007318F1" w:rsidRPr="00A40298">
        <w:rPr>
          <w:rStyle w:val="Hyperlink"/>
          <w:sz w:val="24"/>
          <w:lang w:val="fi-FI"/>
        </w:rPr>
        <w:t>http://data.europa.eu/eli/C/2025/1804/oj</w:t>
      </w:r>
      <w:r w:rsidR="00F92B51">
        <w:rPr>
          <w:rStyle w:val="Hyperlink"/>
          <w:sz w:val="24"/>
          <w:lang w:val="fi-FI"/>
        </w:rPr>
        <w:fldChar w:fldCharType="end"/>
      </w:r>
      <w:r w:rsidR="007318F1" w:rsidRPr="00A40298">
        <w:rPr>
          <w:color w:val="000000" w:themeColor="text1"/>
          <w:sz w:val="24"/>
          <w:lang w:val="fi-FI"/>
        </w:rPr>
        <w:t>).</w:t>
      </w:r>
    </w:p>
    <w:p w14:paraId="6CE1D782" w14:textId="4CBC6B03" w:rsidR="007318F1" w:rsidRPr="00A40298" w:rsidRDefault="00A40298" w:rsidP="00A40298">
      <w:pPr>
        <w:pStyle w:val="FootnoteText"/>
        <w:ind w:left="567" w:hanging="567"/>
        <w:rPr>
          <w:sz w:val="24"/>
          <w:vertAlign w:val="superscript"/>
          <w:lang w:val="fi-FI"/>
        </w:rPr>
      </w:pPr>
      <w:r w:rsidRPr="00A40298">
        <w:rPr>
          <w:color w:val="000000" w:themeColor="text1"/>
          <w:sz w:val="24"/>
          <w:lang w:val="fi-FI"/>
        </w:rPr>
        <w:t xml:space="preserve"> </w:t>
      </w:r>
      <w:r w:rsidRPr="00A40298">
        <w:rPr>
          <w:color w:val="000000" w:themeColor="text1"/>
          <w:sz w:val="24"/>
          <w:lang w:val="fi-FI"/>
        </w:rPr>
        <w:tab/>
      </w:r>
      <w:r w:rsidR="007318F1" w:rsidRPr="00A40298">
        <w:rPr>
          <w:color w:val="000000" w:themeColor="text1"/>
          <w:sz w:val="24"/>
          <w:lang w:val="fi-FI"/>
        </w:rPr>
        <w:t>–</w:t>
      </w:r>
      <w:r w:rsidR="007318F1" w:rsidRPr="00A40298">
        <w:rPr>
          <w:color w:val="000000" w:themeColor="text1"/>
          <w:sz w:val="24"/>
          <w:lang w:val="fi-FI"/>
        </w:rPr>
        <w:tab/>
      </w:r>
      <w:r w:rsidR="007318F1" w:rsidRPr="00A40298">
        <w:rPr>
          <w:sz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r w:rsidR="00F92B51">
        <w:fldChar w:fldCharType="begin"/>
      </w:r>
      <w:r w:rsidR="00F92B51" w:rsidRPr="00F92B51">
        <w:rPr>
          <w:lang w:val="fi-FI"/>
        </w:rPr>
        <w:instrText>HYPERLINK "http://data.europa.eu/eli/C/2025/2246/oj" \o "Avaa asiakirjan ELI URI -tunnisteen kautta."</w:instrText>
      </w:r>
      <w:r w:rsidR="00F92B51">
        <w:fldChar w:fldCharType="separate"/>
      </w:r>
      <w:r w:rsidR="007318F1" w:rsidRPr="00A40298">
        <w:rPr>
          <w:rStyle w:val="Hyperlink"/>
          <w:sz w:val="24"/>
          <w:lang w:val="fi-FI"/>
        </w:rPr>
        <w:t>http://data.europa.eu/eli/C/2025/2246/oj</w:t>
      </w:r>
      <w:r w:rsidR="00F92B51">
        <w:rPr>
          <w:rStyle w:val="Hyperlink"/>
          <w:sz w:val="24"/>
          <w:lang w:val="fi-FI"/>
        </w:rPr>
        <w:fldChar w:fldCharType="end"/>
      </w:r>
      <w:r w:rsidR="007318F1" w:rsidRPr="00A40298">
        <w:rPr>
          <w:sz w:val="24"/>
          <w:lang w:val="fi-FI"/>
        </w:rPr>
        <w:t>).</w:t>
      </w:r>
    </w:p>
    <w:p w14:paraId="2F157BD5" w14:textId="73622302" w:rsidR="007318F1" w:rsidRPr="00A40298" w:rsidRDefault="00A40298" w:rsidP="00A40298">
      <w:pPr>
        <w:pStyle w:val="FootnoteText"/>
        <w:ind w:left="567" w:hanging="567"/>
        <w:rPr>
          <w:sz w:val="24"/>
          <w:vertAlign w:val="superscript"/>
          <w:lang w:val="fi-FI"/>
        </w:rPr>
      </w:pPr>
      <w:r w:rsidRPr="00A40298">
        <w:rPr>
          <w:sz w:val="24"/>
          <w:lang w:val="fi-FI"/>
        </w:rPr>
        <w:t xml:space="preserve"> </w:t>
      </w:r>
      <w:r w:rsidRPr="00A40298">
        <w:rPr>
          <w:sz w:val="24"/>
          <w:lang w:val="fi-FI"/>
        </w:rPr>
        <w:tab/>
      </w:r>
      <w:r w:rsidR="007318F1" w:rsidRPr="00A40298">
        <w:rPr>
          <w:sz w:val="24"/>
          <w:lang w:val="fi-FI"/>
        </w:rPr>
        <w:t>–</w:t>
      </w:r>
      <w:r w:rsidR="007318F1" w:rsidRPr="00A40298">
        <w:rPr>
          <w:sz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r w:rsidR="00F92B51">
        <w:fldChar w:fldCharType="begin"/>
      </w:r>
      <w:r w:rsidR="00F92B51" w:rsidRPr="00F92B51">
        <w:rPr>
          <w:lang w:val="fi-FI"/>
        </w:rPr>
        <w:instrText>HYPERLINK "http://data.europa.eu/eli/C/2025/2247/oj" \o "Avaa asiakirjan ELI URI -tunnisteen kautta."</w:instrText>
      </w:r>
      <w:r w:rsidR="00F92B51">
        <w:fldChar w:fldCharType="separate"/>
      </w:r>
      <w:r w:rsidR="007318F1" w:rsidRPr="00A40298">
        <w:rPr>
          <w:rStyle w:val="Hyperlink"/>
          <w:sz w:val="24"/>
          <w:lang w:val="fi-FI"/>
        </w:rPr>
        <w:t>http://data.europa.eu/eli/C/2025/2247/oj</w:t>
      </w:r>
      <w:r w:rsidR="00F92B51">
        <w:rPr>
          <w:rStyle w:val="Hyperlink"/>
          <w:sz w:val="24"/>
          <w:lang w:val="fi-FI"/>
        </w:rPr>
        <w:fldChar w:fldCharType="end"/>
      </w:r>
      <w:r w:rsidR="007318F1" w:rsidRPr="00A40298">
        <w:rPr>
          <w:sz w:val="24"/>
          <w:lang w:val="fi-FI"/>
        </w:rPr>
        <w:t>).</w:t>
      </w:r>
    </w:p>
    <w:p w14:paraId="663C598B" w14:textId="16E60A87" w:rsidR="007318F1" w:rsidRPr="00A40298" w:rsidRDefault="00A40298" w:rsidP="00A40298">
      <w:pPr>
        <w:pStyle w:val="FootnoteText"/>
        <w:ind w:left="567" w:hanging="567"/>
        <w:rPr>
          <w:sz w:val="24"/>
          <w:vertAlign w:val="superscript"/>
          <w:lang w:val="fi-FI"/>
        </w:rPr>
      </w:pPr>
      <w:r w:rsidRPr="00A40298">
        <w:rPr>
          <w:sz w:val="24"/>
          <w:lang w:val="fi-FI"/>
        </w:rPr>
        <w:t xml:space="preserve"> </w:t>
      </w:r>
      <w:r w:rsidRPr="00A40298">
        <w:rPr>
          <w:sz w:val="24"/>
          <w:lang w:val="fi-FI"/>
        </w:rPr>
        <w:tab/>
      </w:r>
      <w:r w:rsidR="007318F1" w:rsidRPr="00A40298">
        <w:rPr>
          <w:sz w:val="24"/>
          <w:lang w:val="fi-FI"/>
        </w:rPr>
        <w:t>–</w:t>
      </w:r>
      <w:r w:rsidR="007318F1" w:rsidRPr="00A40298">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(P10_</w:t>
      </w:r>
      <w:proofErr w:type="gramStart"/>
      <w:r w:rsidR="007318F1" w:rsidRPr="00A40298">
        <w:rPr>
          <w:sz w:val="24"/>
          <w:lang w:val="fi-FI"/>
        </w:rPr>
        <w:t>TA(</w:t>
      </w:r>
      <w:proofErr w:type="gramEnd"/>
      <w:r w:rsidR="007318F1" w:rsidRPr="00A40298">
        <w:rPr>
          <w:sz w:val="24"/>
          <w:lang w:val="fi-FI"/>
        </w:rPr>
        <w:t>2025)0106).</w:t>
      </w:r>
    </w:p>
    <w:p w14:paraId="3444080E" w14:textId="122E87D5" w:rsidR="007318F1" w:rsidRPr="00A40298" w:rsidRDefault="00A40298" w:rsidP="00A40298">
      <w:pPr>
        <w:pStyle w:val="FootnoteText"/>
        <w:ind w:left="567" w:hanging="567"/>
        <w:rPr>
          <w:sz w:val="24"/>
          <w:vertAlign w:val="superscript"/>
          <w:lang w:val="fi-FI"/>
        </w:rPr>
      </w:pPr>
      <w:r w:rsidRPr="00A40298">
        <w:rPr>
          <w:sz w:val="24"/>
          <w:lang w:val="fi-FI"/>
        </w:rPr>
        <w:t xml:space="preserve"> </w:t>
      </w:r>
      <w:r w:rsidRPr="00A40298">
        <w:rPr>
          <w:sz w:val="24"/>
          <w:lang w:val="fi-FI"/>
        </w:rPr>
        <w:tab/>
      </w:r>
      <w:r w:rsidR="007318F1" w:rsidRPr="00A40298">
        <w:rPr>
          <w:sz w:val="24"/>
          <w:lang w:val="fi-FI"/>
        </w:rPr>
        <w:t>–</w:t>
      </w:r>
      <w:r w:rsidR="007318F1" w:rsidRPr="00A40298">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(P10_</w:t>
      </w:r>
      <w:proofErr w:type="gramStart"/>
      <w:r w:rsidR="007318F1" w:rsidRPr="00A40298">
        <w:rPr>
          <w:sz w:val="24"/>
          <w:lang w:val="fi-FI"/>
        </w:rPr>
        <w:t>TA(</w:t>
      </w:r>
      <w:proofErr w:type="gramEnd"/>
      <w:r w:rsidR="007318F1" w:rsidRPr="00A40298">
        <w:rPr>
          <w:sz w:val="24"/>
          <w:lang w:val="fi-FI"/>
        </w:rPr>
        <w:t>2025)0222).</w:t>
      </w:r>
    </w:p>
    <w:p w14:paraId="30F5E3C5" w14:textId="1E1D9EFE" w:rsidR="007318F1" w:rsidRPr="00A40298" w:rsidRDefault="00A40298" w:rsidP="00A40298">
      <w:pPr>
        <w:pStyle w:val="FootnoteText"/>
        <w:ind w:left="567" w:hanging="567"/>
        <w:rPr>
          <w:sz w:val="24"/>
          <w:vertAlign w:val="superscript"/>
          <w:lang w:val="fi-FI"/>
        </w:rPr>
      </w:pPr>
      <w:r w:rsidRPr="00A40298">
        <w:rPr>
          <w:sz w:val="24"/>
          <w:lang w:val="fi-FI"/>
        </w:rPr>
        <w:t xml:space="preserve"> </w:t>
      </w:r>
      <w:r w:rsidRPr="00A40298">
        <w:rPr>
          <w:sz w:val="24"/>
          <w:lang w:val="fi-FI"/>
        </w:rPr>
        <w:tab/>
      </w:r>
      <w:r w:rsidR="007318F1" w:rsidRPr="00A40298">
        <w:rPr>
          <w:sz w:val="24"/>
          <w:lang w:val="fi-FI"/>
        </w:rPr>
        <w:t>–</w:t>
      </w:r>
      <w:r w:rsidR="007318F1" w:rsidRPr="00A40298">
        <w:rPr>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(P10_</w:t>
      </w:r>
      <w:proofErr w:type="gramStart"/>
      <w:r w:rsidR="007318F1" w:rsidRPr="00A40298">
        <w:rPr>
          <w:sz w:val="24"/>
          <w:lang w:val="fi-FI"/>
        </w:rPr>
        <w:t>TA(</w:t>
      </w:r>
      <w:proofErr w:type="gramEnd"/>
      <w:r w:rsidR="007318F1" w:rsidRPr="00A40298">
        <w:rPr>
          <w:sz w:val="24"/>
          <w:lang w:val="fi-FI"/>
        </w:rPr>
        <w:t>2025)0288).</w:t>
      </w:r>
    </w:p>
    <w:p w14:paraId="642FB882" w14:textId="71693AFB" w:rsidR="007318F1" w:rsidRPr="00A40298" w:rsidRDefault="00A40298" w:rsidP="00A40298">
      <w:pPr>
        <w:pStyle w:val="FootnoteText"/>
        <w:ind w:left="567" w:hanging="567"/>
        <w:rPr>
          <w:sz w:val="24"/>
          <w:vertAlign w:val="superscript"/>
          <w:lang w:val="fi-FI"/>
        </w:rPr>
      </w:pPr>
      <w:r w:rsidRPr="00A40298">
        <w:rPr>
          <w:sz w:val="24"/>
          <w:lang w:val="fi-FI"/>
        </w:rPr>
        <w:t xml:space="preserve"> </w:t>
      </w:r>
      <w:r w:rsidRPr="00A40298">
        <w:rPr>
          <w:sz w:val="24"/>
          <w:lang w:val="fi-FI"/>
        </w:rPr>
        <w:tab/>
      </w:r>
      <w:r w:rsidR="007318F1" w:rsidRPr="00A40298">
        <w:rPr>
          <w:sz w:val="24"/>
          <w:lang w:val="fi-FI"/>
        </w:rPr>
        <w:t>–</w:t>
      </w:r>
      <w:r w:rsidR="007318F1" w:rsidRPr="00A40298">
        <w:rPr>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(P10_</w:t>
      </w:r>
      <w:proofErr w:type="gramStart"/>
      <w:r w:rsidR="007318F1" w:rsidRPr="00A40298">
        <w:rPr>
          <w:sz w:val="24"/>
          <w:lang w:val="fi-FI"/>
        </w:rPr>
        <w:t>TA(</w:t>
      </w:r>
      <w:proofErr w:type="gramEnd"/>
      <w:r w:rsidR="007318F1" w:rsidRPr="00A40298">
        <w:rPr>
          <w:sz w:val="24"/>
          <w:lang w:val="fi-FI"/>
        </w:rPr>
        <w:t>2025)0289).</w:t>
      </w:r>
    </w:p>
    <w:p w14:paraId="15C6390F" w14:textId="6D089EAD" w:rsidR="007318F1" w:rsidRPr="00A40298" w:rsidRDefault="00A40298" w:rsidP="00A40298">
      <w:pPr>
        <w:pStyle w:val="FootnoteText"/>
        <w:ind w:left="567" w:hanging="567"/>
        <w:rPr>
          <w:sz w:val="24"/>
          <w:vertAlign w:val="superscript"/>
          <w:lang w:val="fi-FI"/>
        </w:rPr>
      </w:pPr>
      <w:r w:rsidRPr="00A40298">
        <w:rPr>
          <w:sz w:val="24"/>
          <w:lang w:val="fi-FI"/>
        </w:rPr>
        <w:t xml:space="preserve"> </w:t>
      </w:r>
      <w:r w:rsidRPr="00A40298">
        <w:rPr>
          <w:sz w:val="24"/>
          <w:lang w:val="fi-FI"/>
        </w:rPr>
        <w:tab/>
      </w:r>
      <w:r w:rsidR="007318F1" w:rsidRPr="00A40298">
        <w:rPr>
          <w:sz w:val="24"/>
          <w:lang w:val="fi-FI"/>
        </w:rPr>
        <w:t>–</w:t>
      </w:r>
      <w:r w:rsidR="007318F1" w:rsidRPr="00A40298">
        <w:rPr>
          <w:sz w:val="24"/>
          <w:lang w:val="fi-FI"/>
        </w:rPr>
        <w:tab/>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(P10_</w:t>
      </w:r>
      <w:proofErr w:type="gramStart"/>
      <w:r w:rsidR="007318F1" w:rsidRPr="00A40298">
        <w:rPr>
          <w:sz w:val="24"/>
          <w:lang w:val="fi-FI"/>
        </w:rPr>
        <w:t>TA(</w:t>
      </w:r>
      <w:proofErr w:type="gramEnd"/>
      <w:r w:rsidR="007318F1" w:rsidRPr="00A40298">
        <w:rPr>
          <w:sz w:val="24"/>
          <w:lang w:val="fi-FI"/>
        </w:rPr>
        <w:t>2025)0290).</w:t>
      </w:r>
    </w:p>
    <w:p w14:paraId="7087A227" w14:textId="7EBC3779" w:rsidR="007318F1" w:rsidRPr="00A40298" w:rsidRDefault="00A40298" w:rsidP="00A40298">
      <w:pPr>
        <w:pStyle w:val="FootnoteText"/>
        <w:ind w:left="567" w:hanging="567"/>
        <w:rPr>
          <w:sz w:val="24"/>
          <w:vertAlign w:val="superscript"/>
          <w:lang w:val="fi-FI"/>
        </w:rPr>
      </w:pPr>
      <w:r w:rsidRPr="00A40298">
        <w:rPr>
          <w:sz w:val="24"/>
          <w:lang w:val="fi-FI"/>
        </w:rPr>
        <w:t xml:space="preserve"> </w:t>
      </w:r>
      <w:r w:rsidRPr="00A40298">
        <w:rPr>
          <w:sz w:val="24"/>
          <w:lang w:val="fi-FI"/>
        </w:rPr>
        <w:tab/>
      </w:r>
      <w:r w:rsidR="007318F1" w:rsidRPr="00A40298">
        <w:rPr>
          <w:sz w:val="24"/>
          <w:lang w:val="fi-FI"/>
        </w:rPr>
        <w:t>–</w:t>
      </w:r>
      <w:r w:rsidR="007318F1" w:rsidRPr="00A40298">
        <w:rPr>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(P10_</w:t>
      </w:r>
      <w:proofErr w:type="gramStart"/>
      <w:r w:rsidR="007318F1" w:rsidRPr="00A40298">
        <w:rPr>
          <w:sz w:val="24"/>
          <w:lang w:val="fi-FI"/>
        </w:rPr>
        <w:t>TA(</w:t>
      </w:r>
      <w:proofErr w:type="gramEnd"/>
      <w:r w:rsidR="007318F1" w:rsidRPr="00A40298">
        <w:rPr>
          <w:sz w:val="24"/>
          <w:lang w:val="fi-FI"/>
        </w:rPr>
        <w:t>2025)0291).</w:t>
      </w:r>
    </w:p>
    <w:p w14:paraId="1E64AABB" w14:textId="15A91B10" w:rsidR="007318F1" w:rsidRPr="00A40298" w:rsidRDefault="00A40298" w:rsidP="00A40298">
      <w:pPr>
        <w:pStyle w:val="FootnoteText"/>
        <w:ind w:left="567" w:hanging="567"/>
        <w:rPr>
          <w:sz w:val="24"/>
          <w:lang w:val="fi-FI"/>
        </w:rPr>
      </w:pPr>
      <w:r w:rsidRPr="00A40298">
        <w:rPr>
          <w:sz w:val="24"/>
          <w:lang w:val="fi-FI"/>
        </w:rPr>
        <w:t xml:space="preserve"> </w:t>
      </w:r>
      <w:r w:rsidRPr="00A40298">
        <w:rPr>
          <w:sz w:val="24"/>
          <w:lang w:val="fi-FI"/>
        </w:rPr>
        <w:tab/>
      </w:r>
      <w:r w:rsidR="007318F1" w:rsidRPr="00A40298">
        <w:rPr>
          <w:sz w:val="24"/>
          <w:lang w:val="fi-FI"/>
        </w:rPr>
        <w:t>–</w:t>
      </w:r>
      <w:r w:rsidR="007318F1" w:rsidRPr="00A40298">
        <w:rPr>
          <w:sz w:val="24"/>
          <w:lang w:val="fi-FI"/>
        </w:rPr>
        <w:tab/>
        <w:t>Euroopan parlamentin päätöslauselma 25. marraskuuta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 (P10_</w:t>
      </w:r>
      <w:proofErr w:type="gramStart"/>
      <w:r w:rsidR="007318F1" w:rsidRPr="00A40298">
        <w:rPr>
          <w:sz w:val="24"/>
          <w:lang w:val="fi-FI"/>
        </w:rPr>
        <w:t>TA(</w:t>
      </w:r>
      <w:proofErr w:type="gramEnd"/>
      <w:r w:rsidR="007318F1" w:rsidRPr="00A40298">
        <w:rPr>
          <w:sz w:val="24"/>
          <w:lang w:val="fi-FI"/>
        </w:rPr>
        <w:t>2025)0292).</w:t>
      </w:r>
    </w:p>
  </w:footnote>
  <w:footnote w:id="5">
    <w:p w14:paraId="16F68574" w14:textId="310A0200" w:rsidR="007318F1" w:rsidRPr="00A40298" w:rsidRDefault="007318F1" w:rsidP="00A40298">
      <w:pPr>
        <w:pStyle w:val="FootnoteText"/>
        <w:ind w:left="567" w:hanging="567"/>
        <w:rPr>
          <w:sz w:val="24"/>
          <w:lang w:val="fi-FI"/>
        </w:rPr>
      </w:pPr>
      <w:r w:rsidRPr="00A40298">
        <w:rPr>
          <w:rStyle w:val="FootnoteReference"/>
          <w:sz w:val="24"/>
          <w:lang w:val="fi-FI"/>
        </w:rPr>
        <w:footnoteRef/>
      </w:r>
      <w:r w:rsidR="00A40298" w:rsidRPr="00A40298">
        <w:rPr>
          <w:sz w:val="24"/>
          <w:shd w:val="clear" w:color="auto" w:fill="FFFFFF"/>
          <w:lang w:val="fi-FI"/>
        </w:rPr>
        <w:t xml:space="preserve"> </w:t>
      </w:r>
      <w:r w:rsidR="00A40298" w:rsidRPr="00A40298">
        <w:rPr>
          <w:sz w:val="24"/>
          <w:shd w:val="clear" w:color="auto" w:fill="FFFFFF"/>
          <w:lang w:val="fi-FI"/>
        </w:rPr>
        <w:tab/>
      </w:r>
      <w:r w:rsidRPr="00A40298">
        <w:rPr>
          <w:sz w:val="24"/>
          <w:shd w:val="clear" w:color="auto" w:fill="FFFFFF"/>
          <w:lang w:val="fi-FI"/>
        </w:rPr>
        <w:t xml:space="preserve">Ks. esimerkiksi </w:t>
      </w:r>
      <w:proofErr w:type="spellStart"/>
      <w:r w:rsidRPr="00A40298">
        <w:rPr>
          <w:sz w:val="24"/>
          <w:shd w:val="clear" w:color="auto" w:fill="FFFFFF"/>
          <w:lang w:val="fi-FI"/>
        </w:rPr>
        <w:t>Bonny</w:t>
      </w:r>
      <w:proofErr w:type="spellEnd"/>
      <w:r w:rsidRPr="00A40298">
        <w:rPr>
          <w:sz w:val="24"/>
          <w:shd w:val="clear" w:color="auto" w:fill="FFFFFF"/>
          <w:lang w:val="fi-FI"/>
        </w:rPr>
        <w:t>, S., ”</w:t>
      </w:r>
      <w:proofErr w:type="spellStart"/>
      <w:r w:rsidRPr="00A40298">
        <w:rPr>
          <w:sz w:val="24"/>
          <w:shd w:val="clear" w:color="auto" w:fill="FFFFFF"/>
          <w:lang w:val="fi-FI"/>
        </w:rPr>
        <w:t>Genetically</w:t>
      </w:r>
      <w:proofErr w:type="spellEnd"/>
      <w:r w:rsidRPr="00A40298">
        <w:rPr>
          <w:sz w:val="24"/>
          <w:shd w:val="clear" w:color="auto" w:fill="FFFFFF"/>
          <w:lang w:val="fi-FI"/>
        </w:rPr>
        <w:t xml:space="preserve"> </w:t>
      </w:r>
      <w:proofErr w:type="spellStart"/>
      <w:r w:rsidRPr="00A40298">
        <w:rPr>
          <w:sz w:val="24"/>
          <w:shd w:val="clear" w:color="auto" w:fill="FFFFFF"/>
          <w:lang w:val="fi-FI"/>
        </w:rPr>
        <w:t>Modified</w:t>
      </w:r>
      <w:proofErr w:type="spellEnd"/>
      <w:r w:rsidRPr="00A40298">
        <w:rPr>
          <w:sz w:val="24"/>
          <w:shd w:val="clear" w:color="auto" w:fill="FFFFFF"/>
          <w:lang w:val="fi-FI"/>
        </w:rPr>
        <w:t xml:space="preserve"> </w:t>
      </w:r>
      <w:proofErr w:type="spellStart"/>
      <w:r w:rsidRPr="00A40298">
        <w:rPr>
          <w:sz w:val="24"/>
          <w:shd w:val="clear" w:color="auto" w:fill="FFFFFF"/>
          <w:lang w:val="fi-FI"/>
        </w:rPr>
        <w:t>Herbicide-Tolerant</w:t>
      </w:r>
      <w:proofErr w:type="spellEnd"/>
      <w:r w:rsidRPr="00A40298">
        <w:rPr>
          <w:sz w:val="24"/>
          <w:shd w:val="clear" w:color="auto" w:fill="FFFFFF"/>
          <w:lang w:val="fi-FI"/>
        </w:rPr>
        <w:t xml:space="preserve"> </w:t>
      </w:r>
      <w:proofErr w:type="spellStart"/>
      <w:r w:rsidRPr="00A40298">
        <w:rPr>
          <w:sz w:val="24"/>
          <w:shd w:val="clear" w:color="auto" w:fill="FFFFFF"/>
          <w:lang w:val="fi-FI"/>
        </w:rPr>
        <w:t>Crops</w:t>
      </w:r>
      <w:proofErr w:type="spellEnd"/>
      <w:r w:rsidRPr="00A40298">
        <w:rPr>
          <w:sz w:val="24"/>
          <w:shd w:val="clear" w:color="auto" w:fill="FFFFFF"/>
          <w:lang w:val="fi-FI"/>
        </w:rPr>
        <w:t xml:space="preserve">, </w:t>
      </w:r>
      <w:proofErr w:type="spellStart"/>
      <w:r w:rsidRPr="00A40298">
        <w:rPr>
          <w:sz w:val="24"/>
          <w:shd w:val="clear" w:color="auto" w:fill="FFFFFF"/>
          <w:lang w:val="fi-FI"/>
        </w:rPr>
        <w:t>Weeds</w:t>
      </w:r>
      <w:proofErr w:type="spellEnd"/>
      <w:r w:rsidRPr="00A40298">
        <w:rPr>
          <w:sz w:val="24"/>
          <w:shd w:val="clear" w:color="auto" w:fill="FFFFFF"/>
          <w:lang w:val="fi-FI"/>
        </w:rPr>
        <w:t xml:space="preserve">, and </w:t>
      </w:r>
      <w:proofErr w:type="spellStart"/>
      <w:r w:rsidRPr="00A40298">
        <w:rPr>
          <w:sz w:val="24"/>
          <w:shd w:val="clear" w:color="auto" w:fill="FFFFFF"/>
          <w:lang w:val="fi-FI"/>
        </w:rPr>
        <w:t>Herbicides</w:t>
      </w:r>
      <w:proofErr w:type="spellEnd"/>
      <w:r w:rsidRPr="00A40298">
        <w:rPr>
          <w:sz w:val="24"/>
          <w:shd w:val="clear" w:color="auto" w:fill="FFFFFF"/>
          <w:lang w:val="fi-FI"/>
        </w:rPr>
        <w:t xml:space="preserve">: </w:t>
      </w:r>
      <w:proofErr w:type="spellStart"/>
      <w:r w:rsidRPr="00A40298">
        <w:rPr>
          <w:sz w:val="24"/>
          <w:shd w:val="clear" w:color="auto" w:fill="FFFFFF"/>
          <w:lang w:val="fi-FI"/>
        </w:rPr>
        <w:t>Overview</w:t>
      </w:r>
      <w:proofErr w:type="spellEnd"/>
      <w:r w:rsidRPr="00A40298">
        <w:rPr>
          <w:sz w:val="24"/>
          <w:shd w:val="clear" w:color="auto" w:fill="FFFFFF"/>
          <w:lang w:val="fi-FI"/>
        </w:rPr>
        <w:t xml:space="preserve"> and </w:t>
      </w:r>
      <w:proofErr w:type="spellStart"/>
      <w:r w:rsidRPr="00A40298">
        <w:rPr>
          <w:sz w:val="24"/>
          <w:shd w:val="clear" w:color="auto" w:fill="FFFFFF"/>
          <w:lang w:val="fi-FI"/>
        </w:rPr>
        <w:t>Impact</w:t>
      </w:r>
      <w:proofErr w:type="spellEnd"/>
      <w:r w:rsidRPr="00A40298">
        <w:rPr>
          <w:sz w:val="24"/>
          <w:shd w:val="clear" w:color="auto" w:fill="FFFFFF"/>
          <w:lang w:val="fi-FI"/>
        </w:rPr>
        <w:t xml:space="preserve">”, </w:t>
      </w:r>
      <w:proofErr w:type="spellStart"/>
      <w:r w:rsidRPr="00A40298">
        <w:rPr>
          <w:sz w:val="24"/>
          <w:shd w:val="clear" w:color="auto" w:fill="FFFFFF"/>
          <w:lang w:val="fi-FI"/>
        </w:rPr>
        <w:t>Environmental</w:t>
      </w:r>
      <w:proofErr w:type="spellEnd"/>
      <w:r w:rsidRPr="00A40298">
        <w:rPr>
          <w:sz w:val="24"/>
          <w:shd w:val="clear" w:color="auto" w:fill="FFFFFF"/>
          <w:lang w:val="fi-FI"/>
        </w:rPr>
        <w:t xml:space="preserve"> Management, tammikuu 2016;57(1), s. 31–48,</w:t>
      </w:r>
      <w:r w:rsidRPr="00A40298">
        <w:rPr>
          <w:sz w:val="24"/>
          <w:lang w:val="fi-FI"/>
        </w:rPr>
        <w:t xml:space="preserve"> </w:t>
      </w:r>
      <w:r w:rsidR="00F92B51">
        <w:fldChar w:fldCharType="begin"/>
      </w:r>
      <w:r w:rsidR="00F92B51" w:rsidRPr="00F92B51">
        <w:rPr>
          <w:lang w:val="fi-FI"/>
        </w:rPr>
        <w:instrText>HYPERLINK "https://doi.org/10.1007/s00267-015-0589-7"</w:instrText>
      </w:r>
      <w:r w:rsidR="00F92B51">
        <w:fldChar w:fldCharType="separate"/>
      </w:r>
      <w:r w:rsidRPr="00A40298">
        <w:rPr>
          <w:rStyle w:val="Hyperlink"/>
          <w:sz w:val="24"/>
          <w:shd w:val="clear" w:color="auto" w:fill="FFFFFF"/>
          <w:lang w:val="fi-FI"/>
        </w:rPr>
        <w:t>https://doi.org/10.1007/s00267-015-0589-7</w:t>
      </w:r>
      <w:r w:rsidR="00F92B51">
        <w:rPr>
          <w:rStyle w:val="Hyperlink"/>
          <w:sz w:val="24"/>
          <w:shd w:val="clear" w:color="auto" w:fill="FFFFFF"/>
          <w:lang w:val="fi-FI"/>
        </w:rPr>
        <w:fldChar w:fldCharType="end"/>
      </w:r>
      <w:r w:rsidRPr="00A40298">
        <w:rPr>
          <w:sz w:val="24"/>
          <w:lang w:val="fi-FI"/>
        </w:rPr>
        <w:t xml:space="preserve"> </w:t>
      </w:r>
      <w:r w:rsidRPr="00A40298">
        <w:rPr>
          <w:sz w:val="24"/>
          <w:shd w:val="clear" w:color="auto" w:fill="FFFFFF"/>
          <w:lang w:val="fi-FI"/>
        </w:rPr>
        <w:t xml:space="preserve">ja </w:t>
      </w:r>
      <w:proofErr w:type="spellStart"/>
      <w:r w:rsidRPr="00A40298">
        <w:rPr>
          <w:sz w:val="24"/>
          <w:shd w:val="clear" w:color="auto" w:fill="FFFFFF"/>
          <w:lang w:val="fi-FI"/>
        </w:rPr>
        <w:t>Benbrook</w:t>
      </w:r>
      <w:proofErr w:type="spellEnd"/>
      <w:r w:rsidRPr="00A40298">
        <w:rPr>
          <w:sz w:val="24"/>
          <w:shd w:val="clear" w:color="auto" w:fill="FFFFFF"/>
          <w:lang w:val="fi-FI"/>
        </w:rPr>
        <w:t>, C. M., ”</w:t>
      </w:r>
      <w:proofErr w:type="spellStart"/>
      <w:r w:rsidRPr="00A40298">
        <w:rPr>
          <w:sz w:val="24"/>
          <w:shd w:val="clear" w:color="auto" w:fill="FFFFFF"/>
          <w:lang w:val="fi-FI"/>
        </w:rPr>
        <w:t>Impacts</w:t>
      </w:r>
      <w:proofErr w:type="spellEnd"/>
      <w:r w:rsidRPr="00A40298">
        <w:rPr>
          <w:sz w:val="24"/>
          <w:shd w:val="clear" w:color="auto" w:fill="FFFFFF"/>
          <w:lang w:val="fi-FI"/>
        </w:rPr>
        <w:t xml:space="preserve"> of </w:t>
      </w:r>
      <w:proofErr w:type="spellStart"/>
      <w:r w:rsidRPr="00A40298">
        <w:rPr>
          <w:sz w:val="24"/>
          <w:shd w:val="clear" w:color="auto" w:fill="FFFFFF"/>
          <w:lang w:val="fi-FI"/>
        </w:rPr>
        <w:t>genetically</w:t>
      </w:r>
      <w:proofErr w:type="spellEnd"/>
      <w:r w:rsidRPr="00A40298">
        <w:rPr>
          <w:sz w:val="24"/>
          <w:shd w:val="clear" w:color="auto" w:fill="FFFFFF"/>
          <w:lang w:val="fi-FI"/>
        </w:rPr>
        <w:t xml:space="preserve"> </w:t>
      </w:r>
      <w:proofErr w:type="spellStart"/>
      <w:r w:rsidRPr="00A40298">
        <w:rPr>
          <w:sz w:val="24"/>
          <w:shd w:val="clear" w:color="auto" w:fill="FFFFFF"/>
          <w:lang w:val="fi-FI"/>
        </w:rPr>
        <w:t>engineered</w:t>
      </w:r>
      <w:proofErr w:type="spellEnd"/>
      <w:r w:rsidRPr="00A40298">
        <w:rPr>
          <w:sz w:val="24"/>
          <w:shd w:val="clear" w:color="auto" w:fill="FFFFFF"/>
          <w:lang w:val="fi-FI"/>
        </w:rPr>
        <w:t xml:space="preserve"> </w:t>
      </w:r>
      <w:proofErr w:type="spellStart"/>
      <w:r w:rsidRPr="00A40298">
        <w:rPr>
          <w:sz w:val="24"/>
          <w:shd w:val="clear" w:color="auto" w:fill="FFFFFF"/>
          <w:lang w:val="fi-FI"/>
        </w:rPr>
        <w:t>crops</w:t>
      </w:r>
      <w:proofErr w:type="spellEnd"/>
      <w:r w:rsidRPr="00A40298">
        <w:rPr>
          <w:sz w:val="24"/>
          <w:shd w:val="clear" w:color="auto" w:fill="FFFFFF"/>
          <w:lang w:val="fi-FI"/>
        </w:rPr>
        <w:t xml:space="preserve"> on </w:t>
      </w:r>
      <w:proofErr w:type="spellStart"/>
      <w:r w:rsidRPr="00A40298">
        <w:rPr>
          <w:sz w:val="24"/>
          <w:shd w:val="clear" w:color="auto" w:fill="FFFFFF"/>
          <w:lang w:val="fi-FI"/>
        </w:rPr>
        <w:t>pesticide</w:t>
      </w:r>
      <w:proofErr w:type="spellEnd"/>
      <w:r w:rsidRPr="00A40298">
        <w:rPr>
          <w:sz w:val="24"/>
          <w:shd w:val="clear" w:color="auto" w:fill="FFFFFF"/>
          <w:lang w:val="fi-FI"/>
        </w:rPr>
        <w:t xml:space="preserve"> </w:t>
      </w:r>
      <w:proofErr w:type="spellStart"/>
      <w:r w:rsidRPr="00A40298">
        <w:rPr>
          <w:sz w:val="24"/>
          <w:shd w:val="clear" w:color="auto" w:fill="FFFFFF"/>
          <w:lang w:val="fi-FI"/>
        </w:rPr>
        <w:t>use</w:t>
      </w:r>
      <w:proofErr w:type="spellEnd"/>
      <w:r w:rsidRPr="00A40298">
        <w:rPr>
          <w:sz w:val="24"/>
          <w:shd w:val="clear" w:color="auto" w:fill="FFFFFF"/>
          <w:lang w:val="fi-FI"/>
        </w:rPr>
        <w:t xml:space="preserve"> in </w:t>
      </w:r>
      <w:proofErr w:type="spellStart"/>
      <w:r w:rsidRPr="00A40298">
        <w:rPr>
          <w:sz w:val="24"/>
          <w:shd w:val="clear" w:color="auto" w:fill="FFFFFF"/>
          <w:lang w:val="fi-FI"/>
        </w:rPr>
        <w:t>the</w:t>
      </w:r>
      <w:proofErr w:type="spellEnd"/>
      <w:r w:rsidRPr="00A40298">
        <w:rPr>
          <w:sz w:val="24"/>
          <w:shd w:val="clear" w:color="auto" w:fill="FFFFFF"/>
          <w:lang w:val="fi-FI"/>
        </w:rPr>
        <w:t xml:space="preserve"> U.S. – </w:t>
      </w:r>
      <w:proofErr w:type="spellStart"/>
      <w:r w:rsidRPr="00A40298">
        <w:rPr>
          <w:sz w:val="24"/>
          <w:shd w:val="clear" w:color="auto" w:fill="FFFFFF"/>
          <w:lang w:val="fi-FI"/>
        </w:rPr>
        <w:t>the</w:t>
      </w:r>
      <w:proofErr w:type="spellEnd"/>
      <w:r w:rsidRPr="00A40298">
        <w:rPr>
          <w:sz w:val="24"/>
          <w:shd w:val="clear" w:color="auto" w:fill="FFFFFF"/>
          <w:lang w:val="fi-FI"/>
        </w:rPr>
        <w:t xml:space="preserve"> </w:t>
      </w:r>
      <w:proofErr w:type="spellStart"/>
      <w:r w:rsidRPr="00A40298">
        <w:rPr>
          <w:sz w:val="24"/>
          <w:shd w:val="clear" w:color="auto" w:fill="FFFFFF"/>
          <w:lang w:val="fi-FI"/>
        </w:rPr>
        <w:t>first</w:t>
      </w:r>
      <w:proofErr w:type="spellEnd"/>
      <w:r w:rsidRPr="00A40298">
        <w:rPr>
          <w:sz w:val="24"/>
          <w:shd w:val="clear" w:color="auto" w:fill="FFFFFF"/>
          <w:lang w:val="fi-FI"/>
        </w:rPr>
        <w:t xml:space="preserve"> </w:t>
      </w:r>
      <w:proofErr w:type="spellStart"/>
      <w:r w:rsidRPr="00A40298">
        <w:rPr>
          <w:sz w:val="24"/>
          <w:shd w:val="clear" w:color="auto" w:fill="FFFFFF"/>
          <w:lang w:val="fi-FI"/>
        </w:rPr>
        <w:t>sixteen</w:t>
      </w:r>
      <w:proofErr w:type="spellEnd"/>
      <w:r w:rsidRPr="00A40298">
        <w:rPr>
          <w:sz w:val="24"/>
          <w:shd w:val="clear" w:color="auto" w:fill="FFFFFF"/>
          <w:lang w:val="fi-FI"/>
        </w:rPr>
        <w:t xml:space="preserve"> </w:t>
      </w:r>
      <w:proofErr w:type="spellStart"/>
      <w:r w:rsidRPr="00A40298">
        <w:rPr>
          <w:sz w:val="24"/>
          <w:shd w:val="clear" w:color="auto" w:fill="FFFFFF"/>
          <w:lang w:val="fi-FI"/>
        </w:rPr>
        <w:t>years</w:t>
      </w:r>
      <w:proofErr w:type="spellEnd"/>
      <w:r w:rsidRPr="00A40298">
        <w:rPr>
          <w:sz w:val="24"/>
          <w:shd w:val="clear" w:color="auto" w:fill="FFFFFF"/>
          <w:lang w:val="fi-FI"/>
        </w:rPr>
        <w:t xml:space="preserve">”, </w:t>
      </w:r>
      <w:proofErr w:type="spellStart"/>
      <w:r w:rsidRPr="00A40298">
        <w:rPr>
          <w:sz w:val="24"/>
          <w:shd w:val="clear" w:color="auto" w:fill="FFFFFF"/>
          <w:lang w:val="fi-FI"/>
        </w:rPr>
        <w:t>Environmental</w:t>
      </w:r>
      <w:proofErr w:type="spellEnd"/>
      <w:r w:rsidRPr="00A40298">
        <w:rPr>
          <w:sz w:val="24"/>
          <w:shd w:val="clear" w:color="auto" w:fill="FFFFFF"/>
          <w:lang w:val="fi-FI"/>
        </w:rPr>
        <w:t xml:space="preserve"> Sciences Europe; 28. syyskuuta 2012, osa 24(1),</w:t>
      </w:r>
      <w:r w:rsidRPr="00A40298">
        <w:rPr>
          <w:sz w:val="24"/>
          <w:lang w:val="fi-FI"/>
        </w:rPr>
        <w:t xml:space="preserve"> </w:t>
      </w:r>
      <w:r w:rsidR="00F92B51">
        <w:fldChar w:fldCharType="begin"/>
      </w:r>
      <w:r w:rsidR="00F92B51" w:rsidRPr="00F92B51">
        <w:rPr>
          <w:lang w:val="fi-FI"/>
        </w:rPr>
        <w:instrText>HYPERLINK "https://doi.org/10.1186/2190-4715-24-24"</w:instrText>
      </w:r>
      <w:r w:rsidR="00F92B51">
        <w:fldChar w:fldCharType="separate"/>
      </w:r>
      <w:r w:rsidRPr="00A40298">
        <w:rPr>
          <w:rStyle w:val="Hyperlink"/>
          <w:sz w:val="24"/>
          <w:lang w:val="fi-FI"/>
        </w:rPr>
        <w:t>https://doi.org/10.1186/2190-4715-24-24</w:t>
      </w:r>
      <w:r w:rsidR="00F92B51">
        <w:rPr>
          <w:rStyle w:val="Hyperlink"/>
          <w:sz w:val="24"/>
          <w:lang w:val="fi-FI"/>
        </w:rPr>
        <w:fldChar w:fldCharType="end"/>
      </w:r>
      <w:r w:rsidRPr="00A40298">
        <w:rPr>
          <w:rStyle w:val="Hyperlink"/>
          <w:sz w:val="24"/>
          <w:shd w:val="clear" w:color="auto" w:fill="FFFFFF"/>
          <w:lang w:val="fi-FI"/>
        </w:rPr>
        <w:t>.</w:t>
      </w:r>
    </w:p>
  </w:footnote>
  <w:footnote w:id="6">
    <w:p w14:paraId="0A6A6B7E" w14:textId="35755E0B" w:rsidR="007318F1" w:rsidRPr="00A40298" w:rsidRDefault="007318F1" w:rsidP="00A40298">
      <w:pPr>
        <w:pStyle w:val="FootnoteText"/>
        <w:ind w:left="567" w:hanging="567"/>
        <w:rPr>
          <w:sz w:val="24"/>
          <w:vertAlign w:val="superscript"/>
          <w:lang w:val="fi-FI"/>
        </w:rPr>
      </w:pPr>
      <w:r w:rsidRPr="00A40298">
        <w:rPr>
          <w:rStyle w:val="FootnoteReference"/>
          <w:sz w:val="24"/>
          <w:lang w:val="fi-FI"/>
        </w:rPr>
        <w:footnoteRef/>
      </w:r>
      <w:r w:rsidR="00A40298" w:rsidRPr="00A40298">
        <w:rPr>
          <w:sz w:val="24"/>
          <w:lang w:val="fi-FI"/>
        </w:rPr>
        <w:t xml:space="preserve"> </w:t>
      </w:r>
      <w:r w:rsidR="00A40298" w:rsidRPr="00A40298">
        <w:rPr>
          <w:sz w:val="24"/>
          <w:lang w:val="fi-FI"/>
        </w:rPr>
        <w:tab/>
      </w:r>
      <w:r w:rsidRPr="00A40298">
        <w:rPr>
          <w:sz w:val="24"/>
          <w:lang w:val="fi-FI"/>
        </w:rPr>
        <w:t xml:space="preserve">Ks. esimerkiksi: </w:t>
      </w:r>
      <w:r w:rsidR="00F92B51">
        <w:fldChar w:fldCharType="begin"/>
      </w:r>
      <w:r w:rsidR="00F92B51" w:rsidRPr="00F92B51">
        <w:rPr>
          <w:lang w:val="fi-FI"/>
        </w:rPr>
        <w:instrText>HYPERLINK "https://doi.org/10.1002/ps.8105"</w:instrText>
      </w:r>
      <w:r w:rsidR="00F92B51">
        <w:fldChar w:fldCharType="separate"/>
      </w:r>
      <w:r w:rsidRPr="00A40298">
        <w:rPr>
          <w:rStyle w:val="Hyperlink"/>
          <w:sz w:val="24"/>
          <w:lang w:val="fi-FI"/>
        </w:rPr>
        <w:t>https://doi.org/10.1002/ps.8105</w:t>
      </w:r>
      <w:r w:rsidR="00F92B51">
        <w:rPr>
          <w:rStyle w:val="Hyperlink"/>
          <w:sz w:val="24"/>
          <w:lang w:val="fi-FI"/>
        </w:rPr>
        <w:fldChar w:fldCharType="end"/>
      </w:r>
      <w:r w:rsidRPr="00A40298">
        <w:rPr>
          <w:sz w:val="24"/>
          <w:lang w:val="fi-FI"/>
        </w:rPr>
        <w:t>,</w:t>
      </w:r>
    </w:p>
    <w:p w14:paraId="2FAA64AA" w14:textId="72A595F3" w:rsidR="007318F1" w:rsidRPr="00A40298" w:rsidRDefault="00A40298" w:rsidP="00A40298">
      <w:pPr>
        <w:pStyle w:val="FootnoteText"/>
        <w:ind w:left="567" w:hanging="567"/>
        <w:rPr>
          <w:sz w:val="24"/>
          <w:lang w:val="fi-FI"/>
        </w:rPr>
      </w:pPr>
      <w:r w:rsidRPr="00A40298">
        <w:rPr>
          <w:sz w:val="24"/>
          <w:lang w:val="fi-FI"/>
        </w:rPr>
        <w:t xml:space="preserve"> </w:t>
      </w:r>
      <w:r w:rsidRPr="00A40298">
        <w:rPr>
          <w:sz w:val="24"/>
          <w:lang w:val="fi-FI"/>
        </w:rPr>
        <w:tab/>
      </w:r>
      <w:r w:rsidR="00F92B51">
        <w:fldChar w:fldCharType="begin"/>
      </w:r>
      <w:r w:rsidR="00F92B51" w:rsidRPr="00F92B51">
        <w:rPr>
          <w:lang w:val="fi-FI"/>
        </w:rPr>
        <w:instrText>HYPERLINK "https://doi.org/10.1016/j.geoforum.2009.03.009" \t "_blank" \o "Pysyvä linkki, jossa käytetään digitaalista objektitunnusta"</w:instrText>
      </w:r>
      <w:r w:rsidR="00F92B51">
        <w:fldChar w:fldCharType="separate"/>
      </w:r>
      <w:r w:rsidR="007318F1" w:rsidRPr="00A40298">
        <w:rPr>
          <w:rStyle w:val="Hyperlink"/>
          <w:sz w:val="24"/>
          <w:lang w:val="fi-FI"/>
        </w:rPr>
        <w:t>https://doi.org/10.1016/j.geoforum.2009.03.009</w:t>
      </w:r>
      <w:r w:rsidR="00F92B51">
        <w:rPr>
          <w:rStyle w:val="Hyperlink"/>
          <w:sz w:val="24"/>
          <w:lang w:val="fi-FI"/>
        </w:rPr>
        <w:fldChar w:fldCharType="end"/>
      </w:r>
      <w:r w:rsidR="007318F1" w:rsidRPr="00A40298">
        <w:rPr>
          <w:sz w:val="24"/>
          <w:lang w:val="fi-FI"/>
        </w:rPr>
        <w:t>.</w:t>
      </w:r>
    </w:p>
  </w:footnote>
  <w:footnote w:id="7">
    <w:p w14:paraId="36E4A7D3" w14:textId="3BAD0F3A" w:rsidR="007318F1" w:rsidRPr="00933426" w:rsidRDefault="007318F1" w:rsidP="00A40298">
      <w:pPr>
        <w:pStyle w:val="FootnoteText"/>
        <w:ind w:left="567" w:hanging="567"/>
        <w:rPr>
          <w:sz w:val="24"/>
          <w:lang w:val="pl-PL"/>
        </w:rPr>
      </w:pPr>
      <w:r w:rsidRPr="00A40298">
        <w:rPr>
          <w:rStyle w:val="FootnoteReference"/>
          <w:sz w:val="24"/>
          <w:lang w:val="fi-FI"/>
        </w:rPr>
        <w:footnoteRef/>
      </w:r>
      <w:r w:rsidR="00A40298" w:rsidRPr="00933426">
        <w:rPr>
          <w:sz w:val="24"/>
          <w:lang w:val="pl-PL"/>
        </w:rPr>
        <w:t xml:space="preserve"> </w:t>
      </w:r>
      <w:r w:rsidR="00A40298" w:rsidRPr="00933426">
        <w:rPr>
          <w:sz w:val="24"/>
          <w:lang w:val="pl-PL"/>
        </w:rPr>
        <w:tab/>
      </w:r>
      <w:r w:rsidRPr="00933426">
        <w:rPr>
          <w:sz w:val="24"/>
          <w:lang w:val="pl-PL"/>
        </w:rPr>
        <w:t xml:space="preserve">Ks. </w:t>
      </w:r>
      <w:proofErr w:type="spellStart"/>
      <w:r w:rsidRPr="00933426">
        <w:rPr>
          <w:sz w:val="24"/>
          <w:lang w:val="pl-PL"/>
        </w:rPr>
        <w:t>esimerkiksi</w:t>
      </w:r>
      <w:proofErr w:type="spellEnd"/>
      <w:r w:rsidRPr="00933426">
        <w:rPr>
          <w:sz w:val="24"/>
          <w:lang w:val="pl-PL"/>
        </w:rPr>
        <w:t>:</w:t>
      </w:r>
      <w:r w:rsidRPr="00933426">
        <w:rPr>
          <w:sz w:val="24"/>
          <w:lang w:val="pl-PL"/>
        </w:rPr>
        <w:br/>
      </w:r>
      <w:r w:rsidR="00F92B51">
        <w:fldChar w:fldCharType="begin"/>
      </w:r>
      <w:r w:rsidR="00F92B51" w:rsidRPr="00F92B51">
        <w:rPr>
          <w:lang w:val="pl-PL"/>
        </w:rPr>
        <w:instrText>HYPERLINK "https://doi.org/10.1016/j.mrrev.2019.02.001" \t "_blank" \o "Pysyvä linkki, jossa käytetään digitaalista objektitunnusta"</w:instrText>
      </w:r>
      <w:r w:rsidR="00F92B51">
        <w:fldChar w:fldCharType="separate"/>
      </w:r>
      <w:r w:rsidRPr="00933426">
        <w:rPr>
          <w:rStyle w:val="Hyperlink"/>
          <w:sz w:val="24"/>
          <w:lang w:val="pl-PL"/>
        </w:rPr>
        <w:t>https://doi.org/10.1016/j.mrrev.2019.02.001</w:t>
      </w:r>
      <w:r w:rsidR="00F92B51">
        <w:rPr>
          <w:rStyle w:val="Hyperlink"/>
          <w:sz w:val="24"/>
          <w:lang w:val="pl-PL"/>
        </w:rPr>
        <w:fldChar w:fldCharType="end"/>
      </w:r>
      <w:r w:rsidRPr="00933426">
        <w:rPr>
          <w:sz w:val="24"/>
          <w:lang w:val="pl-PL"/>
        </w:rPr>
        <w:t>,</w:t>
      </w:r>
      <w:r w:rsidRPr="00933426">
        <w:rPr>
          <w:sz w:val="24"/>
          <w:lang w:val="pl-PL"/>
        </w:rPr>
        <w:br/>
      </w:r>
      <w:hyperlink r:id="rId2" w:history="1">
        <w:r w:rsidRPr="00933426">
          <w:rPr>
            <w:rStyle w:val="Hyperlink"/>
            <w:sz w:val="24"/>
            <w:lang w:val="pl-PL"/>
          </w:rPr>
          <w:t>https://doi.org/10.1093/ije/dyz017</w:t>
        </w:r>
      </w:hyperlink>
      <w:r w:rsidRPr="00933426">
        <w:rPr>
          <w:sz w:val="24"/>
          <w:lang w:val="pl-PL"/>
        </w:rPr>
        <w:t>,</w:t>
      </w:r>
      <w:r w:rsidRPr="00933426">
        <w:rPr>
          <w:sz w:val="24"/>
          <w:lang w:val="pl-PL"/>
        </w:rPr>
        <w:br/>
      </w:r>
      <w:hyperlink r:id="rId3" w:history="1">
        <w:r w:rsidRPr="00933426">
          <w:rPr>
            <w:rStyle w:val="Hyperlink"/>
            <w:sz w:val="24"/>
            <w:lang w:val="pl-PL"/>
          </w:rPr>
          <w:t>https://doi.org/10.1371/journal.pone.0219610</w:t>
        </w:r>
      </w:hyperlink>
      <w:r w:rsidRPr="00933426">
        <w:rPr>
          <w:sz w:val="24"/>
          <w:lang w:val="pl-PL"/>
        </w:rPr>
        <w:t xml:space="preserve"> ja</w:t>
      </w:r>
      <w:r w:rsidRPr="00933426">
        <w:rPr>
          <w:sz w:val="24"/>
          <w:lang w:val="pl-PL"/>
        </w:rPr>
        <w:br/>
      </w:r>
      <w:hyperlink r:id="rId4" w:history="1">
        <w:r w:rsidRPr="00933426">
          <w:rPr>
            <w:rStyle w:val="Hyperlink"/>
            <w:sz w:val="24"/>
            <w:lang w:val="pl-PL"/>
          </w:rPr>
          <w:t>https://doi.org/10.1186/s13045-019-0767-9</w:t>
        </w:r>
      </w:hyperlink>
      <w:r w:rsidRPr="00933426">
        <w:rPr>
          <w:sz w:val="24"/>
          <w:lang w:val="pl-PL"/>
        </w:rPr>
        <w:t>.</w:t>
      </w:r>
    </w:p>
  </w:footnote>
  <w:footnote w:id="8">
    <w:p w14:paraId="7D0709DD" w14:textId="746445F6" w:rsidR="007318F1" w:rsidRPr="00A40298" w:rsidRDefault="007318F1" w:rsidP="00A40298">
      <w:pPr>
        <w:pStyle w:val="FootnoteText"/>
        <w:ind w:left="567" w:hanging="567"/>
        <w:rPr>
          <w:sz w:val="24"/>
          <w:lang w:val="fi-FI"/>
        </w:rPr>
      </w:pPr>
      <w:r w:rsidRPr="00A40298">
        <w:rPr>
          <w:rStyle w:val="FootnoteReference"/>
          <w:sz w:val="24"/>
          <w:lang w:val="fi-FI"/>
        </w:rPr>
        <w:footnoteRef/>
      </w:r>
      <w:r w:rsidR="00A40298" w:rsidRPr="00A40298">
        <w:rPr>
          <w:sz w:val="24"/>
          <w:lang w:val="fi-FI"/>
        </w:rPr>
        <w:t xml:space="preserve"> </w:t>
      </w:r>
      <w:r w:rsidR="00A40298" w:rsidRPr="00A40298">
        <w:rPr>
          <w:sz w:val="24"/>
          <w:lang w:val="fi-FI"/>
        </w:rPr>
        <w:tab/>
      </w:r>
      <w:r w:rsidRPr="00A40298">
        <w:rPr>
          <w:sz w:val="24"/>
          <w:lang w:val="fi-FI"/>
        </w:rPr>
        <w:t xml:space="preserve">Euroopan parlamentin ja neuvoston asetus (EY) N:o 1107/2009, annettu 21. lokakuuta 2009, kasvinsuojeluaineiden markkinoille saattamisesta sekä neuvoston direktiivien 79/117/ETY ja 91/414/ETY kumoamisesta (EUVL L 309, 24.11.2009, s. 1, ELI: </w:t>
      </w:r>
      <w:r w:rsidR="00F92B51">
        <w:fldChar w:fldCharType="begin"/>
      </w:r>
      <w:r w:rsidR="00F92B51" w:rsidRPr="00F92B51">
        <w:rPr>
          <w:lang w:val="fi-FI"/>
        </w:rPr>
        <w:instrText>HYPERLINK "http://data.europa.eu/eli/reg/2009/1107/oj" \o "Avaa asiakirjan ELI URI -tunnisteen kautta."</w:instrText>
      </w:r>
      <w:r w:rsidR="00F92B51">
        <w:fldChar w:fldCharType="separate"/>
      </w:r>
      <w:r w:rsidRPr="00A40298">
        <w:rPr>
          <w:rStyle w:val="Hyperlink"/>
          <w:sz w:val="24"/>
          <w:lang w:val="fi-FI"/>
        </w:rPr>
        <w:t>http://data.europa.eu/eli/reg/2009/1107/oj</w:t>
      </w:r>
      <w:r w:rsidR="00F92B51">
        <w:rPr>
          <w:rStyle w:val="Hyperlink"/>
          <w:sz w:val="24"/>
          <w:lang w:val="fi-FI"/>
        </w:rPr>
        <w:fldChar w:fldCharType="end"/>
      </w:r>
      <w:r w:rsidRPr="00A40298">
        <w:rPr>
          <w:sz w:val="24"/>
          <w:lang w:val="fi-FI"/>
        </w:rPr>
        <w:t>).</w:t>
      </w:r>
    </w:p>
  </w:footnote>
  <w:footnote w:id="9">
    <w:p w14:paraId="121256AE" w14:textId="45018815" w:rsidR="007318F1" w:rsidRPr="00933426" w:rsidRDefault="007318F1" w:rsidP="00A40298">
      <w:pPr>
        <w:pStyle w:val="FootnoteText"/>
        <w:ind w:left="567" w:hanging="567"/>
        <w:rPr>
          <w:sz w:val="24"/>
        </w:rPr>
      </w:pPr>
      <w:r w:rsidRPr="00A40298">
        <w:rPr>
          <w:rStyle w:val="FootnoteReference"/>
          <w:sz w:val="24"/>
          <w:lang w:val="fi-FI"/>
        </w:rPr>
        <w:footnoteRef/>
      </w:r>
      <w:r w:rsidR="00A40298" w:rsidRPr="00A40298">
        <w:rPr>
          <w:sz w:val="24"/>
          <w:lang w:val="fi-FI"/>
        </w:rPr>
        <w:t xml:space="preserve"> </w:t>
      </w:r>
      <w:r w:rsidR="00A40298" w:rsidRPr="00A40298">
        <w:rPr>
          <w:sz w:val="24"/>
          <w:lang w:val="fi-FI"/>
        </w:rPr>
        <w:tab/>
      </w:r>
      <w:r w:rsidRPr="00A40298">
        <w:rPr>
          <w:sz w:val="24"/>
          <w:lang w:val="fi-FI"/>
        </w:rPr>
        <w:t>Joulukuussa 2022 pidetyssä biologista monimuotoisuutta koskevan Yhdistyneiden kansakuntien yleissopimuksen sopimuspuolten 15. konferenssissa hyväksyttiin maailmanlaajuinen biodiversiteettikehys, joka sisältää maailmanlaajuisen tavoitteen vähentää torjunta-aineista aiheutuvia riskejä vähintään 50 prosentilla vuoteen 2030 mennessä (ks. </w:t>
      </w:r>
      <w:r w:rsidR="00F92B51">
        <w:fldChar w:fldCharType="begin"/>
      </w:r>
      <w:r w:rsidR="00F92B51" w:rsidRPr="00F92B51">
        <w:rPr>
          <w:lang w:val="fi-FI"/>
        </w:rPr>
        <w:instrText>HYPERLINK "https://ec.europa.eu/commission/presscorner/detail/fi/ip_22_7834"</w:instrText>
      </w:r>
      <w:r w:rsidR="00F92B51">
        <w:fldChar w:fldCharType="separate"/>
      </w:r>
      <w:r w:rsidRPr="00933426">
        <w:rPr>
          <w:rStyle w:val="Hyperlink"/>
          <w:sz w:val="24"/>
        </w:rPr>
        <w:t>https://ec.europa.eu/commission/presscorner/detail/fi/ip_22_7834</w:t>
      </w:r>
      <w:r w:rsidR="00F92B51">
        <w:rPr>
          <w:rStyle w:val="Hyperlink"/>
          <w:sz w:val="24"/>
        </w:rPr>
        <w:fldChar w:fldCharType="end"/>
      </w:r>
      <w:r w:rsidRPr="00933426">
        <w:rPr>
          <w:sz w:val="24"/>
        </w:rPr>
        <w:t>).</w:t>
      </w:r>
    </w:p>
  </w:footnote>
  <w:footnote w:id="10">
    <w:p w14:paraId="6493FA32" w14:textId="18588D47" w:rsidR="007318F1" w:rsidRPr="00933426" w:rsidRDefault="007318F1" w:rsidP="00A40298">
      <w:pPr>
        <w:pStyle w:val="FootnoteText"/>
        <w:ind w:left="567" w:hanging="567"/>
        <w:rPr>
          <w:sz w:val="24"/>
        </w:rPr>
      </w:pPr>
      <w:r w:rsidRPr="00A40298">
        <w:rPr>
          <w:rStyle w:val="FootnoteReference"/>
          <w:sz w:val="24"/>
          <w:lang w:val="fi-FI"/>
        </w:rPr>
        <w:footnoteRef/>
      </w:r>
      <w:r w:rsidR="00A40298" w:rsidRPr="00933426">
        <w:rPr>
          <w:sz w:val="24"/>
        </w:rPr>
        <w:t xml:space="preserve"> </w:t>
      </w:r>
      <w:r w:rsidR="00A40298" w:rsidRPr="00933426">
        <w:rPr>
          <w:sz w:val="24"/>
        </w:rPr>
        <w:tab/>
      </w:r>
      <w:hyperlink r:id="rId5" w:history="1">
        <w:r w:rsidRPr="00933426">
          <w:rPr>
            <w:rStyle w:val="Hyperlink"/>
            <w:sz w:val="24"/>
          </w:rPr>
          <w:t>https://commission.europa.eu/strategy-and-policy/priorities-2019-2024/european-green-deal/agriculture-and-green-deal/strategic-dialogue-future-eu-agriculture_fi</w:t>
        </w:r>
      </w:hyperlink>
      <w:r w:rsidRPr="00933426">
        <w:rPr>
          <w:rStyle w:val="Hyperlink"/>
          <w:sz w:val="24"/>
        </w:rPr>
        <w:t>.</w:t>
      </w:r>
    </w:p>
  </w:footnote>
  <w:footnote w:id="11">
    <w:p w14:paraId="1BF237B8" w14:textId="38DF9208" w:rsidR="007318F1" w:rsidRPr="00A40298" w:rsidRDefault="007318F1" w:rsidP="00A40298">
      <w:pPr>
        <w:pStyle w:val="FootnoteText"/>
        <w:ind w:left="567" w:hanging="567"/>
        <w:rPr>
          <w:sz w:val="24"/>
          <w:lang w:val="fi-FI"/>
        </w:rPr>
      </w:pPr>
      <w:r w:rsidRPr="00A40298">
        <w:rPr>
          <w:rStyle w:val="FootnoteReference"/>
          <w:sz w:val="24"/>
          <w:lang w:val="fi-FI"/>
        </w:rPr>
        <w:footnoteRef/>
      </w:r>
      <w:r w:rsidR="00A40298" w:rsidRPr="00A40298">
        <w:rPr>
          <w:sz w:val="24"/>
          <w:lang w:val="fi-FI"/>
        </w:rPr>
        <w:t xml:space="preserve"> </w:t>
      </w:r>
      <w:r w:rsidR="00A40298" w:rsidRPr="00A40298">
        <w:rPr>
          <w:sz w:val="24"/>
          <w:lang w:val="fi-FI"/>
        </w:rPr>
        <w:tab/>
      </w:r>
      <w:r w:rsidRPr="00A40298">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r w:rsidR="00F92B51">
        <w:fldChar w:fldCharType="begin"/>
      </w:r>
      <w:r w:rsidR="00F92B51" w:rsidRPr="00F92B51">
        <w:rPr>
          <w:lang w:val="fi-FI"/>
        </w:rPr>
        <w:instrText>HYPERLINK "http://data.europa.eu/eli/reg/2002/178/oj" \t "Gives%20access%20to%20this%20document%20through%20its%20ELI%20URI."</w:instrText>
      </w:r>
      <w:r w:rsidR="00F92B51">
        <w:fldChar w:fldCharType="separate"/>
      </w:r>
      <w:r w:rsidRPr="00A40298">
        <w:rPr>
          <w:rStyle w:val="Hyperlink"/>
          <w:sz w:val="24"/>
          <w:lang w:val="fi-FI"/>
        </w:rPr>
        <w:t>http://data.europa.eu/eli/reg/2002/178/oj</w:t>
      </w:r>
      <w:r w:rsidR="00F92B51">
        <w:rPr>
          <w:rStyle w:val="Hyperlink"/>
          <w:sz w:val="24"/>
          <w:lang w:val="fi-FI"/>
        </w:rPr>
        <w:fldChar w:fldCharType="end"/>
      </w:r>
      <w:r w:rsidRPr="00A40298">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108282">
    <w:abstractNumId w:val="9"/>
  </w:num>
  <w:num w:numId="2" w16cid:durableId="102385946">
    <w:abstractNumId w:val="9"/>
  </w:num>
  <w:num w:numId="3" w16cid:durableId="253251523">
    <w:abstractNumId w:val="7"/>
  </w:num>
  <w:num w:numId="4" w16cid:durableId="1525555174">
    <w:abstractNumId w:val="7"/>
  </w:num>
  <w:num w:numId="5" w16cid:durableId="687635406">
    <w:abstractNumId w:val="6"/>
  </w:num>
  <w:num w:numId="6" w16cid:durableId="1463378589">
    <w:abstractNumId w:val="6"/>
  </w:num>
  <w:num w:numId="7" w16cid:durableId="1215505386">
    <w:abstractNumId w:val="5"/>
  </w:num>
  <w:num w:numId="8" w16cid:durableId="2041129826">
    <w:abstractNumId w:val="5"/>
  </w:num>
  <w:num w:numId="9" w16cid:durableId="92483697">
    <w:abstractNumId w:val="4"/>
  </w:num>
  <w:num w:numId="10" w16cid:durableId="38826924">
    <w:abstractNumId w:val="4"/>
  </w:num>
  <w:num w:numId="11" w16cid:durableId="1030448087">
    <w:abstractNumId w:val="8"/>
  </w:num>
  <w:num w:numId="12" w16cid:durableId="1464419224">
    <w:abstractNumId w:val="8"/>
  </w:num>
  <w:num w:numId="13" w16cid:durableId="179588353">
    <w:abstractNumId w:val="3"/>
  </w:num>
  <w:num w:numId="14" w16cid:durableId="1971324253">
    <w:abstractNumId w:val="3"/>
  </w:num>
  <w:num w:numId="15" w16cid:durableId="1960529452">
    <w:abstractNumId w:val="2"/>
  </w:num>
  <w:num w:numId="16" w16cid:durableId="608437417">
    <w:abstractNumId w:val="2"/>
  </w:num>
  <w:num w:numId="17" w16cid:durableId="264656224">
    <w:abstractNumId w:val="1"/>
  </w:num>
  <w:num w:numId="18" w16cid:durableId="1914461532">
    <w:abstractNumId w:val="1"/>
  </w:num>
  <w:num w:numId="19" w16cid:durableId="951982970">
    <w:abstractNumId w:val="0"/>
  </w:num>
  <w:num w:numId="20" w16cid:durableId="1463234602">
    <w:abstractNumId w:val="0"/>
  </w:num>
  <w:num w:numId="21" w16cid:durableId="1180242715">
    <w:abstractNumId w:val="9"/>
  </w:num>
  <w:num w:numId="22" w16cid:durableId="21321681">
    <w:abstractNumId w:val="7"/>
  </w:num>
  <w:num w:numId="23" w16cid:durableId="1403404643">
    <w:abstractNumId w:val="6"/>
  </w:num>
  <w:num w:numId="24" w16cid:durableId="508567294">
    <w:abstractNumId w:val="5"/>
  </w:num>
  <w:num w:numId="25" w16cid:durableId="1895384961">
    <w:abstractNumId w:val="4"/>
  </w:num>
  <w:num w:numId="26" w16cid:durableId="1660309289">
    <w:abstractNumId w:val="8"/>
  </w:num>
  <w:num w:numId="27" w16cid:durableId="912660919">
    <w:abstractNumId w:val="3"/>
  </w:num>
  <w:num w:numId="28" w16cid:durableId="1512178732">
    <w:abstractNumId w:val="2"/>
  </w:num>
  <w:num w:numId="29" w16cid:durableId="962462044">
    <w:abstractNumId w:val="1"/>
  </w:num>
  <w:num w:numId="30" w16cid:durableId="1857764173">
    <w:abstractNumId w:val="0"/>
  </w:num>
  <w:num w:numId="31" w16cid:durableId="1527989165">
    <w:abstractNumId w:val="9"/>
  </w:num>
  <w:num w:numId="32" w16cid:durableId="129834693">
    <w:abstractNumId w:val="7"/>
  </w:num>
  <w:num w:numId="33" w16cid:durableId="1511481844">
    <w:abstractNumId w:val="6"/>
  </w:num>
  <w:num w:numId="34" w16cid:durableId="1246960420">
    <w:abstractNumId w:val="5"/>
  </w:num>
  <w:num w:numId="35" w16cid:durableId="1635409336">
    <w:abstractNumId w:val="4"/>
  </w:num>
  <w:num w:numId="36" w16cid:durableId="2117866644">
    <w:abstractNumId w:val="8"/>
  </w:num>
  <w:num w:numId="37" w16cid:durableId="1022168817">
    <w:abstractNumId w:val="3"/>
  </w:num>
  <w:num w:numId="38" w16cid:durableId="2049330566">
    <w:abstractNumId w:val="2"/>
  </w:num>
  <w:num w:numId="39" w16cid:durableId="1744058453">
    <w:abstractNumId w:val="1"/>
  </w:num>
  <w:num w:numId="40" w16cid:durableId="596332343">
    <w:abstractNumId w:val="0"/>
  </w:num>
  <w:num w:numId="41" w16cid:durableId="798449915">
    <w:abstractNumId w:val="10"/>
  </w:num>
  <w:num w:numId="42" w16cid:durableId="609314591">
    <w:abstractNumId w:val="10"/>
  </w:num>
  <w:num w:numId="43" w16cid:durableId="1002852580">
    <w:abstractNumId w:val="10"/>
  </w:num>
  <w:num w:numId="44" w16cid:durableId="10691110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FI"/>
    <w:docVar w:name="dvnumam" w:val="0"/>
    <w:docVar w:name="dvpe" w:val="779.398"/>
    <w:docVar w:name="dvtitre" w:val="Euroopan parlamentin päätöslauselma xx.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D110122/02 – 2025/2959(RSP))"/>
  </w:docVars>
  <w:rsids>
    <w:rsidRoot w:val="00AC345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E5C"/>
    <w:rsid w:val="004C5D52"/>
    <w:rsid w:val="0050519A"/>
    <w:rsid w:val="005072A1"/>
    <w:rsid w:val="00514517"/>
    <w:rsid w:val="00545827"/>
    <w:rsid w:val="00560270"/>
    <w:rsid w:val="005C2568"/>
    <w:rsid w:val="005F1B17"/>
    <w:rsid w:val="006037C0"/>
    <w:rsid w:val="006631B6"/>
    <w:rsid w:val="00680577"/>
    <w:rsid w:val="006F74FA"/>
    <w:rsid w:val="007318F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426"/>
    <w:rsid w:val="009509D8"/>
    <w:rsid w:val="00950B64"/>
    <w:rsid w:val="00981893"/>
    <w:rsid w:val="00A1687D"/>
    <w:rsid w:val="00A40298"/>
    <w:rsid w:val="00A43E52"/>
    <w:rsid w:val="00A4678D"/>
    <w:rsid w:val="00A778C7"/>
    <w:rsid w:val="00AB441E"/>
    <w:rsid w:val="00AB6293"/>
    <w:rsid w:val="00AC3450"/>
    <w:rsid w:val="00AE0928"/>
    <w:rsid w:val="00AF3B82"/>
    <w:rsid w:val="00B12E95"/>
    <w:rsid w:val="00B22876"/>
    <w:rsid w:val="00B4415A"/>
    <w:rsid w:val="00B558F0"/>
    <w:rsid w:val="00BD48FE"/>
    <w:rsid w:val="00BD7BD8"/>
    <w:rsid w:val="00BE6ADC"/>
    <w:rsid w:val="00C05BFE"/>
    <w:rsid w:val="00C23CD4"/>
    <w:rsid w:val="00C61C0C"/>
    <w:rsid w:val="00C8409F"/>
    <w:rsid w:val="00C941CB"/>
    <w:rsid w:val="00CB1421"/>
    <w:rsid w:val="00CC2357"/>
    <w:rsid w:val="00CF071A"/>
    <w:rsid w:val="00D058B8"/>
    <w:rsid w:val="00D56C11"/>
    <w:rsid w:val="00D834A0"/>
    <w:rsid w:val="00D872DF"/>
    <w:rsid w:val="00D91E21"/>
    <w:rsid w:val="00DA7FCD"/>
    <w:rsid w:val="00E365E1"/>
    <w:rsid w:val="00E820A4"/>
    <w:rsid w:val="00EB006A"/>
    <w:rsid w:val="00EB4772"/>
    <w:rsid w:val="00ED0D41"/>
    <w:rsid w:val="00ED169E"/>
    <w:rsid w:val="00ED4235"/>
    <w:rsid w:val="00F04346"/>
    <w:rsid w:val="00F075DC"/>
    <w:rsid w:val="00F149E9"/>
    <w:rsid w:val="00F5134D"/>
    <w:rsid w:val="00F74202"/>
    <w:rsid w:val="00F87713"/>
    <w:rsid w:val="00F92B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BC221"/>
  <w15:chartTrackingRefBased/>
  <w15:docId w15:val="{5EA01E3E-F319-49C0-8483-68DE51612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409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7318F1"/>
    <w:pPr>
      <w:spacing w:before="480" w:after="240"/>
    </w:pPr>
  </w:style>
  <w:style w:type="paragraph" w:customStyle="1" w:styleId="NormalHanging12a">
    <w:name w:val="NormalHanging12a"/>
    <w:basedOn w:val="Normal"/>
    <w:uiPriority w:val="99"/>
    <w:qFormat/>
    <w:rsid w:val="007318F1"/>
    <w:pPr>
      <w:spacing w:after="240"/>
      <w:ind w:left="567" w:hanging="567"/>
    </w:pPr>
  </w:style>
  <w:style w:type="character" w:styleId="Hyperlink">
    <w:name w:val="Hyperlink"/>
    <w:basedOn w:val="DefaultParagraphFont"/>
    <w:uiPriority w:val="99"/>
    <w:rsid w:val="007318F1"/>
    <w:rPr>
      <w:color w:val="0563C1" w:themeColor="hyperlink"/>
      <w:u w:val="single"/>
    </w:rPr>
  </w:style>
  <w:style w:type="paragraph" w:styleId="NormalWeb">
    <w:name w:val="Normal (Web)"/>
    <w:basedOn w:val="Normal"/>
    <w:uiPriority w:val="99"/>
    <w:unhideWhenUsed/>
    <w:rsid w:val="007318F1"/>
    <w:pPr>
      <w:widowControl/>
      <w:spacing w:before="100" w:beforeAutospacing="1" w:after="100" w:afterAutospacing="1"/>
    </w:pPr>
    <w:rPr>
      <w:szCs w:val="24"/>
    </w:rPr>
  </w:style>
  <w:style w:type="paragraph" w:styleId="Footer">
    <w:name w:val="footer"/>
    <w:basedOn w:val="Normal"/>
    <w:link w:val="FooterChar"/>
    <w:rsid w:val="00C8409F"/>
    <w:pPr>
      <w:tabs>
        <w:tab w:val="center" w:pos="4513"/>
        <w:tab w:val="right" w:pos="9026"/>
      </w:tabs>
    </w:pPr>
  </w:style>
  <w:style w:type="character" w:customStyle="1" w:styleId="FooterChar">
    <w:name w:val="Footer Char"/>
    <w:basedOn w:val="DefaultParagraphFont"/>
    <w:link w:val="Footer"/>
    <w:rsid w:val="00C8409F"/>
    <w:rPr>
      <w:sz w:val="24"/>
      <w:lang w:val="fi-FI"/>
    </w:rPr>
  </w:style>
  <w:style w:type="paragraph" w:styleId="Revision">
    <w:name w:val="Revision"/>
    <w:hidden/>
    <w:uiPriority w:val="99"/>
    <w:semiHidden/>
    <w:rsid w:val="0093342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371/journal.pone.0219610" TargetMode="External"/><Relationship Id="rId2"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5" Type="http://schemas.openxmlformats.org/officeDocument/2006/relationships/hyperlink" Target="https://commission.europa.eu/strategy-and-policy/priorities-2019-2024/european-green-deal/agriculture-and-green-deal/strategic-dialogue-future-eu-agriculture_fi" TargetMode="External"/><Relationship Id="rId4"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1282</Words>
  <Characters>10957</Characters>
  <Application>Microsoft Office Word</Application>
  <DocSecurity>0</DocSecurity>
  <Lines>202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2025-12-16T12:30:00Z</dcterms:created>
  <dcterms:modified xsi:type="dcterms:W3CDTF">2025-12-16T12:30:00Z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B10-0559/2025</vt:lpwstr>
  </property>
  <property fmtid="{D5CDD505-2E9C-101B-9397-08002B2CF9AE}" pid="4" name="&lt;Type&gt;">
    <vt:lpwstr>RR</vt:lpwstr>
  </property>
</Properties>
</file>