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0DCC" w14:paraId="06110A99" w14:textId="77777777" w:rsidTr="0010095E">
        <w:trPr>
          <w:trHeight w:hRule="exact" w:val="1418"/>
        </w:trPr>
        <w:tc>
          <w:tcPr>
            <w:tcW w:w="6804" w:type="dxa"/>
            <w:shd w:val="clear" w:color="auto" w:fill="auto"/>
            <w:vAlign w:val="center"/>
          </w:tcPr>
          <w:p w14:paraId="0982374F" w14:textId="77777777" w:rsidR="00751A4A" w:rsidRPr="00400DCC" w:rsidRDefault="008711DF" w:rsidP="0010095E">
            <w:pPr>
              <w:pStyle w:val="EPName"/>
            </w:pPr>
            <w:r w:rsidRPr="00400DCC">
              <w:t>Parlement européen</w:t>
            </w:r>
          </w:p>
          <w:p w14:paraId="63907E0E" w14:textId="77777777" w:rsidR="00751A4A" w:rsidRPr="00400DCC" w:rsidRDefault="005F1B17" w:rsidP="005F1B17">
            <w:pPr>
              <w:pStyle w:val="EPTerm"/>
              <w:rPr>
                <w:rStyle w:val="HideTWBExt"/>
                <w:noProof w:val="0"/>
                <w:vanish w:val="0"/>
                <w:color w:val="auto"/>
              </w:rPr>
            </w:pPr>
            <w:r w:rsidRPr="00400DCC">
              <w:t>2024</w:t>
            </w:r>
            <w:r w:rsidR="00817416" w:rsidRPr="00400DCC">
              <w:t>-202</w:t>
            </w:r>
            <w:r w:rsidRPr="00400DCC">
              <w:t>9</w:t>
            </w:r>
          </w:p>
        </w:tc>
        <w:tc>
          <w:tcPr>
            <w:tcW w:w="2268" w:type="dxa"/>
            <w:shd w:val="clear" w:color="auto" w:fill="auto"/>
          </w:tcPr>
          <w:p w14:paraId="3940CD4E" w14:textId="77777777" w:rsidR="00751A4A" w:rsidRPr="00400DCC" w:rsidRDefault="00187494" w:rsidP="0010095E">
            <w:pPr>
              <w:pStyle w:val="EPLogo"/>
            </w:pPr>
            <w:r w:rsidRPr="00400DCC">
              <w:rPr>
                <w:noProof/>
                <w:lang w:eastAsia="ja-JP"/>
              </w:rPr>
              <w:drawing>
                <wp:inline distT="0" distB="0" distL="0" distR="0" wp14:anchorId="66CC7E13" wp14:editId="4E0D8D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D03A37" w14:textId="77777777" w:rsidR="00D058B8" w:rsidRPr="00400DCC" w:rsidRDefault="00D058B8" w:rsidP="004C5D52">
      <w:pPr>
        <w:pStyle w:val="LineTop"/>
      </w:pPr>
    </w:p>
    <w:p w14:paraId="0D563763" w14:textId="77777777" w:rsidR="00680577" w:rsidRPr="00400DCC" w:rsidRDefault="008711DF" w:rsidP="00680577">
      <w:pPr>
        <w:pStyle w:val="EPBodyTA1"/>
      </w:pPr>
      <w:r w:rsidRPr="00400DCC">
        <w:t>TEXTES ADOPTÉS</w:t>
      </w:r>
    </w:p>
    <w:p w14:paraId="3F97778E" w14:textId="77777777" w:rsidR="00D058B8" w:rsidRPr="00400DCC" w:rsidRDefault="00D058B8" w:rsidP="00D058B8">
      <w:pPr>
        <w:pStyle w:val="LineBottom"/>
      </w:pPr>
    </w:p>
    <w:p w14:paraId="30D24AF8" w14:textId="706D7E4F" w:rsidR="008711DF" w:rsidRPr="00400DCC" w:rsidRDefault="008711DF" w:rsidP="008711DF">
      <w:pPr>
        <w:pStyle w:val="ATHeading1"/>
      </w:pPr>
      <w:bookmarkStart w:id="0" w:name="TANumber"/>
      <w:r w:rsidRPr="00400DCC">
        <w:t>P10_</w:t>
      </w:r>
      <w:proofErr w:type="gramStart"/>
      <w:r w:rsidRPr="00400DCC">
        <w:t>TA(</w:t>
      </w:r>
      <w:proofErr w:type="gramEnd"/>
      <w:r w:rsidRPr="00400DCC">
        <w:t>2025)0</w:t>
      </w:r>
      <w:bookmarkEnd w:id="0"/>
      <w:r w:rsidR="00A86FBD">
        <w:t>328</w:t>
      </w:r>
    </w:p>
    <w:p w14:paraId="0E92D168" w14:textId="59EDF4D5" w:rsidR="008711DF" w:rsidRPr="00400DCC" w:rsidRDefault="00125CEC" w:rsidP="008711DF">
      <w:pPr>
        <w:pStyle w:val="ATHeading2"/>
      </w:pPr>
      <w:bookmarkStart w:id="1" w:name="title"/>
      <w:r>
        <w:t>B</w:t>
      </w:r>
      <w:r w:rsidRPr="00125CEC">
        <w:t>etterave sucrière génétiquement modifiée KWS20-1</w:t>
      </w:r>
      <w:bookmarkEnd w:id="1"/>
    </w:p>
    <w:p w14:paraId="317836EF" w14:textId="77777777" w:rsidR="008711DF" w:rsidRPr="00400DCC" w:rsidRDefault="008711DF" w:rsidP="008711DF">
      <w:pPr>
        <w:rPr>
          <w:i/>
          <w:vanish/>
        </w:rPr>
      </w:pPr>
      <w:r w:rsidRPr="00400DCC">
        <w:rPr>
          <w:i/>
        </w:rPr>
        <w:fldChar w:fldCharType="begin"/>
      </w:r>
      <w:r w:rsidRPr="00400DCC">
        <w:rPr>
          <w:i/>
        </w:rPr>
        <w:instrText xml:space="preserve"> TC"(</w:instrText>
      </w:r>
      <w:bookmarkStart w:id="2" w:name="DocNumber"/>
      <w:r w:rsidRPr="00400DCC">
        <w:rPr>
          <w:i/>
        </w:rPr>
        <w:instrText>B10-0559/2025</w:instrText>
      </w:r>
      <w:bookmarkEnd w:id="2"/>
      <w:r w:rsidRPr="00400DCC">
        <w:rPr>
          <w:i/>
        </w:rPr>
        <w:instrText xml:space="preserve">)"\l3 \n&gt; \* MERGEFORMAT </w:instrText>
      </w:r>
      <w:r w:rsidRPr="00400DCC">
        <w:rPr>
          <w:i/>
        </w:rPr>
        <w:fldChar w:fldCharType="end"/>
      </w:r>
    </w:p>
    <w:p w14:paraId="6BE0327B" w14:textId="77777777" w:rsidR="008711DF" w:rsidRPr="00400DCC" w:rsidRDefault="008711DF" w:rsidP="008711DF">
      <w:pPr>
        <w:rPr>
          <w:vanish/>
        </w:rPr>
      </w:pPr>
      <w:bookmarkStart w:id="3" w:name="PE"/>
      <w:r w:rsidRPr="00400DCC">
        <w:rPr>
          <w:vanish/>
        </w:rPr>
        <w:t>PE779.398</w:t>
      </w:r>
      <w:bookmarkEnd w:id="3"/>
    </w:p>
    <w:p w14:paraId="25FEACDE" w14:textId="36C59D18" w:rsidR="008711DF" w:rsidRPr="00400DCC" w:rsidRDefault="008711DF" w:rsidP="00765042">
      <w:pPr>
        <w:pStyle w:val="ATHeading3"/>
      </w:pPr>
      <w:bookmarkStart w:id="4" w:name="Sujet"/>
      <w:r w:rsidRPr="00400DCC">
        <w:t xml:space="preserve">Résolution du Parlement européen du </w:t>
      </w:r>
      <w:r w:rsidR="00125CEC">
        <w:t xml:space="preserve">16 </w:t>
      </w:r>
      <w:r w:rsidR="00765042">
        <w:t>décembre</w:t>
      </w:r>
      <w:r w:rsidRPr="00400DCC">
        <w:t xml:space="preserv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w:t>
      </w:r>
      <w:bookmarkEnd w:id="4"/>
      <w:r w:rsidRPr="00400DCC">
        <w:t xml:space="preserve"> </w:t>
      </w:r>
      <w:bookmarkStart w:id="5" w:name="References"/>
      <w:r w:rsidRPr="00400DCC">
        <w:t>(D110122/02 – 2025/2959(RSP))</w:t>
      </w:r>
      <w:bookmarkEnd w:id="5"/>
    </w:p>
    <w:p w14:paraId="01936A32" w14:textId="77777777" w:rsidR="006E79DF" w:rsidRPr="00400DCC" w:rsidRDefault="006E79DF" w:rsidP="006E79DF">
      <w:pPr>
        <w:pStyle w:val="EPComma"/>
      </w:pPr>
      <w:bookmarkStart w:id="6" w:name="TextBodyBegin"/>
      <w:bookmarkEnd w:id="6"/>
      <w:r w:rsidRPr="00400DCC">
        <w:rPr>
          <w:i/>
        </w:rPr>
        <w:t>Le Parlement européen</w:t>
      </w:r>
      <w:r w:rsidRPr="00400DCC">
        <w:t>,</w:t>
      </w:r>
    </w:p>
    <w:p w14:paraId="0F5DB3DE" w14:textId="77777777" w:rsidR="006E79DF" w:rsidRPr="00400DCC" w:rsidRDefault="006E79DF" w:rsidP="006E79DF">
      <w:pPr>
        <w:pStyle w:val="NormalHanging12a"/>
      </w:pPr>
      <w:r w:rsidRPr="00400DCC">
        <w:t>–</w:t>
      </w:r>
      <w:r w:rsidRPr="00400DCC">
        <w:tab/>
        <w:t>vu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(D110122/02),</w:t>
      </w:r>
    </w:p>
    <w:p w14:paraId="18CA0BDE" w14:textId="77777777" w:rsidR="006E79DF" w:rsidRPr="00400DCC" w:rsidRDefault="006E79DF" w:rsidP="006E79DF">
      <w:pPr>
        <w:pStyle w:val="NormalHanging12a"/>
      </w:pPr>
      <w:r w:rsidRPr="00400DCC">
        <w:t>–</w:t>
      </w:r>
      <w:r w:rsidRPr="00400DCC">
        <w:tab/>
        <w:t>vu le règlement (CE) nº 1829/2003 du Parlement européen et du Conseil du 22 septembre 2003 concernant les denrées alimentaires et les aliments pour animaux génétiquement modifiés</w:t>
      </w:r>
      <w:r w:rsidRPr="00400DCC">
        <w:rPr>
          <w:vertAlign w:val="superscript"/>
        </w:rPr>
        <w:footnoteReference w:id="1"/>
      </w:r>
      <w:r w:rsidRPr="00400DCC">
        <w:t>, et notamment son article 7, paragraphe 3, et son article 19, paragraphe 3,</w:t>
      </w:r>
    </w:p>
    <w:p w14:paraId="1A35F5D1" w14:textId="0C1C9B1B" w:rsidR="006E79DF" w:rsidRPr="00400DCC" w:rsidRDefault="006E79DF" w:rsidP="006E79DF">
      <w:pPr>
        <w:pStyle w:val="NormalHanging12a"/>
      </w:pPr>
      <w:r w:rsidRPr="00400DCC">
        <w:t>–</w:t>
      </w:r>
      <w:r w:rsidRPr="00400DCC">
        <w:tab/>
        <w:t>vu le vote du 14 octobre 2025 du comité permanent des végétaux, des animaux, des denrées alimentaires et des aliments pour animaux, visé à l’article 35 du règlement (CE) nº 1829/2003, par lequel ledit comité a décidé de ne pas rendre d’avis,</w:t>
      </w:r>
      <w:r w:rsidR="00125CEC">
        <w:t xml:space="preserve"> </w:t>
      </w:r>
      <w:r w:rsidR="00125CEC" w:rsidRPr="00125CEC">
        <w:t>et le vote du comité d’appel du 28 novembre 2025, au cours duquel, une fois encore, aucun avis n’a été rendu.</w:t>
      </w:r>
    </w:p>
    <w:p w14:paraId="23240A90" w14:textId="77777777" w:rsidR="006E79DF" w:rsidRPr="00400DCC" w:rsidRDefault="006E79DF" w:rsidP="006E79DF">
      <w:pPr>
        <w:pStyle w:val="NormalHanging12a"/>
        <w:widowControl/>
      </w:pPr>
      <w:r w:rsidRPr="00400DCC">
        <w:t>–</w:t>
      </w:r>
      <w:r w:rsidRPr="00400DCC">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400DCC">
        <w:rPr>
          <w:rStyle w:val="FootnoteReference"/>
          <w:szCs w:val="24"/>
        </w:rPr>
        <w:footnoteReference w:id="2"/>
      </w:r>
      <w:r w:rsidRPr="00400DCC">
        <w:t>,</w:t>
      </w:r>
    </w:p>
    <w:p w14:paraId="38B5F7EA" w14:textId="77777777" w:rsidR="006E79DF" w:rsidRPr="00400DCC" w:rsidRDefault="006E79DF" w:rsidP="006E79DF">
      <w:pPr>
        <w:pStyle w:val="NormalHanging12a"/>
      </w:pPr>
      <w:r w:rsidRPr="00400DCC">
        <w:t>–</w:t>
      </w:r>
      <w:r w:rsidRPr="00400DCC">
        <w:tab/>
        <w:t xml:space="preserve">vu l’avis adopté par l’Autorité européenne de sécurité des aliments (EFSA) le </w:t>
      </w:r>
      <w:r w:rsidRPr="00400DCC">
        <w:lastRenderedPageBreak/>
        <w:t>26 mars 2025 et publié le 12 mai 2025</w:t>
      </w:r>
      <w:r w:rsidRPr="00400DCC">
        <w:rPr>
          <w:rStyle w:val="FootnoteReference"/>
        </w:rPr>
        <w:footnoteReference w:id="3"/>
      </w:r>
      <w:r w:rsidRPr="00400DCC">
        <w:t>,</w:t>
      </w:r>
    </w:p>
    <w:p w14:paraId="37F493AD" w14:textId="77777777" w:rsidR="006E79DF" w:rsidRPr="00400DCC" w:rsidRDefault="006E79DF" w:rsidP="006E79DF">
      <w:pPr>
        <w:pStyle w:val="NormalHanging12a"/>
      </w:pPr>
      <w:r w:rsidRPr="00400DCC">
        <w:t>–</w:t>
      </w:r>
      <w:r w:rsidRPr="00400DCC">
        <w:tab/>
        <w:t>vu ses résolutions précédentes s’opposant à l’autorisation d’organismes génétiquement modifiés (OGM)</w:t>
      </w:r>
      <w:r w:rsidRPr="00400DCC">
        <w:rPr>
          <w:rStyle w:val="FootnoteReference"/>
        </w:rPr>
        <w:footnoteReference w:id="4"/>
      </w:r>
      <w:r w:rsidRPr="00400DCC">
        <w:t>,</w:t>
      </w:r>
    </w:p>
    <w:p w14:paraId="3CD236E7" w14:textId="77777777" w:rsidR="006E79DF" w:rsidRPr="00400DCC" w:rsidRDefault="006E79DF" w:rsidP="006E79DF">
      <w:pPr>
        <w:pStyle w:val="NormalHanging12a"/>
      </w:pPr>
      <w:r w:rsidRPr="00400DCC">
        <w:lastRenderedPageBreak/>
        <w:t>–</w:t>
      </w:r>
      <w:r w:rsidRPr="00400DCC">
        <w:tab/>
        <w:t>vu l'article 115, paragraphes 2 et 3, de son règlement intérieur,</w:t>
      </w:r>
    </w:p>
    <w:p w14:paraId="67911AB3" w14:textId="77777777" w:rsidR="006E79DF" w:rsidRPr="00400DCC" w:rsidRDefault="006E79DF" w:rsidP="006E79DF">
      <w:pPr>
        <w:pStyle w:val="NormalHanging12a"/>
      </w:pPr>
      <w:r w:rsidRPr="00400DCC">
        <w:t>–</w:t>
      </w:r>
      <w:r w:rsidRPr="00400DCC">
        <w:tab/>
        <w:t>vu la proposition de résolution de la commission de l’environnement, du climat et de la sécurité alimentaire,</w:t>
      </w:r>
    </w:p>
    <w:p w14:paraId="44BA3C9D" w14:textId="77777777" w:rsidR="006E79DF" w:rsidRPr="00400DCC" w:rsidRDefault="006E79DF" w:rsidP="006E79DF">
      <w:pPr>
        <w:pStyle w:val="NormalHanging12a"/>
      </w:pPr>
      <w:r w:rsidRPr="00400DCC">
        <w:t>A.</w:t>
      </w:r>
      <w:r w:rsidRPr="00400DCC">
        <w:tab/>
        <w:t xml:space="preserve">considérant que, le 30 mai 2023, Bayer Agriculture B.V., société établie en Belgique et agissant au nom de Bayer CropScience LP, établie aux États-Unis, et KWS SAAT SE &amp; Co. KGaA, établie en Allemagne, a, en application des articles 5 et 17 du règlement (CE) n° 1829/2003, adressé </w:t>
      </w:r>
      <w:r w:rsidRPr="00400DCC">
        <w:rPr>
          <w:snapToGrid w:val="0"/>
        </w:rPr>
        <w:t>à l’autorité nationale compétente des Pays-Bas une demande</w:t>
      </w:r>
      <w:r w:rsidRPr="00400DCC">
        <w:t xml:space="preserve"> de mise sur le marché de denrées alimentaires, d’ingrédients alimentaires et d’aliments pour animaux produits à partir de betterave sucrière génétiquement modifiée KWS20-1 (ci-après la «betterave sucrière génétiquement modifiée»);</w:t>
      </w:r>
    </w:p>
    <w:p w14:paraId="37B428FB" w14:textId="77777777" w:rsidR="006E79DF" w:rsidRPr="00400DCC" w:rsidRDefault="006E79DF" w:rsidP="006E79DF">
      <w:pPr>
        <w:pStyle w:val="NormalHanging12a"/>
      </w:pPr>
      <w:r w:rsidRPr="00400DCC">
        <w:t>B.</w:t>
      </w:r>
      <w:r w:rsidRPr="00400DCC">
        <w:tab/>
        <w:t xml:space="preserve">considérant que l’EFSA a rendu un avis scientifique favorable le 12 mai 2025, concluant que la betterave sucrière génétiquement modifiée est aussi sûre que ses produits conventionnels de </w:t>
      </w:r>
      <w:proofErr w:type="gramStart"/>
      <w:r w:rsidRPr="00400DCC">
        <w:t>référence;</w:t>
      </w:r>
      <w:proofErr w:type="gramEnd"/>
      <w:r w:rsidRPr="00400DCC">
        <w:t xml:space="preserve"> que cet avis n’a tenu aucun compte de plusieurs effets environnementaux, socio-économiques et cumulés plus larges, dont l’EFSA estime qu’ils ne relèvent pas de sa compétence;</w:t>
      </w:r>
    </w:p>
    <w:p w14:paraId="1594E5C6" w14:textId="77777777" w:rsidR="006E79DF" w:rsidRPr="00400DCC" w:rsidRDefault="006E79DF" w:rsidP="006E79DF">
      <w:pPr>
        <w:pStyle w:val="NormalHanging12a"/>
      </w:pPr>
      <w:r w:rsidRPr="00400DCC">
        <w:t>C.</w:t>
      </w:r>
      <w:r w:rsidRPr="00400DCC">
        <w:tab/>
        <w:t xml:space="preserve">considérant que la betterave sucrière génétiquement modifiée a été mise au point afin de lui conférer une tolérance aux herbicides à base de glyphosate, de dicamba et de glufosinate </w:t>
      </w:r>
      <w:proofErr w:type="gramStart"/>
      <w:r w:rsidRPr="00400DCC">
        <w:t>d’ammonium;</w:t>
      </w:r>
      <w:proofErr w:type="gramEnd"/>
    </w:p>
    <w:p w14:paraId="0C3FA670" w14:textId="77777777" w:rsidR="006E79DF" w:rsidRPr="00400DCC" w:rsidRDefault="006E79DF" w:rsidP="006E79DF">
      <w:pPr>
        <w:pStyle w:val="NormalHanging12a"/>
      </w:pPr>
      <w:r w:rsidRPr="00400DCC">
        <w:t>D.</w:t>
      </w:r>
      <w:r w:rsidRPr="00400DCC">
        <w:tab/>
        <w:t xml:space="preserve">considérant que l’évaluation des risques réalisée par l’EFSA ne s’appuie sur aucune étude toxicologique à long terme ni analyse détaillée des effets cumulés et combinés, dont les interactions potentielles avec les résidus de pesticides couramment utilisés dans la culture de la betterave </w:t>
      </w:r>
      <w:proofErr w:type="gramStart"/>
      <w:r w:rsidRPr="00400DCC">
        <w:t>sucrière;</w:t>
      </w:r>
      <w:proofErr w:type="gramEnd"/>
      <w:r w:rsidRPr="00400DCC">
        <w:t xml:space="preserve"> </w:t>
      </w:r>
    </w:p>
    <w:p w14:paraId="00E0D16F" w14:textId="77777777" w:rsidR="006E79DF" w:rsidRPr="00400DCC" w:rsidRDefault="006E79DF" w:rsidP="006E79DF">
      <w:pPr>
        <w:pStyle w:val="NormalHanging12a"/>
        <w:rPr>
          <w:color w:val="000000" w:themeColor="text1"/>
          <w:szCs w:val="24"/>
        </w:rPr>
      </w:pPr>
      <w:r w:rsidRPr="00400DCC">
        <w:rPr>
          <w:color w:val="000000" w:themeColor="text1"/>
        </w:rPr>
        <w:t>E.</w:t>
      </w:r>
      <w:r w:rsidRPr="00400DCC">
        <w:rPr>
          <w:color w:val="000000" w:themeColor="text1"/>
        </w:rPr>
        <w:tab/>
      </w:r>
      <w:r w:rsidRPr="00400DCC">
        <w:t xml:space="preserve">considérant que la grande majorité des cultures génétiquement modifiées, dont la betterave sucrière génétiquement modifiée, l’ont été de manière à être tolérantes à un ou plusieurs herbicides «complémentaires» qui peuvent être utilisés tout au long de la culture de la plante génétiquement modifiée, sans que celle-ci ne meure, comme ce serait le cas pour une culture non tolérante aux herbicides; </w:t>
      </w:r>
      <w:r w:rsidRPr="00400DCC">
        <w:rPr>
          <w:color w:val="000000" w:themeColor="text1"/>
        </w:rPr>
        <w:t xml:space="preserve">qu’il ressort de plusieurs études que les cultures génétiquement modifiées tolérantes aux herbicides entraînent une augmentation de l’utilisation d’herbicides complémentaires, en grande partie du fait </w:t>
      </w:r>
      <w:r w:rsidRPr="00400DCC">
        <w:rPr>
          <w:color w:val="000000" w:themeColor="text1"/>
        </w:rPr>
        <w:lastRenderedPageBreak/>
        <w:t>de l’apparition de plantes adventices tolérantes aux herbicides</w:t>
      </w:r>
      <w:r w:rsidRPr="00400DCC">
        <w:rPr>
          <w:rStyle w:val="FootnoteReference"/>
          <w:color w:val="000000" w:themeColor="text1"/>
          <w:szCs w:val="24"/>
        </w:rPr>
        <w:footnoteReference w:id="5"/>
      </w:r>
      <w:r w:rsidRPr="00400DCC">
        <w:rPr>
          <w:color w:val="000000" w:themeColor="text1"/>
        </w:rPr>
        <w:t>;</w:t>
      </w:r>
    </w:p>
    <w:p w14:paraId="4BCF5262" w14:textId="77777777" w:rsidR="006E79DF" w:rsidRPr="00400DCC" w:rsidRDefault="006E79DF" w:rsidP="006E79DF">
      <w:pPr>
        <w:spacing w:after="240"/>
        <w:ind w:left="567" w:hanging="567"/>
        <w:rPr>
          <w:szCs w:val="24"/>
        </w:rPr>
      </w:pPr>
      <w:r w:rsidRPr="00400DCC">
        <w:t>F.</w:t>
      </w:r>
      <w:r w:rsidRPr="00400DCC">
        <w:tab/>
        <w:t xml:space="preserve">considérant que </w:t>
      </w:r>
      <w:r w:rsidRPr="00400DCC">
        <w:rPr>
          <w:color w:val="000000" w:themeColor="text1"/>
        </w:rPr>
        <w:t>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des betteraves sucrières génétiquement modifiées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r w:rsidRPr="00400DCC">
        <w:rPr>
          <w:rStyle w:val="FootnoteReference"/>
          <w:color w:val="000000" w:themeColor="text1"/>
          <w:szCs w:val="24"/>
        </w:rPr>
        <w:footnoteReference w:id="6"/>
      </w:r>
      <w:r w:rsidRPr="00400DCC">
        <w:rPr>
          <w:color w:val="000000" w:themeColor="text1"/>
        </w:rPr>
        <w:t>;</w:t>
      </w:r>
    </w:p>
    <w:p w14:paraId="6B98693E" w14:textId="77777777" w:rsidR="006E79DF" w:rsidRPr="00400DCC" w:rsidRDefault="006E79DF" w:rsidP="006E79DF">
      <w:pPr>
        <w:pStyle w:val="NormalHanging12a"/>
      </w:pPr>
      <w:r w:rsidRPr="00400DCC">
        <w:t>G.</w:t>
      </w:r>
      <w:r w:rsidRPr="00400DCC">
        <w:tab/>
        <w:t>considérant que des questions graves se posent encore sur le caractère carcinogène du glyphosate; que l’EFSA a conclu en novembre 2015 que le glyphosate n’était probablement pas carcinogène et que l’Agence européenne des produits chimiques a conclu en mars 2017 que rien ne justifiait de le classifier comme tel; qu’en 2015, le Centre international de recherche sur le cancer (l’agence de l’Organisation mondiale de la santé spécialisée dans la recherche sur le cancer) a, au contraire, classé le glyphosate comme étant probablement carcinogène pour l’homme; que plusieurs études scientifiques récentes validées par la communauté scientifique confirment la carcinogénicité du glyphosate</w:t>
      </w:r>
      <w:r w:rsidRPr="00400DCC">
        <w:rPr>
          <w:rStyle w:val="FootnoteReference"/>
        </w:rPr>
        <w:footnoteReference w:id="7"/>
      </w:r>
      <w:r w:rsidRPr="00400DCC">
        <w:t>;</w:t>
      </w:r>
    </w:p>
    <w:p w14:paraId="510A6D8D" w14:textId="77777777" w:rsidR="006E79DF" w:rsidRPr="00400DCC" w:rsidRDefault="006E79DF" w:rsidP="006E79DF">
      <w:pPr>
        <w:pStyle w:val="NormalHanging12a"/>
        <w:rPr>
          <w:szCs w:val="24"/>
        </w:rPr>
      </w:pPr>
      <w:r w:rsidRPr="00400DCC">
        <w:t>H.</w:t>
      </w:r>
      <w:r w:rsidRPr="00400DCC">
        <w:tab/>
        <w:t xml:space="preserve">considérant que le dicamba est très volatil, ce qui signifie qu’une fois appliqué, il a tendance à se volatiliser et à se retrouver dans l’air, puis à dériver avec le vent jusqu’à ce qu’il soit ramené sur terre, exposant les personnes, les animaux et les plantes, vignes, arbres et arbustes non ciblés à des dommages potentiels et graves, en particulier lorsque l’exposition se produit sur plusieurs années; </w:t>
      </w:r>
      <w:r w:rsidRPr="00400DCC">
        <w:rPr>
          <w:shd w:val="clear" w:color="auto" w:fill="FFFFFF"/>
        </w:rPr>
        <w:t xml:space="preserve">que la dérive du dicamba et les dommages causés aux cultures, aux arbres et aux vignes avoisinants sont devenus un problème extrêmement clivant qui oppose un groupe d’agriculteurs aux autres agriculteurs et aux voisins ruraux et déclenche des litiges importants à propos des pertes de cultures et des coûts de replantation; </w:t>
      </w:r>
    </w:p>
    <w:p w14:paraId="1819A825" w14:textId="77777777" w:rsidR="006E79DF" w:rsidRPr="00400DCC" w:rsidRDefault="006E79DF" w:rsidP="006E79DF">
      <w:pPr>
        <w:pStyle w:val="NormalWeb"/>
        <w:widowControl w:val="0"/>
        <w:spacing w:before="0" w:beforeAutospacing="0" w:after="240" w:afterAutospacing="0"/>
        <w:ind w:left="567" w:hanging="567"/>
      </w:pPr>
      <w:r w:rsidRPr="00400DCC">
        <w:lastRenderedPageBreak/>
        <w:t>I.</w:t>
      </w:r>
      <w:r w:rsidRPr="00400DCC">
        <w:tab/>
        <w:t>considérant que le glufosinate est classé comme toxique pour la reproduction 1B et correspond dès lors aux critères d’exclusion énoncés dans le règlement (CE) nº 1107/2009 du Parlement européen et du Conseil</w:t>
      </w:r>
      <w:r w:rsidRPr="00400DCC">
        <w:rPr>
          <w:rStyle w:val="FootnoteReference"/>
        </w:rPr>
        <w:footnoteReference w:id="8"/>
      </w:r>
      <w:r w:rsidRPr="00400DCC">
        <w:t>; que l’autorisation de l’utilisation du glufosinate dans l’Union est arrivée à échéance le 31 juillet </w:t>
      </w:r>
      <w:proofErr w:type="gramStart"/>
      <w:r w:rsidRPr="00400DCC">
        <w:t>2018;</w:t>
      </w:r>
      <w:proofErr w:type="gramEnd"/>
    </w:p>
    <w:p w14:paraId="2B5458D4" w14:textId="77777777" w:rsidR="006E79DF" w:rsidRPr="00400DCC" w:rsidRDefault="006E79DF" w:rsidP="006E79DF">
      <w:pPr>
        <w:spacing w:after="240"/>
        <w:ind w:left="567" w:hanging="567"/>
      </w:pPr>
      <w:r w:rsidRPr="00400DCC">
        <w:t>J.</w:t>
      </w:r>
      <w:r w:rsidRPr="00400DCC">
        <w:tab/>
        <w:t xml:space="preserve">considérant que les essais en plein champ à l’appui de la demande ont été menés, uniquement aux États-Unis, dans des conditions géographiques et climatiques limitées qui ne sont pas représentatives de toute la diversité des régions productrices de betteraves sucrières, notamment de celles qui sont fortement touchées par des facteurs de stress liés au changement </w:t>
      </w:r>
      <w:proofErr w:type="gramStart"/>
      <w:r w:rsidRPr="00400DCC">
        <w:t>climatique;</w:t>
      </w:r>
      <w:proofErr w:type="gramEnd"/>
    </w:p>
    <w:p w14:paraId="5DE07822" w14:textId="77777777" w:rsidR="006E79DF" w:rsidRPr="00400DCC" w:rsidRDefault="006E79DF" w:rsidP="006E79DF">
      <w:pPr>
        <w:pStyle w:val="NormalHanging12a"/>
      </w:pPr>
      <w:r w:rsidRPr="00400DCC">
        <w:t xml:space="preserve">K. </w:t>
      </w:r>
      <w:r w:rsidRPr="00400DCC">
        <w:tab/>
        <w:t xml:space="preserve">considérant que les garanties d’indépendance du suivi et de la surveillance des effets néfastes potentiels sur la biodiversité, la santé des sols, les pollinisateurs et les organismes non ciblés restent </w:t>
      </w:r>
      <w:proofErr w:type="gramStart"/>
      <w:r w:rsidRPr="00400DCC">
        <w:t>insuffisantes;</w:t>
      </w:r>
      <w:proofErr w:type="gramEnd"/>
    </w:p>
    <w:p w14:paraId="076D9642" w14:textId="77777777" w:rsidR="006E79DF" w:rsidRPr="00400DCC" w:rsidRDefault="006E79DF" w:rsidP="006E79DF">
      <w:pPr>
        <w:spacing w:after="240"/>
        <w:ind w:left="567" w:hanging="567"/>
      </w:pPr>
      <w:r w:rsidRPr="00400DCC">
        <w:t>L.</w:t>
      </w:r>
      <w:r w:rsidRPr="00400DCC">
        <w:tab/>
        <w:t xml:space="preserve">considérant que le principe de précaution, consacré par l’article 191 du traité sur le fonctionnement de l’Union européenne, devrait s’appliquer en cas d’incertitude </w:t>
      </w:r>
      <w:proofErr w:type="gramStart"/>
      <w:r w:rsidRPr="00400DCC">
        <w:t>scientifique;</w:t>
      </w:r>
      <w:proofErr w:type="gramEnd"/>
    </w:p>
    <w:p w14:paraId="122A16A7" w14:textId="77777777" w:rsidR="006E79DF" w:rsidRPr="00400DCC" w:rsidRDefault="006E79DF" w:rsidP="006E79DF">
      <w:pPr>
        <w:spacing w:after="240"/>
        <w:ind w:left="567" w:hanging="567"/>
      </w:pPr>
      <w:r w:rsidRPr="00400DCC">
        <w:t>M.</w:t>
      </w:r>
      <w:r w:rsidRPr="00400DCC">
        <w:tab/>
        <w:t xml:space="preserve">considérant que le règlement (CE) nº 1829/2003 exige que les denrées alimentaires et les aliments pour animaux génétiquement modifiés n’aient pas d’effets négatifs sur la santé humaine, la santé animale ou </w:t>
      </w:r>
      <w:proofErr w:type="gramStart"/>
      <w:r w:rsidRPr="00400DCC">
        <w:t>l’environnement;</w:t>
      </w:r>
      <w:proofErr w:type="gramEnd"/>
    </w:p>
    <w:p w14:paraId="73B3D2BE" w14:textId="77777777" w:rsidR="006E79DF" w:rsidRPr="00400DCC" w:rsidRDefault="006E79DF" w:rsidP="006E79DF">
      <w:pPr>
        <w:pStyle w:val="NormalWeb"/>
        <w:widowControl w:val="0"/>
        <w:spacing w:before="0" w:beforeAutospacing="0" w:after="240" w:afterAutospacing="0"/>
        <w:ind w:left="567" w:hanging="567"/>
      </w:pPr>
      <w:r w:rsidRPr="00400DCC">
        <w:t>N.</w:t>
      </w:r>
      <w:r w:rsidRPr="00400DCC">
        <w:tab/>
        <w:t>considérant que l’autorisation par l’Union de la betterave sucrière génétiquement modifiée ne serait pas conforme aux engagements internationaux en matière de réduction des pesticides</w:t>
      </w:r>
      <w:r w:rsidRPr="00400DCC">
        <w:rPr>
          <w:vertAlign w:val="superscript"/>
        </w:rPr>
        <w:footnoteReference w:id="9"/>
      </w:r>
      <w:r w:rsidRPr="00400DCC">
        <w:t xml:space="preserve">, compte tenu de l’exposition humaine, animale et environnementale accrue au glyphosate, au dicamba et au glufosinate dans les pays qui cultivent ce produit génétiquement modifié tolérant aux herbicides, ainsi que des effets potentiellement graves sur la santé qui y sont </w:t>
      </w:r>
      <w:proofErr w:type="gramStart"/>
      <w:r w:rsidRPr="00400DCC">
        <w:t>associés;</w:t>
      </w:r>
      <w:proofErr w:type="gramEnd"/>
    </w:p>
    <w:p w14:paraId="54A8A734" w14:textId="77777777" w:rsidR="006E79DF" w:rsidRPr="00400DCC" w:rsidRDefault="006E79DF" w:rsidP="006E79DF">
      <w:pPr>
        <w:spacing w:after="240"/>
        <w:ind w:left="567" w:hanging="567"/>
      </w:pPr>
      <w:r w:rsidRPr="00400DCC">
        <w:t>O.</w:t>
      </w:r>
      <w:r w:rsidRPr="00400DCC">
        <w:tab/>
        <w:t xml:space="preserve">considérant que la décision d’exécution de la Commission autoriserait les importations dans l’Union de produits non conformes aux normes observées par les agriculteurs de l’Union, ce qui placerait ces derniers dans une situation de désavantage </w:t>
      </w:r>
      <w:proofErr w:type="gramStart"/>
      <w:r w:rsidRPr="00400DCC">
        <w:t>concurrentiel;</w:t>
      </w:r>
      <w:proofErr w:type="gramEnd"/>
    </w:p>
    <w:p w14:paraId="65234A2F" w14:textId="77777777" w:rsidR="006E79DF" w:rsidRPr="00400DCC" w:rsidRDefault="006E79DF" w:rsidP="006E79DF">
      <w:pPr>
        <w:spacing w:after="240"/>
        <w:ind w:left="567" w:hanging="567"/>
      </w:pPr>
      <w:r w:rsidRPr="00400DCC">
        <w:t>P.</w:t>
      </w:r>
      <w:r w:rsidRPr="00400DCC">
        <w:tab/>
        <w:t>considérant que les conclusions du dialogue stratégique sur l’avenir de l’agriculture dans l’UE</w:t>
      </w:r>
      <w:r w:rsidRPr="00400DCC">
        <w:rPr>
          <w:rStyle w:val="FootnoteReference"/>
        </w:rPr>
        <w:footnoteReference w:id="10"/>
      </w:r>
      <w:r w:rsidRPr="00400DCC">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et 2024, l’une des principales revendications des agriculteurs concernait l’instauration, à l’échelle mondiale, de relations commerciales plus équitables et compatibles avec les objectifs d’un </w:t>
      </w:r>
      <w:r w:rsidRPr="00400DCC">
        <w:lastRenderedPageBreak/>
        <w:t>environnement sain;</w:t>
      </w:r>
    </w:p>
    <w:p w14:paraId="15E1D42E" w14:textId="77777777" w:rsidR="006E79DF" w:rsidRPr="00400DCC" w:rsidRDefault="006E79DF" w:rsidP="006E79DF">
      <w:pPr>
        <w:spacing w:after="240"/>
        <w:ind w:left="567" w:hanging="567"/>
      </w:pPr>
      <w:r w:rsidRPr="00400DCC">
        <w:t>Q.</w:t>
      </w:r>
      <w:r w:rsidRPr="00400DCC">
        <w:tab/>
        <w:t xml:space="preserve">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w:t>
      </w:r>
      <w:proofErr w:type="gramStart"/>
      <w:r w:rsidRPr="00400DCC">
        <w:t>d’appel;</w:t>
      </w:r>
      <w:proofErr w:type="gramEnd"/>
    </w:p>
    <w:p w14:paraId="139599CB" w14:textId="77777777" w:rsidR="006E79DF" w:rsidRPr="00400DCC" w:rsidRDefault="006E79DF" w:rsidP="006E79DF">
      <w:pPr>
        <w:pStyle w:val="NormalWeb"/>
        <w:widowControl w:val="0"/>
        <w:shd w:val="clear" w:color="auto" w:fill="FFFFFF"/>
        <w:spacing w:before="0" w:beforeAutospacing="0" w:after="240" w:afterAutospacing="0"/>
        <w:ind w:left="567" w:hanging="567"/>
        <w:rPr>
          <w:color w:val="000000" w:themeColor="text1"/>
        </w:rPr>
      </w:pPr>
      <w:r w:rsidRPr="00400DCC">
        <w:rPr>
          <w:color w:val="000000" w:themeColor="text1"/>
        </w:rPr>
        <w:t>R.</w:t>
      </w:r>
      <w:r w:rsidRPr="00400DCC">
        <w:rPr>
          <w:color w:val="000000" w:themeColor="text1"/>
        </w:rPr>
        <w:tab/>
        <w:t xml:space="preserve">considérant que, bien qu’elle reconnaisse elle-même les lacunes démocratiques, le manque de soutien des États membres et l’opposition du Parlement, la Commission continue d’autoriser les </w:t>
      </w:r>
      <w:proofErr w:type="gramStart"/>
      <w:r w:rsidRPr="00400DCC">
        <w:rPr>
          <w:color w:val="000000" w:themeColor="text1"/>
        </w:rPr>
        <w:t>OGM;</w:t>
      </w:r>
      <w:proofErr w:type="gramEnd"/>
    </w:p>
    <w:p w14:paraId="6D39B33F" w14:textId="77777777" w:rsidR="006E79DF" w:rsidRPr="00400DCC" w:rsidRDefault="006E79DF" w:rsidP="006E79DF">
      <w:pPr>
        <w:spacing w:after="240"/>
        <w:ind w:left="567" w:hanging="567"/>
      </w:pPr>
      <w:r w:rsidRPr="00400DCC">
        <w:t>S.</w:t>
      </w:r>
      <w:r w:rsidRPr="00400DCC">
        <w:tab/>
        <w:t>considérant que l’approche</w:t>
      </w:r>
      <w:proofErr w:type="gramStart"/>
      <w:r w:rsidRPr="00400DCC">
        <w:t xml:space="preserve"> «Une</w:t>
      </w:r>
      <w:proofErr w:type="gramEnd"/>
      <w:r w:rsidRPr="00400DCC">
        <w:t xml:space="preserve"> seule santé» exige de tenir compte de l’interdépendance entre la santé humaine, animale, végétale et environnementale lors de l’évaluation de la durabilité et de l’innocuité à long terme des OGM;</w:t>
      </w:r>
    </w:p>
    <w:p w14:paraId="599E620F" w14:textId="523EE24E" w:rsidR="006E79DF" w:rsidRPr="00400DCC" w:rsidRDefault="006E79DF" w:rsidP="006E79DF">
      <w:pPr>
        <w:spacing w:after="240"/>
        <w:ind w:left="567" w:hanging="567"/>
      </w:pPr>
      <w:r w:rsidRPr="00400DCC">
        <w:t>1.</w:t>
      </w:r>
      <w:r w:rsidRPr="00400DCC">
        <w:tab/>
        <w:t>considère que le projet de décision d'exécution de la Commission excède les compétences d'exécution prévues dans le règlement (</w:t>
      </w:r>
      <w:r w:rsidR="002942BC">
        <w:t>C</w:t>
      </w:r>
      <w:r w:rsidRPr="00400DCC">
        <w:t>E) n° 1829/</w:t>
      </w:r>
      <w:proofErr w:type="gramStart"/>
      <w:r w:rsidRPr="00400DCC">
        <w:t>2003;</w:t>
      </w:r>
      <w:proofErr w:type="gramEnd"/>
    </w:p>
    <w:p w14:paraId="2C24C220" w14:textId="77777777" w:rsidR="006E79DF" w:rsidRPr="00400DCC" w:rsidRDefault="006E79DF" w:rsidP="006E79DF">
      <w:pPr>
        <w:spacing w:after="240"/>
        <w:ind w:left="567" w:hanging="567"/>
      </w:pPr>
      <w:r w:rsidRPr="00400DCC">
        <w:t>2.</w:t>
      </w:r>
      <w:r w:rsidRPr="00400DCC">
        <w:tab/>
        <w:t>estime que le projet de décision d’exécution de la Commission n’est pas conforme au droit de l’Union, en ce qu’il est incompatible avec l’objectif du règlement (CE) nº 1829/2003, qui est, dans le respect des principes généraux énoncés par le règlement (CE) nº 178/2002 du Parlement européen et du Conseil</w:t>
      </w:r>
      <w:r w:rsidRPr="00400DCC">
        <w:rPr>
          <w:vertAlign w:val="superscript"/>
        </w:rPr>
        <w:footnoteReference w:id="11"/>
      </w:r>
      <w:r w:rsidRPr="00400DCC">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14:paraId="193815F3" w14:textId="77777777" w:rsidR="006E79DF" w:rsidRPr="00400DCC" w:rsidRDefault="006E79DF" w:rsidP="006E79DF">
      <w:pPr>
        <w:spacing w:after="240"/>
        <w:ind w:left="567" w:hanging="567"/>
      </w:pPr>
      <w:r w:rsidRPr="00400DCC">
        <w:t>3.</w:t>
      </w:r>
      <w:r w:rsidRPr="00400DCC">
        <w:tab/>
        <w:t xml:space="preserve">demande à la Commission de retirer sa décision </w:t>
      </w:r>
      <w:proofErr w:type="gramStart"/>
      <w:r w:rsidRPr="00400DCC">
        <w:t>d'exécution;</w:t>
      </w:r>
      <w:proofErr w:type="gramEnd"/>
    </w:p>
    <w:p w14:paraId="17AEDA54" w14:textId="77777777" w:rsidR="006E79DF" w:rsidRPr="00400DCC" w:rsidRDefault="006E79DF" w:rsidP="006E79DF">
      <w:pPr>
        <w:spacing w:after="240"/>
        <w:ind w:left="567" w:hanging="567"/>
      </w:pPr>
      <w:r w:rsidRPr="00400DCC">
        <w:t>4.</w:t>
      </w:r>
      <w:r w:rsidRPr="00400DCC">
        <w:tab/>
        <w:t>invite la Commission à ne pas autoriser la betterave sucrière génétiquement modifiée en raison de l’absence de preuves suffisantes quant à son incidence à long terme sur la biodiversité, la sécurité alimentaire, les moyens de subsistance des agriculteurs et la santé animale, conformément à l’approche</w:t>
      </w:r>
      <w:proofErr w:type="gramStart"/>
      <w:r w:rsidRPr="00400DCC">
        <w:t xml:space="preserve"> «Une</w:t>
      </w:r>
      <w:proofErr w:type="gramEnd"/>
      <w:r w:rsidRPr="00400DCC">
        <w:t xml:space="preserve"> seule santé»;</w:t>
      </w:r>
    </w:p>
    <w:p w14:paraId="29FA9432" w14:textId="77777777" w:rsidR="006E79DF" w:rsidRPr="00400DCC" w:rsidRDefault="006E79DF" w:rsidP="006E79DF">
      <w:pPr>
        <w:spacing w:after="240"/>
        <w:ind w:left="567" w:hanging="567"/>
      </w:pPr>
      <w:r w:rsidRPr="00400DCC">
        <w:t>5.</w:t>
      </w:r>
      <w:r w:rsidRPr="00400DCC">
        <w:tab/>
        <w:t xml:space="preserve">invite la Commission à présenter sans retard une proposition législative visant à réformer la procédure décisionnelle relative aux OGM afin de répondre aux objections constantes du Parlement et à l’absence de soutien d’une majorité qualifiée parmi les États </w:t>
      </w:r>
      <w:proofErr w:type="gramStart"/>
      <w:r w:rsidRPr="00400DCC">
        <w:t>membres;</w:t>
      </w:r>
      <w:proofErr w:type="gramEnd"/>
    </w:p>
    <w:p w14:paraId="0D14072D" w14:textId="77777777" w:rsidR="006E79DF" w:rsidRPr="00400DCC" w:rsidRDefault="006E79DF" w:rsidP="006E79DF">
      <w:pPr>
        <w:spacing w:after="240"/>
        <w:ind w:left="567" w:hanging="567"/>
      </w:pPr>
      <w:r w:rsidRPr="00400DCC">
        <w:t>6.</w:t>
      </w:r>
      <w:r w:rsidRPr="00400DCC">
        <w:tab/>
        <w:t xml:space="preserve">souligne, à cet égard, qu’autoriser l’importation pour l’alimentation humaine ou animale de toute plante génétiquement modifiée rendue tolérante aux herbicides interdits dans l’Union, tels que le glufosinate, est incompatible avec les engagements internationaux de l’Union au titre, entre autres, de la convention des Nations unies sur la diversité biologique et des objectifs de développement durable des Nations unies, y compris le </w:t>
      </w:r>
      <w:r w:rsidRPr="00400DCC">
        <w:lastRenderedPageBreak/>
        <w:t>cadre de Kunming-Montréal, et crée des conditions de concurrence inégales pour les agriculteurs de l’Union;</w:t>
      </w:r>
    </w:p>
    <w:p w14:paraId="546407FD" w14:textId="7F9A688A" w:rsidR="00400DCC" w:rsidRPr="00400DCC" w:rsidRDefault="006E79DF" w:rsidP="00400DCC">
      <w:pPr>
        <w:spacing w:after="240"/>
        <w:ind w:left="567" w:hanging="567"/>
      </w:pPr>
      <w:r w:rsidRPr="00400DCC">
        <w:t>7.</w:t>
      </w:r>
      <w:r w:rsidRPr="00400DCC">
        <w:tab/>
        <w:t>charge sa Présidente de transmettre la présente résolution au Conseil et à la Commission ainsi qu’aux gouvernements et aux parlements des États membres.</w:t>
      </w:r>
    </w:p>
    <w:p w14:paraId="7C7FD60B" w14:textId="68F224CE" w:rsidR="00E365E1" w:rsidRPr="00400DCC" w:rsidRDefault="00E365E1" w:rsidP="008711DF"/>
    <w:sectPr w:rsidR="00E365E1" w:rsidRPr="00400DCC" w:rsidSect="00400D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19DE6" w14:textId="77777777" w:rsidR="008711DF" w:rsidRPr="00400DCC" w:rsidRDefault="008711DF">
      <w:r w:rsidRPr="00400DCC">
        <w:separator/>
      </w:r>
    </w:p>
  </w:endnote>
  <w:endnote w:type="continuationSeparator" w:id="0">
    <w:p w14:paraId="6BB07582" w14:textId="77777777" w:rsidR="008711DF" w:rsidRPr="00400DCC" w:rsidRDefault="008711DF">
      <w:r w:rsidRPr="00400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F8553" w14:textId="77777777" w:rsidR="00064002" w:rsidRPr="00400D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5FD9" w14:textId="77777777" w:rsidR="00064002" w:rsidRPr="00400D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EEC2" w14:textId="77777777" w:rsidR="00064002" w:rsidRPr="00400D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C078D" w14:textId="77777777" w:rsidR="008711DF" w:rsidRPr="00400DCC" w:rsidRDefault="008711DF">
      <w:r w:rsidRPr="00400DCC">
        <w:separator/>
      </w:r>
    </w:p>
  </w:footnote>
  <w:footnote w:type="continuationSeparator" w:id="0">
    <w:p w14:paraId="44F30BC4" w14:textId="77777777" w:rsidR="008711DF" w:rsidRPr="00400DCC" w:rsidRDefault="008711DF">
      <w:r w:rsidRPr="00400DCC">
        <w:continuationSeparator/>
      </w:r>
    </w:p>
  </w:footnote>
  <w:footnote w:id="1">
    <w:p w14:paraId="7986E967" w14:textId="257E4F6F" w:rsidR="006E79DF" w:rsidRPr="00125CEC" w:rsidRDefault="006E79DF" w:rsidP="00400DCC">
      <w:pPr>
        <w:pStyle w:val="FootnoteText"/>
        <w:suppressAutoHyphens/>
        <w:ind w:left="567" w:hanging="567"/>
        <w:rPr>
          <w:sz w:val="24"/>
          <w:lang w:val="da-DK"/>
        </w:rPr>
      </w:pPr>
      <w:r w:rsidRPr="00400DCC">
        <w:rPr>
          <w:rStyle w:val="FootnoteReference"/>
          <w:sz w:val="24"/>
        </w:rPr>
        <w:footnoteRef/>
      </w:r>
      <w:r w:rsidR="00400DCC" w:rsidRPr="00125CEC">
        <w:rPr>
          <w:sz w:val="24"/>
          <w:lang w:val="da-DK"/>
        </w:rPr>
        <w:t xml:space="preserve"> </w:t>
      </w:r>
      <w:r w:rsidR="00400DCC" w:rsidRPr="00125CEC">
        <w:rPr>
          <w:sz w:val="24"/>
          <w:lang w:val="da-DK"/>
        </w:rPr>
        <w:tab/>
      </w:r>
      <w:r w:rsidRPr="00125CEC">
        <w:rPr>
          <w:sz w:val="24"/>
          <w:lang w:val="da-DK"/>
        </w:rPr>
        <w:t>JO L 268 du 18.10.2003, p. 1, ELI: </w:t>
      </w:r>
      <w:hyperlink r:id="rId1" w:tooltip="Donne accès à ce document par l’intermédiaire de son URI ELI." w:history="1">
        <w:r w:rsidRPr="00125CEC">
          <w:rPr>
            <w:rStyle w:val="Hyperlink"/>
            <w:sz w:val="24"/>
            <w:lang w:val="da-DK"/>
          </w:rPr>
          <w:t>http://data.europa.eu/eli/reg/2003/1829/oj</w:t>
        </w:r>
      </w:hyperlink>
      <w:r w:rsidRPr="00125CEC">
        <w:rPr>
          <w:rStyle w:val="Hyperlink"/>
          <w:sz w:val="24"/>
          <w:lang w:val="da-DK"/>
        </w:rPr>
        <w:t>.</w:t>
      </w:r>
    </w:p>
  </w:footnote>
  <w:footnote w:id="2">
    <w:p w14:paraId="47B4FFDD" w14:textId="707ABD65" w:rsidR="006E79DF" w:rsidRPr="00125CEC" w:rsidRDefault="006E79DF" w:rsidP="00400DCC">
      <w:pPr>
        <w:pStyle w:val="FootnoteText"/>
        <w:ind w:left="567" w:hanging="567"/>
        <w:rPr>
          <w:sz w:val="24"/>
          <w:lang w:val="fi-FI"/>
        </w:rPr>
      </w:pPr>
      <w:r w:rsidRPr="00400DCC">
        <w:rPr>
          <w:rStyle w:val="FootnoteReference"/>
          <w:sz w:val="24"/>
        </w:rPr>
        <w:footnoteRef/>
      </w:r>
      <w:r w:rsidR="00400DCC" w:rsidRPr="00125CEC">
        <w:rPr>
          <w:sz w:val="24"/>
          <w:lang w:val="fi-FI"/>
        </w:rPr>
        <w:t xml:space="preserve"> </w:t>
      </w:r>
      <w:r w:rsidR="00400DCC" w:rsidRPr="00125CEC">
        <w:rPr>
          <w:sz w:val="24"/>
          <w:lang w:val="fi-FI"/>
        </w:rPr>
        <w:tab/>
      </w:r>
      <w:r w:rsidRPr="00125CEC">
        <w:rPr>
          <w:sz w:val="24"/>
          <w:lang w:val="fi-FI"/>
        </w:rPr>
        <w:t xml:space="preserve">JO L 55 du 28.2.2011, p. 13, ELI: </w:t>
      </w:r>
      <w:hyperlink r:id="rId2" w:history="1">
        <w:r w:rsidRPr="00125CEC">
          <w:rPr>
            <w:rStyle w:val="Hyperlink"/>
            <w:sz w:val="24"/>
            <w:lang w:val="fi-FI"/>
          </w:rPr>
          <w:t>http://data.europa.eu/eli/reg/2011/182/oj</w:t>
        </w:r>
      </w:hyperlink>
      <w:r w:rsidRPr="00125CEC">
        <w:rPr>
          <w:sz w:val="24"/>
          <w:lang w:val="fi-FI"/>
        </w:rPr>
        <w:t>.</w:t>
      </w:r>
    </w:p>
  </w:footnote>
  <w:footnote w:id="3">
    <w:p w14:paraId="05C8AD69" w14:textId="74DA71A3" w:rsidR="006E79DF" w:rsidRPr="00400DCC" w:rsidRDefault="006E79DF" w:rsidP="00400DCC">
      <w:pPr>
        <w:pStyle w:val="FootnoteText"/>
        <w:suppressAutoHyphens/>
        <w:ind w:left="567" w:hanging="567"/>
        <w:rPr>
          <w:sz w:val="24"/>
        </w:rPr>
      </w:pPr>
      <w:r w:rsidRPr="00400DCC">
        <w:rPr>
          <w:rStyle w:val="FootnoteReference"/>
          <w:sz w:val="24"/>
        </w:rPr>
        <w:footnoteRef/>
      </w:r>
      <w:r w:rsidR="00400DCC" w:rsidRPr="00400DCC">
        <w:rPr>
          <w:sz w:val="24"/>
        </w:rPr>
        <w:t xml:space="preserve"> </w:t>
      </w:r>
      <w:r w:rsidR="00400DCC" w:rsidRPr="00400DCC">
        <w:rPr>
          <w:sz w:val="24"/>
        </w:rPr>
        <w:tab/>
      </w:r>
      <w:r w:rsidRPr="00400DCC">
        <w:rPr>
          <w:sz w:val="24"/>
        </w:rPr>
        <w:t>Avis scientifique du groupe scientifique de l’EFSA sur les organismes génétiquement modifiés intitulé</w:t>
      </w:r>
      <w:proofErr w:type="gramStart"/>
      <w:r w:rsidRPr="00400DCC">
        <w:rPr>
          <w:sz w:val="24"/>
        </w:rPr>
        <w:t xml:space="preserve"> «Assessment</w:t>
      </w:r>
      <w:proofErr w:type="gramEnd"/>
      <w:r w:rsidRPr="00400DCC">
        <w:rPr>
          <w:sz w:val="24"/>
        </w:rPr>
        <w:t xml:space="preserve"> of genetically modified sugar beet KWS20-1 (application GMFF-2023-14732)», EFSA Journal 2025;23(5):9381;</w:t>
      </w:r>
      <w:hyperlink r:id="rId3" w:history="1">
        <w:r w:rsidRPr="00400DCC">
          <w:rPr>
            <w:rStyle w:val="Hyperlink"/>
            <w:sz w:val="24"/>
          </w:rPr>
          <w:t>https://doi.org/10.2903/j.efsa.2025.9381</w:t>
        </w:r>
      </w:hyperlink>
      <w:r w:rsidRPr="00400DCC">
        <w:rPr>
          <w:sz w:val="24"/>
        </w:rPr>
        <w:t>.</w:t>
      </w:r>
    </w:p>
  </w:footnote>
  <w:footnote w:id="4">
    <w:p w14:paraId="7EB14CBD" w14:textId="15DFFE43" w:rsidR="006E79DF" w:rsidRPr="00400DCC" w:rsidRDefault="006E79DF" w:rsidP="00400DCC">
      <w:pPr>
        <w:pStyle w:val="FootnoteText"/>
        <w:suppressAutoHyphens/>
        <w:ind w:left="567" w:hanging="567"/>
        <w:rPr>
          <w:color w:val="000000" w:themeColor="text1"/>
          <w:sz w:val="24"/>
          <w:vertAlign w:val="superscript"/>
        </w:rPr>
      </w:pPr>
      <w:r w:rsidRPr="00400DCC">
        <w:rPr>
          <w:rStyle w:val="FootnoteReference"/>
          <w:sz w:val="24"/>
        </w:rPr>
        <w:footnoteRef/>
      </w:r>
      <w:r w:rsidR="00400DCC" w:rsidRPr="00400DCC">
        <w:rPr>
          <w:color w:val="000000" w:themeColor="text1"/>
          <w:sz w:val="24"/>
        </w:rPr>
        <w:t xml:space="preserve"> </w:t>
      </w:r>
      <w:r w:rsidR="00400DCC" w:rsidRPr="00400DCC">
        <w:rPr>
          <w:color w:val="000000" w:themeColor="text1"/>
          <w:sz w:val="24"/>
        </w:rPr>
        <w:tab/>
      </w:r>
      <w:r w:rsidRPr="00400DCC">
        <w:rPr>
          <w:color w:val="000000" w:themeColor="text1"/>
          <w:sz w:val="24"/>
        </w:rPr>
        <w:t xml:space="preserve">Le Parlement a adopté 36 résolutions par lesquelles il </w:t>
      </w:r>
      <w:r w:rsidRPr="00400DCC">
        <w:rPr>
          <w:sz w:val="24"/>
        </w:rPr>
        <w:t>s’opposait</w:t>
      </w:r>
      <w:r w:rsidRPr="00400DCC">
        <w:rPr>
          <w:color w:val="000000" w:themeColor="text1"/>
          <w:sz w:val="24"/>
        </w:rPr>
        <w:t xml:space="preserve"> à l’autorisation d’OGM au cours de sa huitième législature, et 38 au cours de sa neuvième législature. En outre, depuis le début de sa dixième législature, il a adopté les résolutions </w:t>
      </w:r>
      <w:proofErr w:type="gramStart"/>
      <w:r w:rsidRPr="00400DCC">
        <w:rPr>
          <w:color w:val="000000" w:themeColor="text1"/>
          <w:sz w:val="24"/>
        </w:rPr>
        <w:t>suivantes:</w:t>
      </w:r>
      <w:proofErr w:type="gramEnd"/>
    </w:p>
    <w:p w14:paraId="72D9E651" w14:textId="536031DD" w:rsidR="006E79DF" w:rsidRPr="00400DCC" w:rsidRDefault="006E79DF" w:rsidP="00125CEC">
      <w:pPr>
        <w:pStyle w:val="FootnoteText"/>
        <w:numPr>
          <w:ilvl w:val="0"/>
          <w:numId w:val="45"/>
        </w:numPr>
        <w:suppressAutoHyphens/>
        <w:rPr>
          <w:color w:val="000000" w:themeColor="text1"/>
          <w:sz w:val="24"/>
          <w:vertAlign w:val="superscript"/>
        </w:rPr>
      </w:pPr>
      <w:r w:rsidRPr="00400DCC">
        <w:rPr>
          <w:color w:val="000000" w:themeColor="text1"/>
          <w:sz w:val="24"/>
        </w:rPr>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C/2025/1798, 4.4.2025, ELI: </w:t>
      </w:r>
      <w:hyperlink r:id="rId4" w:history="1">
        <w:r w:rsidRPr="00400DCC">
          <w:rPr>
            <w:rStyle w:val="Hyperlink"/>
            <w:sz w:val="24"/>
          </w:rPr>
          <w:t>http://data.europa.eu/eli/C/2025/1797/oj</w:t>
        </w:r>
      </w:hyperlink>
      <w:r w:rsidRPr="00400DCC">
        <w:rPr>
          <w:color w:val="000000" w:themeColor="text1"/>
          <w:sz w:val="24"/>
        </w:rPr>
        <w:t>).</w:t>
      </w:r>
    </w:p>
    <w:p w14:paraId="2C65B4C7" w14:textId="6FE5C8D7" w:rsidR="006E79DF" w:rsidRPr="00400DCC" w:rsidRDefault="006E79DF" w:rsidP="00125CEC">
      <w:pPr>
        <w:pStyle w:val="FootnoteText"/>
        <w:suppressAutoHyphens/>
        <w:ind w:left="1080" w:hanging="510"/>
        <w:rPr>
          <w:color w:val="000000" w:themeColor="text1"/>
          <w:sz w:val="24"/>
          <w:vertAlign w:val="superscript"/>
        </w:rPr>
      </w:pPr>
      <w:r w:rsidRPr="00400DCC">
        <w:rPr>
          <w:color w:val="000000" w:themeColor="text1"/>
          <w:sz w:val="24"/>
        </w:rPr>
        <w:t>–</w:t>
      </w:r>
      <w:r w:rsidRPr="00400DCC">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w:t>
      </w:r>
      <w:proofErr w:type="gramStart"/>
      <w:r w:rsidRPr="00400DCC">
        <w:rPr>
          <w:color w:val="000000" w:themeColor="text1"/>
          <w:sz w:val="24"/>
        </w:rPr>
        <w:t>ELI:</w:t>
      </w:r>
      <w:proofErr w:type="gramEnd"/>
      <w:r w:rsidRPr="00400DCC">
        <w:rPr>
          <w:color w:val="000000" w:themeColor="text1"/>
          <w:sz w:val="24"/>
        </w:rPr>
        <w:t xml:space="preserve"> </w:t>
      </w:r>
      <w:hyperlink r:id="rId5" w:history="1">
        <w:r w:rsidRPr="00400DCC">
          <w:rPr>
            <w:rStyle w:val="Hyperlink"/>
            <w:sz w:val="24"/>
          </w:rPr>
          <w:t>http://data.europa.eu/eli/C/2025/1798/oj</w:t>
        </w:r>
      </w:hyperlink>
      <w:r w:rsidRPr="00400DCC">
        <w:rPr>
          <w:color w:val="000000" w:themeColor="text1"/>
          <w:sz w:val="24"/>
        </w:rPr>
        <w:t>).</w:t>
      </w:r>
    </w:p>
    <w:p w14:paraId="54D4F9CD" w14:textId="5D56DF68" w:rsidR="006E79DF" w:rsidRPr="00400DCC" w:rsidRDefault="006E79DF" w:rsidP="00125CEC">
      <w:pPr>
        <w:pStyle w:val="FootnoteText"/>
        <w:suppressAutoHyphens/>
        <w:ind w:left="1080" w:hanging="510"/>
        <w:rPr>
          <w:color w:val="000000" w:themeColor="text1"/>
          <w:sz w:val="24"/>
          <w:vertAlign w:val="superscript"/>
        </w:rPr>
      </w:pPr>
      <w:r w:rsidRPr="00400DCC">
        <w:rPr>
          <w:color w:val="000000" w:themeColor="text1"/>
          <w:sz w:val="24"/>
        </w:rPr>
        <w:t>–</w:t>
      </w:r>
      <w:r w:rsidRPr="00400DCC">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de ses sous-combinaisons, consistant en ce maïs et ces sous-combinaisons ou produits à partir de ceux-ci, en application du règlement (CE) nº 1829/2003 du Parlement européen et du Conseil (JO C, C/2025/1799, 4.4.2025, ELI: </w:t>
      </w:r>
      <w:hyperlink r:id="rId6" w:history="1">
        <w:r w:rsidRPr="00400DCC">
          <w:rPr>
            <w:rStyle w:val="Hyperlink"/>
            <w:sz w:val="24"/>
          </w:rPr>
          <w:t>http://data.europa.eu/eli/C/2025/1799/oj</w:t>
        </w:r>
      </w:hyperlink>
      <w:r w:rsidRPr="00400DCC">
        <w:rPr>
          <w:color w:val="000000" w:themeColor="text1"/>
          <w:sz w:val="24"/>
        </w:rPr>
        <w:t>).</w:t>
      </w:r>
    </w:p>
    <w:p w14:paraId="09802091" w14:textId="68C589FF" w:rsidR="006E79DF" w:rsidRPr="00400DCC" w:rsidRDefault="006E79DF" w:rsidP="00125CEC">
      <w:pPr>
        <w:pStyle w:val="FootnoteText"/>
        <w:ind w:left="1080" w:hanging="510"/>
        <w:rPr>
          <w:color w:val="000000" w:themeColor="text1"/>
          <w:sz w:val="24"/>
          <w:vertAlign w:val="superscript"/>
        </w:rPr>
      </w:pPr>
      <w:r w:rsidRPr="00400DCC">
        <w:rPr>
          <w:color w:val="000000" w:themeColor="text1"/>
          <w:sz w:val="24"/>
        </w:rPr>
        <w:t>–</w:t>
      </w:r>
      <w:r w:rsidRPr="00400DCC">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Pr="00400DCC">
          <w:rPr>
            <w:rStyle w:val="Hyperlink"/>
            <w:sz w:val="24"/>
          </w:rPr>
          <w:t>http://data.europa.eu/eli/C/2025/1800/oj</w:t>
        </w:r>
      </w:hyperlink>
      <w:r w:rsidRPr="00400DCC">
        <w:rPr>
          <w:color w:val="000000" w:themeColor="text1"/>
          <w:sz w:val="24"/>
        </w:rPr>
        <w:t>).</w:t>
      </w:r>
    </w:p>
    <w:p w14:paraId="136E0E28" w14:textId="7D4BE715" w:rsidR="006E79DF" w:rsidRPr="00400DCC" w:rsidRDefault="006E79DF" w:rsidP="00125CEC">
      <w:pPr>
        <w:pStyle w:val="FootnoteText"/>
        <w:ind w:left="1080" w:hanging="510"/>
        <w:rPr>
          <w:color w:val="000000" w:themeColor="text1"/>
          <w:sz w:val="24"/>
          <w:vertAlign w:val="superscript"/>
        </w:rPr>
      </w:pPr>
      <w:r w:rsidRPr="00400DCC">
        <w:rPr>
          <w:color w:val="000000" w:themeColor="text1"/>
          <w:sz w:val="24"/>
        </w:rPr>
        <w:t>–</w:t>
      </w:r>
      <w:r w:rsidRPr="00400DCC">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w:t>
      </w:r>
      <w:proofErr w:type="gramStart"/>
      <w:r w:rsidRPr="00400DCC">
        <w:rPr>
          <w:color w:val="000000" w:themeColor="text1"/>
          <w:sz w:val="24"/>
        </w:rPr>
        <w:t>ELI:</w:t>
      </w:r>
      <w:proofErr w:type="gramEnd"/>
      <w:r w:rsidRPr="00400DCC">
        <w:rPr>
          <w:color w:val="000000" w:themeColor="text1"/>
          <w:sz w:val="24"/>
        </w:rPr>
        <w:t xml:space="preserve"> </w:t>
      </w:r>
      <w:hyperlink r:id="rId8" w:history="1">
        <w:r w:rsidRPr="00400DCC">
          <w:rPr>
            <w:rStyle w:val="Hyperlink"/>
            <w:sz w:val="24"/>
          </w:rPr>
          <w:t>http://data.europa.eu/eli/C/2025/1801/oj</w:t>
        </w:r>
      </w:hyperlink>
      <w:r w:rsidRPr="00400DCC">
        <w:rPr>
          <w:color w:val="000000" w:themeColor="text1"/>
          <w:sz w:val="24"/>
        </w:rPr>
        <w:t>).</w:t>
      </w:r>
    </w:p>
    <w:p w14:paraId="0021BFD8" w14:textId="63ECFC99" w:rsidR="006E79DF" w:rsidRPr="00400DCC" w:rsidRDefault="006E79DF" w:rsidP="00125CEC">
      <w:pPr>
        <w:pStyle w:val="FootnoteText"/>
        <w:ind w:left="1080" w:hanging="510"/>
        <w:rPr>
          <w:color w:val="000000" w:themeColor="text1"/>
          <w:sz w:val="24"/>
          <w:vertAlign w:val="superscript"/>
        </w:rPr>
      </w:pPr>
      <w:r w:rsidRPr="00400DCC">
        <w:rPr>
          <w:color w:val="000000" w:themeColor="text1"/>
          <w:sz w:val="24"/>
        </w:rPr>
        <w:t>–</w:t>
      </w:r>
      <w:r w:rsidRPr="00400DCC">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w:t>
      </w:r>
      <w:proofErr w:type="gramStart"/>
      <w:r w:rsidRPr="00400DCC">
        <w:rPr>
          <w:color w:val="000000" w:themeColor="text1"/>
          <w:sz w:val="24"/>
        </w:rPr>
        <w:t>ELI:</w:t>
      </w:r>
      <w:proofErr w:type="gramEnd"/>
      <w:r w:rsidRPr="00400DCC">
        <w:rPr>
          <w:color w:val="000000" w:themeColor="text1"/>
          <w:sz w:val="24"/>
        </w:rPr>
        <w:t xml:space="preserve"> </w:t>
      </w:r>
      <w:hyperlink r:id="rId9" w:history="1">
        <w:r w:rsidRPr="00400DCC">
          <w:rPr>
            <w:rStyle w:val="Hyperlink"/>
            <w:sz w:val="24"/>
          </w:rPr>
          <w:t>http://data.europa.eu/eli/C/2025/1802/oj</w:t>
        </w:r>
      </w:hyperlink>
      <w:r w:rsidRPr="00400DCC">
        <w:rPr>
          <w:color w:val="000000" w:themeColor="text1"/>
          <w:sz w:val="24"/>
        </w:rPr>
        <w:t>).</w:t>
      </w:r>
    </w:p>
    <w:p w14:paraId="29C9747F" w14:textId="15A3700C" w:rsidR="006E79DF" w:rsidRPr="00400DCC" w:rsidRDefault="006E79DF" w:rsidP="00125CEC">
      <w:pPr>
        <w:pStyle w:val="FootnoteText"/>
        <w:ind w:left="1080" w:hanging="510"/>
        <w:rPr>
          <w:color w:val="000000" w:themeColor="text1"/>
          <w:sz w:val="24"/>
          <w:vertAlign w:val="superscript"/>
        </w:rPr>
      </w:pPr>
      <w:r w:rsidRPr="00400DCC">
        <w:rPr>
          <w:color w:val="000000" w:themeColor="text1"/>
          <w:sz w:val="24"/>
        </w:rPr>
        <w:t>–</w:t>
      </w:r>
      <w:r w:rsidRPr="00400DCC">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w:t>
      </w:r>
      <w:proofErr w:type="gramStart"/>
      <w:r w:rsidRPr="00400DCC">
        <w:rPr>
          <w:color w:val="000000" w:themeColor="text1"/>
          <w:sz w:val="24"/>
        </w:rPr>
        <w:t>ELI:</w:t>
      </w:r>
      <w:proofErr w:type="gramEnd"/>
      <w:r w:rsidRPr="00400DCC">
        <w:rPr>
          <w:color w:val="000000" w:themeColor="text1"/>
          <w:sz w:val="24"/>
        </w:rPr>
        <w:t xml:space="preserve"> </w:t>
      </w:r>
      <w:hyperlink r:id="rId10" w:history="1">
        <w:r w:rsidRPr="00400DCC">
          <w:rPr>
            <w:rStyle w:val="Hyperlink"/>
            <w:sz w:val="24"/>
          </w:rPr>
          <w:t>http://data.europa.eu/eli/C/2025/1803/oj</w:t>
        </w:r>
      </w:hyperlink>
      <w:r w:rsidRPr="00400DCC">
        <w:rPr>
          <w:color w:val="000000" w:themeColor="text1"/>
          <w:sz w:val="24"/>
        </w:rPr>
        <w:t>).</w:t>
      </w:r>
    </w:p>
    <w:p w14:paraId="3086FA5D" w14:textId="3A0E3681" w:rsidR="006E79DF" w:rsidRPr="00400DCC" w:rsidRDefault="006E79DF" w:rsidP="00125CEC">
      <w:pPr>
        <w:pStyle w:val="FootnoteText"/>
        <w:ind w:left="1080" w:hanging="510"/>
        <w:rPr>
          <w:color w:val="000000" w:themeColor="text1"/>
          <w:sz w:val="24"/>
          <w:vertAlign w:val="superscript"/>
        </w:rPr>
      </w:pPr>
      <w:r w:rsidRPr="00400DCC">
        <w:rPr>
          <w:color w:val="000000" w:themeColor="text1"/>
          <w:sz w:val="24"/>
        </w:rPr>
        <w:t>–</w:t>
      </w:r>
      <w:r w:rsidRPr="00400DCC">
        <w:rPr>
          <w:color w:val="000000" w:themeColor="text1"/>
          <w:sz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w:t>
      </w:r>
      <w:proofErr w:type="gramStart"/>
      <w:r w:rsidRPr="00400DCC">
        <w:rPr>
          <w:color w:val="000000" w:themeColor="text1"/>
          <w:sz w:val="24"/>
        </w:rPr>
        <w:t>ELI:</w:t>
      </w:r>
      <w:proofErr w:type="gramEnd"/>
      <w:r w:rsidRPr="00400DCC">
        <w:rPr>
          <w:color w:val="000000" w:themeColor="text1"/>
          <w:sz w:val="24"/>
        </w:rPr>
        <w:t xml:space="preserve"> </w:t>
      </w:r>
      <w:hyperlink r:id="rId11" w:history="1">
        <w:r w:rsidRPr="00400DCC">
          <w:rPr>
            <w:rStyle w:val="Hyperlink"/>
            <w:sz w:val="24"/>
          </w:rPr>
          <w:t>http://data.europa.eu/eli/C/2025/1804/oj</w:t>
        </w:r>
      </w:hyperlink>
      <w:r w:rsidRPr="00400DCC">
        <w:rPr>
          <w:color w:val="000000" w:themeColor="text1"/>
          <w:sz w:val="24"/>
        </w:rPr>
        <w:t>).</w:t>
      </w:r>
    </w:p>
    <w:p w14:paraId="453F9BED" w14:textId="4E4DCAE7" w:rsidR="006E79DF" w:rsidRPr="00400DCC" w:rsidRDefault="006E79DF" w:rsidP="00125CEC">
      <w:pPr>
        <w:pStyle w:val="FootnoteText"/>
        <w:ind w:left="1080" w:hanging="510"/>
        <w:rPr>
          <w:sz w:val="24"/>
          <w:vertAlign w:val="superscript"/>
        </w:rPr>
      </w:pPr>
      <w:r w:rsidRPr="00400DCC">
        <w:rPr>
          <w:color w:val="000000" w:themeColor="text1"/>
          <w:sz w:val="24"/>
        </w:rPr>
        <w:t>–</w:t>
      </w:r>
      <w:r w:rsidRPr="00400DCC">
        <w:rPr>
          <w:color w:val="000000" w:themeColor="text1"/>
          <w:sz w:val="24"/>
        </w:rPr>
        <w:tab/>
      </w:r>
      <w:r w:rsidRPr="00400DCC">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2" w:tooltip="Donne accès à ce document par l’intermédiaire de son URI ELI." w:history="1">
        <w:r w:rsidRPr="00400DCC">
          <w:rPr>
            <w:rStyle w:val="Hyperlink"/>
            <w:sz w:val="24"/>
          </w:rPr>
          <w:t>http://data.europa.eu/eli/C/2025/2246/oj</w:t>
        </w:r>
      </w:hyperlink>
      <w:r w:rsidRPr="00400DCC">
        <w:rPr>
          <w:sz w:val="24"/>
        </w:rPr>
        <w:t>).</w:t>
      </w:r>
    </w:p>
    <w:p w14:paraId="344D9A48" w14:textId="196DEA2B" w:rsidR="006E79DF" w:rsidRPr="00400DCC" w:rsidRDefault="006E79DF" w:rsidP="00125CEC">
      <w:pPr>
        <w:pStyle w:val="FootnoteText"/>
        <w:ind w:left="1080" w:hanging="510"/>
        <w:rPr>
          <w:sz w:val="24"/>
          <w:vertAlign w:val="superscript"/>
        </w:rPr>
      </w:pPr>
      <w:r w:rsidRPr="00400DCC">
        <w:rPr>
          <w:sz w:val="24"/>
        </w:rPr>
        <w:t>–</w:t>
      </w:r>
      <w:r w:rsidRPr="00400DCC">
        <w:rPr>
          <w:sz w:val="24"/>
        </w:rPr>
        <w:tab/>
        <w:t xml:space="preserve">résolution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(JO C, C/2025/2247, 29.4.2025, ELI: </w:t>
      </w:r>
      <w:hyperlink r:id="rId13" w:tooltip="Donne accès à ce document par l’intermédiaire de son URI ELI." w:history="1">
        <w:r w:rsidRPr="00400DCC">
          <w:rPr>
            <w:rStyle w:val="Hyperlink"/>
            <w:sz w:val="24"/>
          </w:rPr>
          <w:t>http://data.europa.eu/eli/C/2025/2247/oj</w:t>
        </w:r>
      </w:hyperlink>
      <w:r w:rsidRPr="00400DCC">
        <w:rPr>
          <w:sz w:val="24"/>
        </w:rPr>
        <w:t>).</w:t>
      </w:r>
    </w:p>
    <w:p w14:paraId="20248510" w14:textId="5FADFF4C" w:rsidR="006E79DF" w:rsidRPr="00400DCC" w:rsidRDefault="006E79DF" w:rsidP="00125CEC">
      <w:pPr>
        <w:pStyle w:val="FootnoteText"/>
        <w:ind w:left="1080" w:hanging="510"/>
        <w:rPr>
          <w:sz w:val="24"/>
          <w:vertAlign w:val="superscript"/>
        </w:rPr>
      </w:pPr>
      <w:r w:rsidRPr="00400DCC">
        <w:rPr>
          <w:sz w:val="24"/>
        </w:rPr>
        <w:t>–</w:t>
      </w:r>
      <w:r w:rsidRPr="00400DCC">
        <w:rPr>
          <w:sz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(P10_</w:t>
      </w:r>
      <w:proofErr w:type="gramStart"/>
      <w:r w:rsidRPr="00400DCC">
        <w:rPr>
          <w:sz w:val="24"/>
        </w:rPr>
        <w:t>TA(</w:t>
      </w:r>
      <w:proofErr w:type="gramEnd"/>
      <w:r w:rsidRPr="00400DCC">
        <w:rPr>
          <w:sz w:val="24"/>
        </w:rPr>
        <w:t>2025)0106).</w:t>
      </w:r>
    </w:p>
    <w:p w14:paraId="3411868A" w14:textId="7ED3563F" w:rsidR="006E79DF" w:rsidRPr="00400DCC" w:rsidRDefault="006E79DF" w:rsidP="00125CEC">
      <w:pPr>
        <w:pStyle w:val="FootnoteText"/>
        <w:ind w:left="1080" w:hanging="510"/>
        <w:rPr>
          <w:sz w:val="24"/>
          <w:vertAlign w:val="superscript"/>
        </w:rPr>
      </w:pPr>
      <w:r w:rsidRPr="00400DCC">
        <w:rPr>
          <w:sz w:val="24"/>
        </w:rPr>
        <w:t>–</w:t>
      </w:r>
      <w:r w:rsidRPr="00400DCC">
        <w:rPr>
          <w:sz w:val="24"/>
        </w:rPr>
        <w:tab/>
        <w:t>résolution du Parlement européen du 8 octobre 2025 sur la décision d’exécution de la Commission (UE) 2025/1898 du 22 septembre 2025 autorisant la mise sur le marché de produits contenant du maïs génétiquement modifié DP51291, consistant en ce maïs ou produits à partir de celui-ci, en application du règlement (CE) nº 1829/2003 du Parlement européen et du Conseil (P10_</w:t>
      </w:r>
      <w:proofErr w:type="gramStart"/>
      <w:r w:rsidRPr="00400DCC">
        <w:rPr>
          <w:sz w:val="24"/>
        </w:rPr>
        <w:t>TA(</w:t>
      </w:r>
      <w:proofErr w:type="gramEnd"/>
      <w:r w:rsidRPr="00400DCC">
        <w:rPr>
          <w:sz w:val="24"/>
        </w:rPr>
        <w:t>2025)0222).</w:t>
      </w:r>
    </w:p>
    <w:p w14:paraId="1F6319CD" w14:textId="0CA0A8CC" w:rsidR="006E79DF" w:rsidRPr="00400DCC" w:rsidRDefault="006E79DF" w:rsidP="00125CEC">
      <w:pPr>
        <w:pStyle w:val="FootnoteText"/>
        <w:ind w:left="1080" w:hanging="510"/>
        <w:rPr>
          <w:sz w:val="24"/>
          <w:vertAlign w:val="superscript"/>
        </w:rPr>
      </w:pPr>
      <w:r w:rsidRPr="00400DCC">
        <w:rPr>
          <w:sz w:val="24"/>
        </w:rPr>
        <w:t>–</w:t>
      </w:r>
      <w:r w:rsidRPr="00400DCC">
        <w:rPr>
          <w:sz w:val="24"/>
        </w:rPr>
        <w:tab/>
        <w:t>résolution du Parlement européen du 25 novembre 2025 sur le projet de décision d’exécution de la Commission autorisant la mise sur le marché de produits contenant du maïs génétiquement modifié DAS1131, consistant en celui-ci ou produits à partir de celui-ci, en application du règlement (CE) nº 1829/2003 du Parlement européen et du Conseil (P10_</w:t>
      </w:r>
      <w:proofErr w:type="gramStart"/>
      <w:r w:rsidRPr="00400DCC">
        <w:rPr>
          <w:sz w:val="24"/>
        </w:rPr>
        <w:t>TA(</w:t>
      </w:r>
      <w:proofErr w:type="gramEnd"/>
      <w:r w:rsidRPr="00400DCC">
        <w:rPr>
          <w:sz w:val="24"/>
        </w:rPr>
        <w:t>2025)0288).</w:t>
      </w:r>
    </w:p>
    <w:p w14:paraId="37E193C2" w14:textId="0A7861F8" w:rsidR="006E79DF" w:rsidRPr="00400DCC" w:rsidRDefault="006E79DF" w:rsidP="00125CEC">
      <w:pPr>
        <w:pStyle w:val="FootnoteText"/>
        <w:ind w:left="1080" w:hanging="510"/>
        <w:rPr>
          <w:sz w:val="24"/>
          <w:vertAlign w:val="superscript"/>
        </w:rPr>
      </w:pPr>
      <w:r w:rsidRPr="00400DCC">
        <w:rPr>
          <w:sz w:val="24"/>
        </w:rPr>
        <w:t>–</w:t>
      </w:r>
      <w:r w:rsidRPr="00400DCC">
        <w:rPr>
          <w:sz w:val="24"/>
        </w:rPr>
        <w:tab/>
        <w:t>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(P10_</w:t>
      </w:r>
      <w:proofErr w:type="gramStart"/>
      <w:r w:rsidRPr="00400DCC">
        <w:rPr>
          <w:sz w:val="24"/>
        </w:rPr>
        <w:t>TA(</w:t>
      </w:r>
      <w:proofErr w:type="gramEnd"/>
      <w:r w:rsidRPr="00400DCC">
        <w:rPr>
          <w:sz w:val="24"/>
        </w:rPr>
        <w:t>2025)0289).</w:t>
      </w:r>
    </w:p>
    <w:p w14:paraId="63EE3B7D" w14:textId="475321FD" w:rsidR="006E79DF" w:rsidRPr="00400DCC" w:rsidRDefault="006E79DF" w:rsidP="00125CEC">
      <w:pPr>
        <w:pStyle w:val="FootnoteText"/>
        <w:ind w:left="1080" w:hanging="510"/>
        <w:rPr>
          <w:sz w:val="24"/>
          <w:vertAlign w:val="superscript"/>
        </w:rPr>
      </w:pPr>
      <w:r w:rsidRPr="00400DCC">
        <w:rPr>
          <w:sz w:val="24"/>
        </w:rPr>
        <w:t>–</w:t>
      </w:r>
      <w:r w:rsidRPr="00400DCC">
        <w:rPr>
          <w:sz w:val="24"/>
        </w:rPr>
        <w:tab/>
        <w:t>résolution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(P10_</w:t>
      </w:r>
      <w:proofErr w:type="gramStart"/>
      <w:r w:rsidRPr="00400DCC">
        <w:rPr>
          <w:sz w:val="24"/>
        </w:rPr>
        <w:t>TA(</w:t>
      </w:r>
      <w:proofErr w:type="gramEnd"/>
      <w:r w:rsidRPr="00400DCC">
        <w:rPr>
          <w:sz w:val="24"/>
        </w:rPr>
        <w:t>2025)0290).</w:t>
      </w:r>
    </w:p>
    <w:p w14:paraId="456D0539" w14:textId="5B4BB7E8" w:rsidR="006E79DF" w:rsidRPr="00400DCC" w:rsidRDefault="006E79DF" w:rsidP="00125CEC">
      <w:pPr>
        <w:pStyle w:val="FootnoteText"/>
        <w:ind w:left="1080" w:hanging="510"/>
        <w:rPr>
          <w:sz w:val="24"/>
          <w:vertAlign w:val="superscript"/>
        </w:rPr>
      </w:pPr>
      <w:r w:rsidRPr="00400DCC">
        <w:rPr>
          <w:sz w:val="24"/>
        </w:rPr>
        <w:t>–</w:t>
      </w:r>
      <w:r w:rsidRPr="00400DCC">
        <w:rPr>
          <w:sz w:val="24"/>
        </w:rPr>
        <w:tab/>
        <w:t>résolution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(P10_</w:t>
      </w:r>
      <w:proofErr w:type="gramStart"/>
      <w:r w:rsidRPr="00400DCC">
        <w:rPr>
          <w:sz w:val="24"/>
        </w:rPr>
        <w:t>TA(</w:t>
      </w:r>
      <w:proofErr w:type="gramEnd"/>
      <w:r w:rsidRPr="00400DCC">
        <w:rPr>
          <w:sz w:val="24"/>
        </w:rPr>
        <w:t>2025)0291).</w:t>
      </w:r>
    </w:p>
    <w:p w14:paraId="026E3B3F" w14:textId="02DB26B0" w:rsidR="006E79DF" w:rsidRPr="00400DCC" w:rsidRDefault="006E79DF" w:rsidP="00125CEC">
      <w:pPr>
        <w:pStyle w:val="FootnoteText"/>
        <w:ind w:left="1080" w:hanging="510"/>
        <w:rPr>
          <w:sz w:val="24"/>
        </w:rPr>
      </w:pPr>
      <w:r w:rsidRPr="00400DCC">
        <w:rPr>
          <w:sz w:val="24"/>
        </w:rPr>
        <w:t>–</w:t>
      </w:r>
      <w:r w:rsidRPr="00400DCC">
        <w:rPr>
          <w:sz w:val="24"/>
        </w:rPr>
        <w:tab/>
        <w:t>résolution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(P10_</w:t>
      </w:r>
      <w:proofErr w:type="gramStart"/>
      <w:r w:rsidRPr="00400DCC">
        <w:rPr>
          <w:sz w:val="24"/>
        </w:rPr>
        <w:t>TA(</w:t>
      </w:r>
      <w:proofErr w:type="gramEnd"/>
      <w:r w:rsidRPr="00400DCC">
        <w:rPr>
          <w:sz w:val="24"/>
        </w:rPr>
        <w:t>2025)0292).</w:t>
      </w:r>
    </w:p>
  </w:footnote>
  <w:footnote w:id="5">
    <w:p w14:paraId="59E383B4" w14:textId="3562ADA5" w:rsidR="006E79DF" w:rsidRPr="00400DCC" w:rsidRDefault="006E79DF" w:rsidP="00400DCC">
      <w:pPr>
        <w:pStyle w:val="FootnoteText"/>
        <w:ind w:left="567" w:hanging="567"/>
        <w:rPr>
          <w:sz w:val="24"/>
        </w:rPr>
      </w:pPr>
      <w:r w:rsidRPr="00400DCC">
        <w:rPr>
          <w:rStyle w:val="FootnoteReference"/>
          <w:sz w:val="24"/>
        </w:rPr>
        <w:footnoteRef/>
      </w:r>
      <w:r w:rsidR="00400DCC" w:rsidRPr="00400DCC">
        <w:rPr>
          <w:sz w:val="24"/>
          <w:shd w:val="clear" w:color="auto" w:fill="FFFFFF"/>
        </w:rPr>
        <w:t xml:space="preserve"> </w:t>
      </w:r>
      <w:r w:rsidR="00400DCC" w:rsidRPr="00400DCC">
        <w:rPr>
          <w:sz w:val="24"/>
          <w:shd w:val="clear" w:color="auto" w:fill="FFFFFF"/>
        </w:rPr>
        <w:tab/>
      </w:r>
      <w:r w:rsidRPr="00400DCC">
        <w:rPr>
          <w:sz w:val="24"/>
          <w:shd w:val="clear" w:color="auto" w:fill="FFFFFF"/>
        </w:rPr>
        <w:t xml:space="preserve">Voir, par exemple, Bonny, S., «Genetically Modified Herbicide-Tolerant Crops, Weeds, and Herbicides: Overview and Impact», Environmental Management, janvier 2016;57(1), pp. 31-48, </w:t>
      </w:r>
      <w:hyperlink r:id="rId14" w:history="1">
        <w:r w:rsidRPr="00400DCC">
          <w:rPr>
            <w:rStyle w:val="Hyperlink"/>
            <w:sz w:val="24"/>
            <w:shd w:val="clear" w:color="auto" w:fill="FFFFFF"/>
          </w:rPr>
          <w:t>https://doi.org/10.1007/s00267-015-0589-7</w:t>
        </w:r>
      </w:hyperlink>
      <w:r w:rsidRPr="00400DCC">
        <w:rPr>
          <w:sz w:val="24"/>
          <w:shd w:val="clear" w:color="auto" w:fill="FFFFFF"/>
        </w:rPr>
        <w:t xml:space="preserve">, et Benbrook, C.M., «Impacts of genetically engineered crops on pesticide use in the U.S. – the first sixteen years», Environmental Sciences Europe; 28 septembre 2012, vol. 24(1), </w:t>
      </w:r>
      <w:hyperlink r:id="rId15" w:history="1">
        <w:r w:rsidRPr="00400DCC">
          <w:rPr>
            <w:rStyle w:val="Hyperlink"/>
            <w:sz w:val="24"/>
          </w:rPr>
          <w:t>https://doi.org/10.1186/2190-4715-24-24</w:t>
        </w:r>
      </w:hyperlink>
      <w:r w:rsidRPr="00400DCC">
        <w:rPr>
          <w:rStyle w:val="Hyperlink"/>
          <w:sz w:val="24"/>
          <w:shd w:val="clear" w:color="auto" w:fill="FFFFFF"/>
        </w:rPr>
        <w:t>.</w:t>
      </w:r>
    </w:p>
  </w:footnote>
  <w:footnote w:id="6">
    <w:p w14:paraId="0840637E" w14:textId="10A9F784" w:rsidR="006E79DF" w:rsidRPr="00400DCC" w:rsidRDefault="006E79DF" w:rsidP="00400DCC">
      <w:pPr>
        <w:pStyle w:val="FootnoteText"/>
        <w:ind w:left="567" w:hanging="567"/>
        <w:rPr>
          <w:sz w:val="24"/>
          <w:vertAlign w:val="superscript"/>
        </w:rPr>
      </w:pPr>
      <w:r w:rsidRPr="00400DCC">
        <w:rPr>
          <w:rStyle w:val="FootnoteReference"/>
          <w:sz w:val="24"/>
        </w:rPr>
        <w:footnoteRef/>
      </w:r>
      <w:r w:rsidR="00400DCC" w:rsidRPr="00400DCC">
        <w:rPr>
          <w:sz w:val="24"/>
        </w:rPr>
        <w:t xml:space="preserve"> </w:t>
      </w:r>
      <w:r w:rsidR="00400DCC" w:rsidRPr="00400DCC">
        <w:rPr>
          <w:sz w:val="24"/>
        </w:rPr>
        <w:tab/>
      </w:r>
      <w:r w:rsidRPr="00400DCC">
        <w:rPr>
          <w:sz w:val="24"/>
        </w:rPr>
        <w:t xml:space="preserve">Voir par </w:t>
      </w:r>
      <w:proofErr w:type="gramStart"/>
      <w:r w:rsidRPr="00400DCC">
        <w:rPr>
          <w:sz w:val="24"/>
        </w:rPr>
        <w:t>exemple:</w:t>
      </w:r>
      <w:proofErr w:type="gramEnd"/>
      <w:r w:rsidRPr="00400DCC">
        <w:rPr>
          <w:sz w:val="24"/>
        </w:rPr>
        <w:t xml:space="preserve"> </w:t>
      </w:r>
      <w:hyperlink r:id="rId16" w:history="1">
        <w:r w:rsidRPr="00400DCC">
          <w:rPr>
            <w:rStyle w:val="Hyperlink"/>
            <w:sz w:val="24"/>
          </w:rPr>
          <w:t>https://doi.org/10.1002/ps.8105</w:t>
        </w:r>
      </w:hyperlink>
      <w:r w:rsidRPr="00400DCC">
        <w:rPr>
          <w:sz w:val="24"/>
        </w:rPr>
        <w:t>,</w:t>
      </w:r>
    </w:p>
    <w:p w14:paraId="29358DC0" w14:textId="638944D0" w:rsidR="006E79DF" w:rsidRPr="00400DCC" w:rsidRDefault="00400DCC" w:rsidP="00400DCC">
      <w:pPr>
        <w:pStyle w:val="FootnoteText"/>
        <w:ind w:left="567" w:hanging="567"/>
        <w:rPr>
          <w:sz w:val="24"/>
        </w:rPr>
      </w:pPr>
      <w:r w:rsidRPr="00400DCC">
        <w:rPr>
          <w:sz w:val="24"/>
        </w:rPr>
        <w:t xml:space="preserve"> </w:t>
      </w:r>
      <w:r w:rsidRPr="00400DCC">
        <w:rPr>
          <w:sz w:val="24"/>
        </w:rPr>
        <w:tab/>
      </w:r>
      <w:hyperlink r:id="rId17" w:tgtFrame="_blank" w:tooltip="Lien persistant utilisant l’identifiant d’objet numérique" w:history="1">
        <w:r w:rsidR="006E79DF" w:rsidRPr="00400DCC">
          <w:rPr>
            <w:rStyle w:val="Hyperlink"/>
            <w:sz w:val="24"/>
          </w:rPr>
          <w:t>https://doi.org/10.1016/j.geoforum.2009.03.009</w:t>
        </w:r>
      </w:hyperlink>
      <w:r w:rsidR="006E79DF" w:rsidRPr="00400DCC">
        <w:rPr>
          <w:sz w:val="24"/>
        </w:rPr>
        <w:t>.</w:t>
      </w:r>
    </w:p>
  </w:footnote>
  <w:footnote w:id="7">
    <w:p w14:paraId="068BC257" w14:textId="784762AD" w:rsidR="006E79DF" w:rsidRPr="00400DCC" w:rsidRDefault="006E79DF" w:rsidP="00400DCC">
      <w:pPr>
        <w:pStyle w:val="FootnoteText"/>
        <w:ind w:left="567" w:hanging="567"/>
        <w:rPr>
          <w:sz w:val="24"/>
        </w:rPr>
      </w:pPr>
      <w:r w:rsidRPr="00400DCC">
        <w:rPr>
          <w:rStyle w:val="FootnoteReference"/>
          <w:sz w:val="24"/>
        </w:rPr>
        <w:footnoteRef/>
      </w:r>
      <w:r w:rsidR="00400DCC" w:rsidRPr="00400DCC">
        <w:rPr>
          <w:sz w:val="24"/>
        </w:rPr>
        <w:t xml:space="preserve"> </w:t>
      </w:r>
      <w:r w:rsidR="00400DCC" w:rsidRPr="00400DCC">
        <w:rPr>
          <w:sz w:val="24"/>
        </w:rPr>
        <w:tab/>
      </w:r>
      <w:r w:rsidRPr="00400DCC">
        <w:rPr>
          <w:sz w:val="24"/>
        </w:rPr>
        <w:t>Voir par exemple:</w:t>
      </w:r>
      <w:r w:rsidRPr="00400DCC">
        <w:rPr>
          <w:sz w:val="24"/>
        </w:rPr>
        <w:br/>
      </w:r>
      <w:hyperlink r:id="rId18" w:tgtFrame="_blank" w:tooltip="Lien persistant utilisant l’identifiant d’objet numérique" w:history="1">
        <w:r w:rsidRPr="00400DCC">
          <w:rPr>
            <w:rStyle w:val="Hyperlink"/>
            <w:sz w:val="24"/>
          </w:rPr>
          <w:t>https://doi.org/10.1016/j.mrrev.2019.02.001</w:t>
        </w:r>
      </w:hyperlink>
      <w:r w:rsidRPr="00400DCC">
        <w:rPr>
          <w:sz w:val="24"/>
        </w:rPr>
        <w:t>,</w:t>
      </w:r>
      <w:r w:rsidRPr="00400DCC">
        <w:rPr>
          <w:sz w:val="24"/>
        </w:rPr>
        <w:br/>
      </w:r>
      <w:hyperlink r:id="rId19" w:history="1">
        <w:r w:rsidRPr="00400DCC">
          <w:rPr>
            <w:rStyle w:val="Hyperlink"/>
            <w:sz w:val="24"/>
          </w:rPr>
          <w:t>https://doi.org/10.1093/ije/dyz017</w:t>
        </w:r>
      </w:hyperlink>
      <w:r w:rsidRPr="00400DCC">
        <w:rPr>
          <w:sz w:val="24"/>
        </w:rPr>
        <w:t>,</w:t>
      </w:r>
      <w:r w:rsidRPr="00400DCC">
        <w:rPr>
          <w:sz w:val="24"/>
        </w:rPr>
        <w:br/>
      </w:r>
      <w:hyperlink r:id="rId20" w:history="1">
        <w:r w:rsidRPr="00400DCC">
          <w:rPr>
            <w:rStyle w:val="Hyperlink"/>
            <w:sz w:val="24"/>
          </w:rPr>
          <w:t>https://doi.org/10.1371/journal.pone.0219610</w:t>
        </w:r>
      </w:hyperlink>
      <w:r w:rsidRPr="00400DCC">
        <w:rPr>
          <w:sz w:val="24"/>
        </w:rPr>
        <w:t xml:space="preserve"> et</w:t>
      </w:r>
      <w:r w:rsidRPr="00400DCC">
        <w:rPr>
          <w:sz w:val="24"/>
        </w:rPr>
        <w:br/>
      </w:r>
      <w:hyperlink r:id="rId21" w:history="1">
        <w:r w:rsidRPr="00400DCC">
          <w:rPr>
            <w:rStyle w:val="Hyperlink"/>
            <w:sz w:val="24"/>
          </w:rPr>
          <w:t>https://doi.org/10.1186/s13045-019-0767-9</w:t>
        </w:r>
      </w:hyperlink>
      <w:r w:rsidRPr="00400DCC">
        <w:rPr>
          <w:sz w:val="24"/>
        </w:rPr>
        <w:t>.</w:t>
      </w:r>
    </w:p>
  </w:footnote>
  <w:footnote w:id="8">
    <w:p w14:paraId="3AAB30F0" w14:textId="1F2BB684" w:rsidR="006E79DF" w:rsidRPr="00400DCC" w:rsidRDefault="006E79DF" w:rsidP="00400DCC">
      <w:pPr>
        <w:pStyle w:val="FootnoteText"/>
        <w:ind w:left="567" w:hanging="567"/>
        <w:rPr>
          <w:sz w:val="24"/>
        </w:rPr>
      </w:pPr>
      <w:r w:rsidRPr="00400DCC">
        <w:rPr>
          <w:rStyle w:val="FootnoteReference"/>
          <w:sz w:val="24"/>
        </w:rPr>
        <w:footnoteRef/>
      </w:r>
      <w:r w:rsidR="00400DCC" w:rsidRPr="00400DCC">
        <w:rPr>
          <w:sz w:val="24"/>
        </w:rPr>
        <w:t xml:space="preserve"> </w:t>
      </w:r>
      <w:r w:rsidR="00400DCC" w:rsidRPr="00400DCC">
        <w:rPr>
          <w:sz w:val="24"/>
        </w:rPr>
        <w:tab/>
      </w:r>
      <w:r w:rsidRPr="00400DCC">
        <w:rPr>
          <w:sz w:val="24"/>
        </w:rPr>
        <w:t xml:space="preserve">Règlement (CE) nº 1107/2009 du Parlement européen et du Conseil du 21 octobre 2009 concernant la mise sur le marché des produits phytopharmaceutiques et abrogeant les directives 79/117/CEE et 91/414/CEE du Conseil (JO L 309 du 24.11.2009, p. 1, </w:t>
      </w:r>
      <w:proofErr w:type="gramStart"/>
      <w:r w:rsidRPr="00400DCC">
        <w:rPr>
          <w:sz w:val="24"/>
        </w:rPr>
        <w:t>ELI:</w:t>
      </w:r>
      <w:proofErr w:type="gramEnd"/>
      <w:r w:rsidRPr="00400DCC">
        <w:rPr>
          <w:sz w:val="24"/>
        </w:rPr>
        <w:t xml:space="preserve"> </w:t>
      </w:r>
      <w:hyperlink r:id="rId22" w:tooltip="Donne accès à ce document par l’intermédiaire de son URI ELI." w:history="1">
        <w:r w:rsidRPr="00400DCC">
          <w:rPr>
            <w:rStyle w:val="Hyperlink"/>
            <w:sz w:val="24"/>
          </w:rPr>
          <w:t>http://data.europa.eu/eli/reg/2009/1107/oj</w:t>
        </w:r>
      </w:hyperlink>
      <w:r w:rsidRPr="00400DCC">
        <w:rPr>
          <w:sz w:val="24"/>
        </w:rPr>
        <w:t>).</w:t>
      </w:r>
    </w:p>
  </w:footnote>
  <w:footnote w:id="9">
    <w:p w14:paraId="54813CE8" w14:textId="54DCA738" w:rsidR="006E79DF" w:rsidRPr="00400DCC" w:rsidRDefault="006E79DF" w:rsidP="00400DCC">
      <w:pPr>
        <w:pStyle w:val="FootnoteText"/>
        <w:ind w:left="567" w:hanging="567"/>
        <w:rPr>
          <w:sz w:val="24"/>
        </w:rPr>
      </w:pPr>
      <w:r w:rsidRPr="00400DCC">
        <w:rPr>
          <w:rStyle w:val="FootnoteReference"/>
          <w:sz w:val="24"/>
        </w:rPr>
        <w:footnoteRef/>
      </w:r>
      <w:r w:rsidR="00400DCC" w:rsidRPr="00400DCC">
        <w:rPr>
          <w:color w:val="000000" w:themeColor="text1"/>
          <w:sz w:val="24"/>
        </w:rPr>
        <w:t xml:space="preserve"> </w:t>
      </w:r>
      <w:r w:rsidR="00400DCC" w:rsidRPr="00400DCC">
        <w:rPr>
          <w:color w:val="000000" w:themeColor="text1"/>
          <w:sz w:val="24"/>
        </w:rPr>
        <w:tab/>
      </w:r>
      <w:r w:rsidRPr="00400DCC">
        <w:rPr>
          <w:color w:val="000000" w:themeColor="text1"/>
          <w:sz w:val="24"/>
        </w:rPr>
        <w:t>En décembre 2022, un cadre mondial sur la biodiversité a été adopté lors de la COP15 de la convention des Nations unies sur la diversité biologique, qui prévoit un objectif mondial de réduction du risque lié aux pesticides d’au moins 50</w:t>
      </w:r>
      <w:r w:rsidRPr="00400DCC">
        <w:rPr>
          <w:sz w:val="24"/>
        </w:rPr>
        <w:t> </w:t>
      </w:r>
      <w:r w:rsidRPr="00400DCC">
        <w:rPr>
          <w:color w:val="000000" w:themeColor="text1"/>
          <w:sz w:val="24"/>
        </w:rPr>
        <w:t>% d’ici 2030 (</w:t>
      </w:r>
      <w:proofErr w:type="gramStart"/>
      <w:r w:rsidRPr="00400DCC">
        <w:rPr>
          <w:color w:val="000000" w:themeColor="text1"/>
          <w:sz w:val="24"/>
        </w:rPr>
        <w:t>voir:</w:t>
      </w:r>
      <w:proofErr w:type="gramEnd"/>
      <w:r w:rsidRPr="00400DCC">
        <w:rPr>
          <w:color w:val="000000" w:themeColor="text1"/>
          <w:sz w:val="24"/>
        </w:rPr>
        <w:t xml:space="preserve"> </w:t>
      </w:r>
      <w:hyperlink r:id="rId23" w:history="1">
        <w:r w:rsidRPr="00400DCC">
          <w:rPr>
            <w:rStyle w:val="Hyperlink"/>
            <w:sz w:val="24"/>
          </w:rPr>
          <w:t>https://ec.europa.eu/commission/presscorner/detail/fr/ip_22_7834</w:t>
        </w:r>
      </w:hyperlink>
      <w:r w:rsidRPr="00400DCC">
        <w:rPr>
          <w:sz w:val="24"/>
        </w:rPr>
        <w:t xml:space="preserve">) </w:t>
      </w:r>
    </w:p>
  </w:footnote>
  <w:footnote w:id="10">
    <w:p w14:paraId="7D0A6253" w14:textId="10B33AF6" w:rsidR="006E79DF" w:rsidRPr="00400DCC" w:rsidRDefault="006E79DF" w:rsidP="00400DCC">
      <w:pPr>
        <w:pStyle w:val="FootnoteText"/>
        <w:ind w:left="567" w:hanging="567"/>
        <w:rPr>
          <w:sz w:val="24"/>
        </w:rPr>
      </w:pPr>
      <w:r w:rsidRPr="00400DCC">
        <w:rPr>
          <w:rStyle w:val="FootnoteReference"/>
          <w:sz w:val="24"/>
        </w:rPr>
        <w:footnoteRef/>
      </w:r>
      <w:r w:rsidR="00400DCC" w:rsidRPr="00400DCC">
        <w:rPr>
          <w:sz w:val="24"/>
        </w:rPr>
        <w:t xml:space="preserve"> </w:t>
      </w:r>
      <w:r w:rsidR="00400DCC" w:rsidRPr="00400DCC">
        <w:rPr>
          <w:sz w:val="24"/>
        </w:rPr>
        <w:tab/>
      </w:r>
      <w:hyperlink r:id="rId24" w:history="1">
        <w:r w:rsidRPr="00400DCC">
          <w:rPr>
            <w:rStyle w:val="Hyperlink"/>
            <w:sz w:val="24"/>
          </w:rPr>
          <w:t>https://commission.europa.eu/topics/agriculture-and-rural-development/strategic-dialogue-future-eu-agriculture_fr</w:t>
        </w:r>
      </w:hyperlink>
      <w:r w:rsidRPr="00400DCC">
        <w:rPr>
          <w:rStyle w:val="Hyperlink"/>
          <w:sz w:val="24"/>
        </w:rPr>
        <w:t>.</w:t>
      </w:r>
      <w:r w:rsidRPr="00400DCC">
        <w:rPr>
          <w:sz w:val="24"/>
        </w:rPr>
        <w:t xml:space="preserve"> </w:t>
      </w:r>
    </w:p>
  </w:footnote>
  <w:footnote w:id="11">
    <w:p w14:paraId="126B0663" w14:textId="0B9A8FD6" w:rsidR="006E79DF" w:rsidRPr="00400DCC" w:rsidRDefault="006E79DF" w:rsidP="00400DCC">
      <w:pPr>
        <w:pStyle w:val="FootnoteText"/>
        <w:ind w:left="567" w:hanging="567"/>
        <w:rPr>
          <w:sz w:val="24"/>
        </w:rPr>
      </w:pPr>
      <w:r w:rsidRPr="00400DCC">
        <w:rPr>
          <w:rStyle w:val="FootnoteReference"/>
          <w:sz w:val="24"/>
        </w:rPr>
        <w:footnoteRef/>
      </w:r>
      <w:r w:rsidR="00400DCC" w:rsidRPr="00400DCC">
        <w:rPr>
          <w:sz w:val="24"/>
        </w:rPr>
        <w:t xml:space="preserve"> </w:t>
      </w:r>
      <w:r w:rsidR="00400DCC" w:rsidRPr="00400DCC">
        <w:rPr>
          <w:sz w:val="24"/>
        </w:rPr>
        <w:tab/>
      </w:r>
      <w:r w:rsidRPr="00400DCC">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25" w:tgtFrame="Gives%20access%20to%20this%20document%20through%20its%20ELI%20URI." w:history="1">
        <w:r w:rsidRPr="00400DCC">
          <w:rPr>
            <w:rStyle w:val="Hyperlink"/>
            <w:sz w:val="24"/>
          </w:rPr>
          <w:t>http://data.europa.eu/eli/reg/2002/178/oj</w:t>
        </w:r>
      </w:hyperlink>
      <w:r w:rsidRPr="00400DC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2B8D" w14:textId="77777777" w:rsidR="00064002" w:rsidRPr="00400D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2787" w14:textId="77777777" w:rsidR="00064002" w:rsidRPr="00400D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5DFE8" w14:textId="77777777" w:rsidR="00064002" w:rsidRPr="00400D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8623DA7"/>
    <w:multiLevelType w:val="hybridMultilevel"/>
    <w:tmpl w:val="2DC896A8"/>
    <w:lvl w:ilvl="0" w:tplc="628626BA">
      <w:start w:val="7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6020667">
    <w:abstractNumId w:val="9"/>
  </w:num>
  <w:num w:numId="2" w16cid:durableId="231888385">
    <w:abstractNumId w:val="9"/>
  </w:num>
  <w:num w:numId="3" w16cid:durableId="1287395388">
    <w:abstractNumId w:val="7"/>
  </w:num>
  <w:num w:numId="4" w16cid:durableId="1172186489">
    <w:abstractNumId w:val="7"/>
  </w:num>
  <w:num w:numId="5" w16cid:durableId="530145388">
    <w:abstractNumId w:val="6"/>
  </w:num>
  <w:num w:numId="6" w16cid:durableId="1247836869">
    <w:abstractNumId w:val="6"/>
  </w:num>
  <w:num w:numId="7" w16cid:durableId="1300645974">
    <w:abstractNumId w:val="5"/>
  </w:num>
  <w:num w:numId="8" w16cid:durableId="1067146135">
    <w:abstractNumId w:val="5"/>
  </w:num>
  <w:num w:numId="9" w16cid:durableId="1642348493">
    <w:abstractNumId w:val="4"/>
  </w:num>
  <w:num w:numId="10" w16cid:durableId="1757049321">
    <w:abstractNumId w:val="4"/>
  </w:num>
  <w:num w:numId="11" w16cid:durableId="1726484131">
    <w:abstractNumId w:val="8"/>
  </w:num>
  <w:num w:numId="12" w16cid:durableId="2077821733">
    <w:abstractNumId w:val="8"/>
  </w:num>
  <w:num w:numId="13" w16cid:durableId="775445074">
    <w:abstractNumId w:val="3"/>
  </w:num>
  <w:num w:numId="14" w16cid:durableId="320889912">
    <w:abstractNumId w:val="3"/>
  </w:num>
  <w:num w:numId="15" w16cid:durableId="1610502997">
    <w:abstractNumId w:val="2"/>
  </w:num>
  <w:num w:numId="16" w16cid:durableId="2092264973">
    <w:abstractNumId w:val="2"/>
  </w:num>
  <w:num w:numId="17" w16cid:durableId="860316287">
    <w:abstractNumId w:val="1"/>
  </w:num>
  <w:num w:numId="18" w16cid:durableId="1068189624">
    <w:abstractNumId w:val="1"/>
  </w:num>
  <w:num w:numId="19" w16cid:durableId="1407997533">
    <w:abstractNumId w:val="0"/>
  </w:num>
  <w:num w:numId="20" w16cid:durableId="642782900">
    <w:abstractNumId w:val="0"/>
  </w:num>
  <w:num w:numId="21" w16cid:durableId="1539467749">
    <w:abstractNumId w:val="9"/>
  </w:num>
  <w:num w:numId="22" w16cid:durableId="844512477">
    <w:abstractNumId w:val="7"/>
  </w:num>
  <w:num w:numId="23" w16cid:durableId="146628103">
    <w:abstractNumId w:val="6"/>
  </w:num>
  <w:num w:numId="24" w16cid:durableId="2064253648">
    <w:abstractNumId w:val="5"/>
  </w:num>
  <w:num w:numId="25" w16cid:durableId="1249194145">
    <w:abstractNumId w:val="4"/>
  </w:num>
  <w:num w:numId="26" w16cid:durableId="1121267449">
    <w:abstractNumId w:val="8"/>
  </w:num>
  <w:num w:numId="27" w16cid:durableId="446584187">
    <w:abstractNumId w:val="3"/>
  </w:num>
  <w:num w:numId="28" w16cid:durableId="2029286388">
    <w:abstractNumId w:val="2"/>
  </w:num>
  <w:num w:numId="29" w16cid:durableId="1479808017">
    <w:abstractNumId w:val="1"/>
  </w:num>
  <w:num w:numId="30" w16cid:durableId="1993371068">
    <w:abstractNumId w:val="0"/>
  </w:num>
  <w:num w:numId="31" w16cid:durableId="702746937">
    <w:abstractNumId w:val="9"/>
  </w:num>
  <w:num w:numId="32" w16cid:durableId="1308508727">
    <w:abstractNumId w:val="7"/>
  </w:num>
  <w:num w:numId="33" w16cid:durableId="580600158">
    <w:abstractNumId w:val="6"/>
  </w:num>
  <w:num w:numId="34" w16cid:durableId="657072976">
    <w:abstractNumId w:val="5"/>
  </w:num>
  <w:num w:numId="35" w16cid:durableId="1854221818">
    <w:abstractNumId w:val="4"/>
  </w:num>
  <w:num w:numId="36" w16cid:durableId="1173034420">
    <w:abstractNumId w:val="8"/>
  </w:num>
  <w:num w:numId="37" w16cid:durableId="1202546890">
    <w:abstractNumId w:val="3"/>
  </w:num>
  <w:num w:numId="38" w16cid:durableId="1144741247">
    <w:abstractNumId w:val="2"/>
  </w:num>
  <w:num w:numId="39" w16cid:durableId="1176310698">
    <w:abstractNumId w:val="1"/>
  </w:num>
  <w:num w:numId="40" w16cid:durableId="1093354892">
    <w:abstractNumId w:val="0"/>
  </w:num>
  <w:num w:numId="41" w16cid:durableId="277496716">
    <w:abstractNumId w:val="10"/>
  </w:num>
  <w:num w:numId="42" w16cid:durableId="1179394236">
    <w:abstractNumId w:val="10"/>
  </w:num>
  <w:num w:numId="43" w16cid:durableId="1561862015">
    <w:abstractNumId w:val="10"/>
  </w:num>
  <w:num w:numId="44" w16cid:durableId="735278052">
    <w:abstractNumId w:val="12"/>
  </w:num>
  <w:num w:numId="45" w16cid:durableId="1542398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FR"/>
    <w:docVar w:name="dvnumam" w:val="0"/>
    <w:docVar w:name="dvpe" w:val="779.398"/>
    <w:docVar w:name="dvtitre" w:val="Résolution du Parlement européen du ...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D110122/02 – 2025/2959(RSP))"/>
  </w:docVars>
  <w:rsids>
    <w:rsidRoot w:val="008711DF"/>
    <w:rsid w:val="00002272"/>
    <w:rsid w:val="00064002"/>
    <w:rsid w:val="000677B9"/>
    <w:rsid w:val="000831BA"/>
    <w:rsid w:val="000A42CC"/>
    <w:rsid w:val="000E7DD9"/>
    <w:rsid w:val="0010095E"/>
    <w:rsid w:val="00125B37"/>
    <w:rsid w:val="00125CEC"/>
    <w:rsid w:val="00187494"/>
    <w:rsid w:val="001F32AE"/>
    <w:rsid w:val="002767FF"/>
    <w:rsid w:val="002942BC"/>
    <w:rsid w:val="002B18FE"/>
    <w:rsid w:val="002B5493"/>
    <w:rsid w:val="00343214"/>
    <w:rsid w:val="00361C00"/>
    <w:rsid w:val="00395FA1"/>
    <w:rsid w:val="003B63D0"/>
    <w:rsid w:val="003E15D4"/>
    <w:rsid w:val="00400DCC"/>
    <w:rsid w:val="00411CCE"/>
    <w:rsid w:val="0041666E"/>
    <w:rsid w:val="00421060"/>
    <w:rsid w:val="00471C19"/>
    <w:rsid w:val="004867E3"/>
    <w:rsid w:val="00494A28"/>
    <w:rsid w:val="004B3B26"/>
    <w:rsid w:val="004C0004"/>
    <w:rsid w:val="004C5D52"/>
    <w:rsid w:val="0050519A"/>
    <w:rsid w:val="005072A1"/>
    <w:rsid w:val="00514517"/>
    <w:rsid w:val="00545827"/>
    <w:rsid w:val="00560270"/>
    <w:rsid w:val="005C2568"/>
    <w:rsid w:val="005F1B17"/>
    <w:rsid w:val="006037C0"/>
    <w:rsid w:val="006631B6"/>
    <w:rsid w:val="00680577"/>
    <w:rsid w:val="006E79DF"/>
    <w:rsid w:val="006F74FA"/>
    <w:rsid w:val="00731ADD"/>
    <w:rsid w:val="00734777"/>
    <w:rsid w:val="00747932"/>
    <w:rsid w:val="00751A4A"/>
    <w:rsid w:val="00756632"/>
    <w:rsid w:val="00762C74"/>
    <w:rsid w:val="00765042"/>
    <w:rsid w:val="00786EC0"/>
    <w:rsid w:val="007D1690"/>
    <w:rsid w:val="007E22AD"/>
    <w:rsid w:val="00817416"/>
    <w:rsid w:val="00842779"/>
    <w:rsid w:val="00865F67"/>
    <w:rsid w:val="008711DF"/>
    <w:rsid w:val="00881A7B"/>
    <w:rsid w:val="008840E5"/>
    <w:rsid w:val="00887B3E"/>
    <w:rsid w:val="008C2AC6"/>
    <w:rsid w:val="00930C23"/>
    <w:rsid w:val="0093193B"/>
    <w:rsid w:val="009509D8"/>
    <w:rsid w:val="00950B64"/>
    <w:rsid w:val="00981893"/>
    <w:rsid w:val="00A03716"/>
    <w:rsid w:val="00A1687D"/>
    <w:rsid w:val="00A43E52"/>
    <w:rsid w:val="00A4678D"/>
    <w:rsid w:val="00A778C7"/>
    <w:rsid w:val="00A86FB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474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1B8"/>
    <w:rsid w:val="00F5134D"/>
    <w:rsid w:val="00F74202"/>
    <w:rsid w:val="00F87713"/>
    <w:rsid w:val="00F93DC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44AA7"/>
  <w15:chartTrackingRefBased/>
  <w15:docId w15:val="{31A353DA-48CA-4749-992E-7F1A1C2C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E79DF"/>
    <w:pPr>
      <w:spacing w:before="480" w:after="240"/>
    </w:pPr>
  </w:style>
  <w:style w:type="paragraph" w:customStyle="1" w:styleId="NormalHanging12a">
    <w:name w:val="NormalHanging12a"/>
    <w:basedOn w:val="Normal"/>
    <w:uiPriority w:val="99"/>
    <w:qFormat/>
    <w:rsid w:val="006E79DF"/>
    <w:pPr>
      <w:spacing w:after="240"/>
      <w:ind w:left="567" w:hanging="567"/>
    </w:pPr>
  </w:style>
  <w:style w:type="paragraph" w:customStyle="1" w:styleId="NormalBold">
    <w:name w:val="NormalBold"/>
    <w:basedOn w:val="Normal"/>
    <w:uiPriority w:val="99"/>
    <w:rsid w:val="006E79DF"/>
    <w:rPr>
      <w:b/>
    </w:rPr>
  </w:style>
  <w:style w:type="character" w:styleId="Hyperlink">
    <w:name w:val="Hyperlink"/>
    <w:basedOn w:val="DefaultParagraphFont"/>
    <w:uiPriority w:val="99"/>
    <w:rsid w:val="006E79DF"/>
    <w:rPr>
      <w:color w:val="0563C1" w:themeColor="hyperlink"/>
      <w:u w:val="single"/>
    </w:rPr>
  </w:style>
  <w:style w:type="paragraph" w:styleId="NormalWeb">
    <w:name w:val="Normal (Web)"/>
    <w:basedOn w:val="Normal"/>
    <w:uiPriority w:val="99"/>
    <w:unhideWhenUsed/>
    <w:rsid w:val="006E79DF"/>
    <w:pPr>
      <w:widowControl/>
      <w:spacing w:before="100" w:beforeAutospacing="1" w:after="100" w:afterAutospacing="1"/>
    </w:pPr>
    <w:rPr>
      <w:szCs w:val="24"/>
    </w:rPr>
  </w:style>
  <w:style w:type="paragraph" w:styleId="Revision">
    <w:name w:val="Revision"/>
    <w:hidden/>
    <w:uiPriority w:val="99"/>
    <w:semiHidden/>
    <w:rsid w:val="00125CE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fr"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fr/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1852</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5</cp:revision>
  <cp:lastPrinted>2004-11-19T15:42:00Z</cp:lastPrinted>
  <dcterms:created xsi:type="dcterms:W3CDTF">2025-12-12T11:11:00Z</dcterms:created>
  <dcterms:modified xsi:type="dcterms:W3CDTF">2026-01-28T10:17:00Z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B10-0559/2025</vt:lpwstr>
  </property>
  <property fmtid="{D5CDD505-2E9C-101B-9397-08002B2CF9AE}" pid="4" name="&lt;Type&gt;">
    <vt:lpwstr>RR</vt:lpwstr>
  </property>
</Properties>
</file>