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293C" w14:paraId="66A0E069" w14:textId="77777777" w:rsidTr="0010095E">
        <w:trPr>
          <w:trHeight w:hRule="exact" w:val="1418"/>
        </w:trPr>
        <w:tc>
          <w:tcPr>
            <w:tcW w:w="6804" w:type="dxa"/>
            <w:shd w:val="clear" w:color="auto" w:fill="auto"/>
            <w:vAlign w:val="center"/>
          </w:tcPr>
          <w:p w14:paraId="790B68EF" w14:textId="6F8986B6" w:rsidR="00751A4A" w:rsidRPr="00F9293C" w:rsidRDefault="00E249A9" w:rsidP="0010095E">
            <w:pPr>
              <w:pStyle w:val="EPName"/>
            </w:pPr>
            <w:r w:rsidRPr="00F9293C">
              <w:t>Europos Parlamentas</w:t>
            </w:r>
          </w:p>
          <w:p w14:paraId="45C5A10B" w14:textId="77777777" w:rsidR="00751A4A" w:rsidRPr="00F9293C" w:rsidRDefault="005F1B17" w:rsidP="005F1B17">
            <w:pPr>
              <w:pStyle w:val="EPTerm"/>
              <w:rPr>
                <w:rStyle w:val="HideTWBExt"/>
                <w:noProof w:val="0"/>
                <w:vanish w:val="0"/>
                <w:color w:val="auto"/>
              </w:rPr>
            </w:pPr>
            <w:r w:rsidRPr="00F9293C">
              <w:t>2024</w:t>
            </w:r>
            <w:r w:rsidR="00817416" w:rsidRPr="00F9293C">
              <w:t>-202</w:t>
            </w:r>
            <w:r w:rsidRPr="00F9293C">
              <w:t>9</w:t>
            </w:r>
          </w:p>
        </w:tc>
        <w:tc>
          <w:tcPr>
            <w:tcW w:w="2268" w:type="dxa"/>
            <w:shd w:val="clear" w:color="auto" w:fill="auto"/>
          </w:tcPr>
          <w:p w14:paraId="49C00587" w14:textId="77777777" w:rsidR="00751A4A" w:rsidRPr="00F9293C" w:rsidRDefault="00187494" w:rsidP="0010095E">
            <w:pPr>
              <w:pStyle w:val="EPLogo"/>
            </w:pPr>
            <w:r w:rsidRPr="00F9293C">
              <w:rPr>
                <w:noProof/>
                <w:lang w:eastAsia="ja-JP"/>
              </w:rPr>
              <w:drawing>
                <wp:inline distT="0" distB="0" distL="0" distR="0" wp14:anchorId="62236A61" wp14:editId="03B502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CE0A37" w14:textId="77777777" w:rsidR="00D058B8" w:rsidRPr="00F9293C" w:rsidRDefault="00D058B8" w:rsidP="004C5D52">
      <w:pPr>
        <w:pStyle w:val="LineTop"/>
      </w:pPr>
    </w:p>
    <w:p w14:paraId="2F6AB34D" w14:textId="0443E1DE" w:rsidR="00680577" w:rsidRPr="00F9293C" w:rsidRDefault="00E249A9" w:rsidP="00680577">
      <w:pPr>
        <w:pStyle w:val="EPBodyTA1"/>
      </w:pPr>
      <w:r w:rsidRPr="00F9293C">
        <w:t>PRIIMTI TEKSTAI</w:t>
      </w:r>
    </w:p>
    <w:p w14:paraId="2B6D6A37" w14:textId="77777777" w:rsidR="00D058B8" w:rsidRPr="00F9293C" w:rsidRDefault="00D058B8" w:rsidP="00D058B8">
      <w:pPr>
        <w:pStyle w:val="LineBottom"/>
      </w:pPr>
    </w:p>
    <w:p w14:paraId="500EEB71" w14:textId="52E36A4D" w:rsidR="00E249A9" w:rsidRPr="00F9293C" w:rsidRDefault="00E249A9" w:rsidP="00E249A9">
      <w:pPr>
        <w:pStyle w:val="ATHeading1"/>
      </w:pPr>
      <w:bookmarkStart w:id="0" w:name="TANumber"/>
      <w:r w:rsidRPr="00F9293C">
        <w:t>P10_TA(2025)0</w:t>
      </w:r>
      <w:r w:rsidR="00D3252A">
        <w:t>328</w:t>
      </w:r>
      <w:bookmarkEnd w:id="0"/>
    </w:p>
    <w:p w14:paraId="1D3B6AB6" w14:textId="1B23438A" w:rsidR="00E249A9" w:rsidRPr="00F9293C" w:rsidRDefault="00A06342" w:rsidP="00E249A9">
      <w:pPr>
        <w:pStyle w:val="ATHeading2"/>
      </w:pPr>
      <w:bookmarkStart w:id="1" w:name="title"/>
      <w:r>
        <w:t>G</w:t>
      </w:r>
      <w:r w:rsidR="00E249A9" w:rsidRPr="00F9293C">
        <w:t>enetiškai modifikuoti cukriniai runkeliai KWS20-1</w:t>
      </w:r>
      <w:bookmarkEnd w:id="1"/>
    </w:p>
    <w:p w14:paraId="721014E4" w14:textId="77777777" w:rsidR="00E249A9" w:rsidRPr="00F9293C" w:rsidRDefault="00E249A9" w:rsidP="00E249A9">
      <w:pPr>
        <w:rPr>
          <w:i/>
          <w:vanish/>
        </w:rPr>
      </w:pPr>
      <w:r w:rsidRPr="00F9293C">
        <w:rPr>
          <w:i/>
        </w:rPr>
        <w:fldChar w:fldCharType="begin"/>
      </w:r>
      <w:r w:rsidRPr="00F9293C">
        <w:rPr>
          <w:i/>
        </w:rPr>
        <w:instrText xml:space="preserve"> TC"(</w:instrText>
      </w:r>
      <w:bookmarkStart w:id="2" w:name="DocNumber"/>
      <w:r w:rsidRPr="00F9293C">
        <w:rPr>
          <w:i/>
        </w:rPr>
        <w:instrText>B10-0559/2025</w:instrText>
      </w:r>
      <w:bookmarkEnd w:id="2"/>
      <w:r w:rsidRPr="00F9293C">
        <w:rPr>
          <w:i/>
        </w:rPr>
        <w:instrText xml:space="preserve">)"\l3 \n&gt; \* MERGEFORMAT </w:instrText>
      </w:r>
      <w:r w:rsidRPr="00F9293C">
        <w:rPr>
          <w:i/>
        </w:rPr>
        <w:fldChar w:fldCharType="end"/>
      </w:r>
    </w:p>
    <w:p w14:paraId="78150613" w14:textId="77777777" w:rsidR="00E249A9" w:rsidRPr="00F9293C" w:rsidRDefault="00E249A9" w:rsidP="00E249A9">
      <w:pPr>
        <w:rPr>
          <w:vanish/>
        </w:rPr>
      </w:pPr>
      <w:bookmarkStart w:id="3" w:name="PE"/>
      <w:r w:rsidRPr="00F9293C">
        <w:rPr>
          <w:vanish/>
        </w:rPr>
        <w:t>PE779.398</w:t>
      </w:r>
      <w:bookmarkEnd w:id="3"/>
    </w:p>
    <w:p w14:paraId="37819262" w14:textId="34F6BAB8" w:rsidR="00E249A9" w:rsidRPr="00F9293C" w:rsidRDefault="00E249A9" w:rsidP="00A06342">
      <w:pPr>
        <w:pStyle w:val="ATHeading3"/>
      </w:pPr>
      <w:bookmarkStart w:id="4" w:name="Sujet"/>
      <w:r w:rsidRPr="00F9293C">
        <w:t xml:space="preserve">2025 m. </w:t>
      </w:r>
      <w:r w:rsidR="00A06342" w:rsidRPr="00F9293C">
        <w:t>gruodžio</w:t>
      </w:r>
      <w:r w:rsidRPr="00F9293C">
        <w:t xml:space="preserve"> 16 d. Europos Parlamento </w:t>
      </w:r>
      <w:r w:rsidR="00DB4AF9">
        <w:t>rezoliucija</w:t>
      </w:r>
      <w:r w:rsidRPr="00F9293C">
        <w:t xml:space="preserve"> dėl Komisijos įgyvendinimo sprendimo, kuriuo pagal Europos Parlamento ir Tarybos reglamentą (EB) Nr. 1829/2003 leidžiama pateikti rinkai maisto produktus, maisto sudedamąsias dalis ir pašarus, pagamintus iš genetiškai modifikuotų cukrinių runkelių KWS20-1, projekto</w:t>
      </w:r>
      <w:bookmarkEnd w:id="4"/>
      <w:r w:rsidRPr="00F9293C">
        <w:t xml:space="preserve"> </w:t>
      </w:r>
      <w:bookmarkStart w:id="5" w:name="References"/>
      <w:r w:rsidRPr="00F9293C">
        <w:t>(D110122/02 – 2025/2959(RSP))</w:t>
      </w:r>
      <w:bookmarkEnd w:id="5"/>
    </w:p>
    <w:p w14:paraId="358E581E" w14:textId="77777777" w:rsidR="002204DB" w:rsidRPr="00F9293C" w:rsidRDefault="002204DB" w:rsidP="002204DB">
      <w:pPr>
        <w:pStyle w:val="EPComma"/>
      </w:pPr>
      <w:bookmarkStart w:id="6" w:name="TextBodyBegin"/>
      <w:bookmarkEnd w:id="6"/>
      <w:r w:rsidRPr="00F9293C">
        <w:rPr>
          <w:i/>
        </w:rPr>
        <w:t>Europos Parlamentas</w:t>
      </w:r>
      <w:r w:rsidRPr="00F9293C">
        <w:t>,</w:t>
      </w:r>
    </w:p>
    <w:p w14:paraId="30D739D0" w14:textId="77777777" w:rsidR="002204DB" w:rsidRPr="00F9293C" w:rsidRDefault="002204DB" w:rsidP="002204DB">
      <w:pPr>
        <w:pStyle w:val="NormalHanging12a"/>
      </w:pPr>
      <w:r w:rsidRPr="00F9293C">
        <w:t>–</w:t>
      </w:r>
      <w:r w:rsidRPr="00F9293C">
        <w:tab/>
        <w:t>atsižvelgdamas į Komisijos įgyvendinimo sprendimo, kuriuo pagal Europos Parlamento ir Tarybos reglamentą (EB) Nr. 1829/2003 leidžiama pateikti rinkai maisto produktus, maisto sudedamąsias dalis ir pašarus, pagamintus iš genetiškai modifikuotų cukrinių runkelių KWS20-1, projekto (D110122/02),</w:t>
      </w:r>
    </w:p>
    <w:p w14:paraId="4BD19BE8" w14:textId="77777777" w:rsidR="002204DB" w:rsidRPr="00F9293C" w:rsidRDefault="002204DB" w:rsidP="002204DB">
      <w:pPr>
        <w:pStyle w:val="NormalHanging12a"/>
      </w:pPr>
      <w:r w:rsidRPr="00F9293C">
        <w:t>–</w:t>
      </w:r>
      <w:r w:rsidRPr="00F9293C">
        <w:tab/>
        <w:t>atsižvelgdamas į 2003 m. rugsėjo 22 d. Europos Parlamento ir Tarybos reglamentą (EB) Nr. 1829/2003 dėl genetiškai modifikuoto maisto ir pašarų</w:t>
      </w:r>
      <w:r w:rsidRPr="00F9293C">
        <w:rPr>
          <w:vertAlign w:val="superscript"/>
        </w:rPr>
        <w:footnoteReference w:id="1"/>
      </w:r>
      <w:r w:rsidRPr="00F9293C">
        <w:t>, ypač į jo 7 straipsnio 3 dalį ir 19 straipsnio 3 dalį,</w:t>
      </w:r>
    </w:p>
    <w:p w14:paraId="4356E7BA" w14:textId="4AC575F8" w:rsidR="002204DB" w:rsidRPr="00F9293C" w:rsidRDefault="002204DB" w:rsidP="002204DB">
      <w:pPr>
        <w:pStyle w:val="NormalHanging12a"/>
      </w:pPr>
      <w:r w:rsidRPr="00F9293C">
        <w:t>–</w:t>
      </w:r>
      <w:r w:rsidRPr="00F9293C">
        <w:tab/>
        <w:t>atsižvelgdamas į tai, kad Reglamento (EB) Nr. 1829/2003 35 straipsnyje nurodytas Augalų, gyvūnų, maisto ir pašarų nuolatinis komitetas per 2025 m. spalio 14 d. vykusį balsavimą nusprendė nuomonės neteikti</w:t>
      </w:r>
      <w:r w:rsidR="00AB4FC4">
        <w:t xml:space="preserve"> </w:t>
      </w:r>
      <w:r w:rsidR="00D3252A">
        <w:t>ir</w:t>
      </w:r>
      <w:r w:rsidR="00AB4FC4">
        <w:t xml:space="preserve"> </w:t>
      </w:r>
      <w:r w:rsidR="00AB4FC4" w:rsidRPr="00AB4FC4">
        <w:t>Apeliacini</w:t>
      </w:r>
      <w:r w:rsidR="00AB4FC4">
        <w:t>s</w:t>
      </w:r>
      <w:r w:rsidR="00AB4FC4" w:rsidRPr="00AB4FC4">
        <w:t xml:space="preserve"> komitet</w:t>
      </w:r>
      <w:r w:rsidR="00AB4FC4">
        <w:t xml:space="preserve">as per </w:t>
      </w:r>
      <w:r w:rsidR="00AB4FC4" w:rsidRPr="00AB4FC4">
        <w:t>2025 m. lapkričio 28 d. vykusį balsavimą nusprendė nuomonės neteikti</w:t>
      </w:r>
      <w:r w:rsidRPr="00F9293C">
        <w:t>,</w:t>
      </w:r>
    </w:p>
    <w:p w14:paraId="7804993E" w14:textId="77777777" w:rsidR="002204DB" w:rsidRPr="00F9293C" w:rsidRDefault="002204DB" w:rsidP="002204DB">
      <w:pPr>
        <w:pStyle w:val="NormalHanging12a"/>
        <w:widowControl/>
      </w:pPr>
      <w:r w:rsidRPr="00F9293C">
        <w:t>–</w:t>
      </w:r>
      <w:r w:rsidRPr="00F9293C">
        <w:tab/>
        <w:t>atsižvelgdamas į 2011 m. vasario 16 d. Europos Parlamento ir Tarybos reglamento (ES) Nr. 182/2011, kuriuo nustatomos valstybių narių vykdomos Komisijos naudojimosi įgyvendinimo įgaliojimais kontrolės mechanizmų taisyklės ir bendrieji principai</w:t>
      </w:r>
      <w:r w:rsidRPr="00F9293C">
        <w:rPr>
          <w:rStyle w:val="FootnoteReference"/>
          <w:szCs w:val="24"/>
        </w:rPr>
        <w:footnoteReference w:id="2"/>
      </w:r>
      <w:r w:rsidRPr="00F9293C">
        <w:t xml:space="preserve"> 11 straipsnį,</w:t>
      </w:r>
    </w:p>
    <w:p w14:paraId="6377D516" w14:textId="77777777" w:rsidR="002204DB" w:rsidRPr="00F9293C" w:rsidRDefault="002204DB" w:rsidP="002204DB">
      <w:pPr>
        <w:pStyle w:val="NormalHanging12a"/>
      </w:pPr>
      <w:r w:rsidRPr="00F9293C">
        <w:t>–</w:t>
      </w:r>
      <w:r w:rsidRPr="00F9293C">
        <w:tab/>
        <w:t xml:space="preserve">atsižvelgdamas į Europos maisto saugos tarnybos (EFSA) 2025 m. kovo 26 d. priimtą ir </w:t>
      </w:r>
      <w:r w:rsidRPr="00F9293C">
        <w:lastRenderedPageBreak/>
        <w:t>2025 m. gegužės 12 d. paskelbtą nuomonę</w:t>
      </w:r>
      <w:r w:rsidRPr="00F9293C">
        <w:rPr>
          <w:rStyle w:val="FootnoteReference"/>
        </w:rPr>
        <w:footnoteReference w:id="3"/>
      </w:r>
      <w:r w:rsidRPr="00F9293C">
        <w:t>,</w:t>
      </w:r>
    </w:p>
    <w:p w14:paraId="073686AF" w14:textId="77777777" w:rsidR="002204DB" w:rsidRPr="00F9293C" w:rsidRDefault="002204DB" w:rsidP="002204DB">
      <w:pPr>
        <w:pStyle w:val="NormalHanging12a"/>
      </w:pPr>
      <w:r w:rsidRPr="00F9293C">
        <w:t>–</w:t>
      </w:r>
      <w:r w:rsidRPr="00F9293C">
        <w:tab/>
        <w:t>atsižvelgdamas į savo ankstesnes rezoliucijas, kuriose prieštaraujama leidimui naudoti genetiškai modifikuotus organizmus</w:t>
      </w:r>
      <w:r w:rsidRPr="00F9293C">
        <w:rPr>
          <w:rStyle w:val="FootnoteReference"/>
        </w:rPr>
        <w:footnoteReference w:id="4"/>
      </w:r>
      <w:r w:rsidRPr="00F9293C">
        <w:t>,</w:t>
      </w:r>
    </w:p>
    <w:p w14:paraId="51D9AB4F" w14:textId="77777777" w:rsidR="002204DB" w:rsidRPr="00F9293C" w:rsidRDefault="002204DB" w:rsidP="002204DB">
      <w:pPr>
        <w:pStyle w:val="NormalHanging12a"/>
      </w:pPr>
      <w:r w:rsidRPr="00F9293C">
        <w:lastRenderedPageBreak/>
        <w:t>–</w:t>
      </w:r>
      <w:r w:rsidRPr="00F9293C">
        <w:tab/>
        <w:t>atsižvelgdamas į Darbo tvarkos taisyklių 115 straipsnio 2 ir 3 dalis,</w:t>
      </w:r>
    </w:p>
    <w:p w14:paraId="268DD755" w14:textId="77777777" w:rsidR="002204DB" w:rsidRPr="00F9293C" w:rsidRDefault="002204DB" w:rsidP="002204DB">
      <w:pPr>
        <w:pStyle w:val="NormalHanging12a"/>
      </w:pPr>
      <w:r w:rsidRPr="00F9293C">
        <w:t>–</w:t>
      </w:r>
      <w:r w:rsidRPr="00F9293C">
        <w:tab/>
        <w:t>atsižvelgdamas į Aplinkos, klimato ir maisto saugos komiteto pasiūlymą dėl rezoliucijos,</w:t>
      </w:r>
    </w:p>
    <w:p w14:paraId="2A8AA55B" w14:textId="77777777" w:rsidR="002204DB" w:rsidRPr="00F9293C" w:rsidRDefault="002204DB" w:rsidP="002204DB">
      <w:pPr>
        <w:pStyle w:val="NormalHanging12a"/>
      </w:pPr>
      <w:r w:rsidRPr="00F9293C">
        <w:t>A.</w:t>
      </w:r>
      <w:r w:rsidRPr="00F9293C">
        <w:tab/>
        <w:t xml:space="preserve">kadangi 2023 m. gegužės 30 d. pagal Reglamento (EB) Nr. 1829/2003 5 ir 17 straipsnius Belgijoje įsisteigusi įmonė „Bayer </w:t>
      </w:r>
      <w:proofErr w:type="spellStart"/>
      <w:r w:rsidRPr="00F9293C">
        <w:t>Agriculture</w:t>
      </w:r>
      <w:proofErr w:type="spellEnd"/>
      <w:r w:rsidRPr="00F9293C">
        <w:t xml:space="preserve"> B.V.“ Jungtinėse Valstijose įsisteigusios įmonės „Bayer </w:t>
      </w:r>
      <w:proofErr w:type="spellStart"/>
      <w:r w:rsidRPr="00F9293C">
        <w:t>CropScience</w:t>
      </w:r>
      <w:proofErr w:type="spellEnd"/>
      <w:r w:rsidRPr="00F9293C">
        <w:t xml:space="preserve"> LP“ ir įmonės „KWS SAAT SE &amp; </w:t>
      </w:r>
      <w:proofErr w:type="spellStart"/>
      <w:r w:rsidRPr="00F9293C">
        <w:t>Co</w:t>
      </w:r>
      <w:proofErr w:type="spellEnd"/>
      <w:r w:rsidRPr="00F9293C">
        <w:t xml:space="preserve">. </w:t>
      </w:r>
      <w:proofErr w:type="spellStart"/>
      <w:r w:rsidRPr="00F9293C">
        <w:t>KGaA</w:t>
      </w:r>
      <w:proofErr w:type="spellEnd"/>
      <w:r w:rsidRPr="00F9293C">
        <w:t xml:space="preserve">“ vardu pateikė </w:t>
      </w:r>
      <w:r w:rsidRPr="00F9293C">
        <w:rPr>
          <w:snapToGrid w:val="0"/>
        </w:rPr>
        <w:t>Nyderlandų nacionalinei kompetentingai institucijai prašymą</w:t>
      </w:r>
      <w:r w:rsidRPr="00F9293C">
        <w:t xml:space="preserve"> leisti pateikti rinkai maisto produktus, maisto sudedamąsias dalis ir pašarus, kurių sudėtyje yra genetiškai modifikuotų cukrinių runkelių KWS20-1 (toliau – GM cukriniai runkeliai);</w:t>
      </w:r>
    </w:p>
    <w:p w14:paraId="23F666DB" w14:textId="77777777" w:rsidR="002204DB" w:rsidRPr="00F9293C" w:rsidRDefault="002204DB" w:rsidP="002204DB">
      <w:pPr>
        <w:pStyle w:val="NormalHanging12a"/>
      </w:pPr>
      <w:r w:rsidRPr="00F9293C">
        <w:t>B.</w:t>
      </w:r>
      <w:r w:rsidRPr="00F9293C">
        <w:tab/>
        <w:t>kadangi 2025 m. gegužės 12 d. EFSA pateikė palankią mokslinę nuomonę, kurioje padarė išvadą, kad GM cukriniai runkeliai yra tokie pat saugūs kaip jų tradicinis atitikmuo; kadangi toje nuomonėje nebuvo aptarti keli platesnio pobūdžio aplinkos, socialinio ir ekonominio bei kumuliacinio poveikio klausimai, kurie, EFSA nuomone, nepriklauso jos kompetencijos sričiai;</w:t>
      </w:r>
    </w:p>
    <w:p w14:paraId="3ED4AE62" w14:textId="77777777" w:rsidR="002204DB" w:rsidRPr="00F9293C" w:rsidRDefault="002204DB" w:rsidP="002204DB">
      <w:pPr>
        <w:pStyle w:val="NormalHanging12a"/>
      </w:pPr>
      <w:r w:rsidRPr="00F9293C">
        <w:t>C.</w:t>
      </w:r>
      <w:r w:rsidRPr="00F9293C">
        <w:tab/>
        <w:t xml:space="preserve">kadangi GM cukriniai runkeliai išvesti, kad būtų atsparūs </w:t>
      </w:r>
      <w:proofErr w:type="spellStart"/>
      <w:r w:rsidRPr="00F9293C">
        <w:t>glifosato</w:t>
      </w:r>
      <w:proofErr w:type="spellEnd"/>
      <w:r w:rsidRPr="00F9293C">
        <w:t xml:space="preserve">, </w:t>
      </w:r>
      <w:proofErr w:type="spellStart"/>
      <w:r w:rsidRPr="00F9293C">
        <w:t>dikambos</w:t>
      </w:r>
      <w:proofErr w:type="spellEnd"/>
      <w:r w:rsidRPr="00F9293C">
        <w:t xml:space="preserve">, ir amonio </w:t>
      </w:r>
      <w:proofErr w:type="spellStart"/>
      <w:r w:rsidRPr="00F9293C">
        <w:t>gliufozinato</w:t>
      </w:r>
      <w:proofErr w:type="spellEnd"/>
      <w:r w:rsidRPr="00F9293C">
        <w:t xml:space="preserve"> pagrindu sukurtiems herbicidams;</w:t>
      </w:r>
    </w:p>
    <w:p w14:paraId="0032C2BE" w14:textId="77777777" w:rsidR="002204DB" w:rsidRPr="00F9293C" w:rsidRDefault="002204DB" w:rsidP="002204DB">
      <w:pPr>
        <w:pStyle w:val="NormalHanging12a"/>
      </w:pPr>
      <w:r w:rsidRPr="00F9293C">
        <w:t>D.</w:t>
      </w:r>
      <w:r w:rsidRPr="00F9293C">
        <w:tab/>
        <w:t xml:space="preserve">kadangi į EFSA atliktą rizikos vertinimą nebuvo įtraukti ilgalaikiai </w:t>
      </w:r>
      <w:proofErr w:type="spellStart"/>
      <w:r w:rsidRPr="00F9293C">
        <w:t>toksikologiniai</w:t>
      </w:r>
      <w:proofErr w:type="spellEnd"/>
      <w:r w:rsidRPr="00F9293C">
        <w:t xml:space="preserve"> tyrimai ar išsami kumuliacinio ir </w:t>
      </w:r>
      <w:proofErr w:type="spellStart"/>
      <w:r w:rsidRPr="00F9293C">
        <w:t>kombinatorinio</w:t>
      </w:r>
      <w:proofErr w:type="spellEnd"/>
      <w:r w:rsidRPr="00F9293C">
        <w:t xml:space="preserve"> poveikio analizė, įskaitant galimas sąveikas su pesticidų, dažnai naudojamų auginant cukrinius runkelius, liekanomis; </w:t>
      </w:r>
    </w:p>
    <w:p w14:paraId="36659E08" w14:textId="77777777" w:rsidR="002204DB" w:rsidRPr="00F9293C" w:rsidRDefault="002204DB" w:rsidP="002204DB">
      <w:pPr>
        <w:pStyle w:val="NormalHanging12a"/>
        <w:rPr>
          <w:color w:val="000000" w:themeColor="text1"/>
          <w:szCs w:val="24"/>
        </w:rPr>
      </w:pPr>
      <w:r w:rsidRPr="00F9293C">
        <w:rPr>
          <w:color w:val="000000" w:themeColor="text1"/>
        </w:rPr>
        <w:t>E.</w:t>
      </w:r>
      <w:r w:rsidRPr="00F9293C">
        <w:rPr>
          <w:color w:val="000000" w:themeColor="text1"/>
        </w:rPr>
        <w:tab/>
      </w:r>
      <w:r w:rsidRPr="00F9293C">
        <w:t xml:space="preserve">kadangi didžioji dauguma genetiškai modifikuotų kultūrų, įskaitant GM cukrinius runkelius, buvo genetiškai modifikuotos taip, kad būtų atsparios vienam ar keliems papildomiems herbicidams, kuriuos galima naudoti auginant genetiškai modifikuotas kultūras, jų nesunaikinant, kaip būtų herbicidams neatsparių pasėlių atveju; </w:t>
      </w:r>
      <w:r w:rsidRPr="00F9293C">
        <w:rPr>
          <w:color w:val="000000" w:themeColor="text1"/>
        </w:rPr>
        <w:t>kadangi ne vienu tyrimu įrodyta, jog auginant herbicidams atsparias genetiškai modifikuotas kultūras dažniau naudojami papildomi herbicidai, labiausiai dėl to, kad atsirado herbicidams atsparių piktžolių</w:t>
      </w:r>
      <w:r w:rsidRPr="00F9293C">
        <w:rPr>
          <w:rStyle w:val="FootnoteReference"/>
          <w:color w:val="000000" w:themeColor="text1"/>
          <w:szCs w:val="24"/>
        </w:rPr>
        <w:footnoteReference w:id="5"/>
      </w:r>
      <w:r w:rsidRPr="00F9293C">
        <w:rPr>
          <w:color w:val="000000" w:themeColor="text1"/>
        </w:rPr>
        <w:t>;</w:t>
      </w:r>
    </w:p>
    <w:p w14:paraId="736C7CC9" w14:textId="77777777" w:rsidR="002204DB" w:rsidRPr="00F9293C" w:rsidRDefault="002204DB" w:rsidP="002204DB">
      <w:pPr>
        <w:spacing w:after="240"/>
        <w:ind w:left="567" w:hanging="567"/>
        <w:rPr>
          <w:szCs w:val="24"/>
        </w:rPr>
      </w:pPr>
      <w:r w:rsidRPr="00F9293C">
        <w:t>F.</w:t>
      </w:r>
      <w:r w:rsidRPr="00F9293C">
        <w:tab/>
        <w:t xml:space="preserve">kadangi </w:t>
      </w:r>
      <w:r w:rsidRPr="00F9293C">
        <w:rPr>
          <w:color w:val="000000" w:themeColor="text1"/>
        </w:rPr>
        <w:t xml:space="preserve">herbicidams atsparias genetiškai modifikuotas kultūras auginantys ūkininkai </w:t>
      </w:r>
      <w:r w:rsidRPr="00F9293C">
        <w:rPr>
          <w:color w:val="000000" w:themeColor="text1"/>
        </w:rPr>
        <w:lastRenderedPageBreak/>
        <w:t>patenka į piktžolių valdymo sistemą, kuri yra labai arba visiškai priklausoma nuo herbicidų, ir tai daroma taikant priemoką už genetiškai modifikuotas sėklas, kuri gali būti pateisinama tik tuo atveju, jei tokias sėklas perkantys ūkininkai purškia ir papildomą herbicidą; kadangi dėl padidėjusios priklausomybės nuo papildomų herbicidų ūkiuose, kuriuose sėjami GM cukriniai runkeliai, paspartės tiems herbicidams atsparių piktžolių atsiradimas ir plitimas, todėl reikės naudoti dar daugiau herbicidų ir taip susidarys užburtas pesticidų ratas (angl. </w:t>
      </w:r>
      <w:proofErr w:type="spellStart"/>
      <w:r w:rsidRPr="00F9293C">
        <w:rPr>
          <w:i/>
          <w:color w:val="000000" w:themeColor="text1"/>
        </w:rPr>
        <w:t>the</w:t>
      </w:r>
      <w:proofErr w:type="spellEnd"/>
      <w:r w:rsidRPr="00F9293C">
        <w:rPr>
          <w:i/>
          <w:color w:val="000000" w:themeColor="text1"/>
        </w:rPr>
        <w:t xml:space="preserve"> herbicide </w:t>
      </w:r>
      <w:proofErr w:type="spellStart"/>
      <w:r w:rsidRPr="00F9293C">
        <w:rPr>
          <w:i/>
          <w:color w:val="000000" w:themeColor="text1"/>
        </w:rPr>
        <w:t>treadmill</w:t>
      </w:r>
      <w:proofErr w:type="spellEnd"/>
      <w:r w:rsidRPr="00F9293C">
        <w:rPr>
          <w:color w:val="000000" w:themeColor="text1"/>
        </w:rPr>
        <w:t>); kadangi dėl to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r w:rsidRPr="00F9293C">
        <w:rPr>
          <w:rStyle w:val="FootnoteReference"/>
          <w:color w:val="000000" w:themeColor="text1"/>
          <w:szCs w:val="24"/>
        </w:rPr>
        <w:footnoteReference w:id="6"/>
      </w:r>
      <w:r w:rsidRPr="00F9293C">
        <w:rPr>
          <w:color w:val="000000" w:themeColor="text1"/>
        </w:rPr>
        <w:t>;</w:t>
      </w:r>
    </w:p>
    <w:p w14:paraId="23FC181E" w14:textId="77777777" w:rsidR="002204DB" w:rsidRPr="00F9293C" w:rsidRDefault="002204DB" w:rsidP="002204DB">
      <w:pPr>
        <w:pStyle w:val="NormalHanging12a"/>
      </w:pPr>
      <w:r w:rsidRPr="00F9293C">
        <w:t>G.</w:t>
      </w:r>
      <w:r w:rsidRPr="00F9293C">
        <w:tab/>
        <w:t xml:space="preserve">kadangi tebėra neatsakyta į rimtus klausimus dėl </w:t>
      </w:r>
      <w:proofErr w:type="spellStart"/>
      <w:r w:rsidRPr="00F9293C">
        <w:t>glifosato</w:t>
      </w:r>
      <w:proofErr w:type="spellEnd"/>
      <w:r w:rsidRPr="00F9293C">
        <w:t xml:space="preserve"> </w:t>
      </w:r>
      <w:proofErr w:type="spellStart"/>
      <w:r w:rsidRPr="00F9293C">
        <w:t>kancerogeniškumo</w:t>
      </w:r>
      <w:proofErr w:type="spellEnd"/>
      <w:r w:rsidRPr="00F9293C">
        <w:t xml:space="preserve">; kadangi 2015 m. lapkričio mėn. EFSA pateikė išvadą, kad </w:t>
      </w:r>
      <w:proofErr w:type="spellStart"/>
      <w:r w:rsidRPr="00F9293C">
        <w:t>glifosatas</w:t>
      </w:r>
      <w:proofErr w:type="spellEnd"/>
      <w:r w:rsidRPr="00F9293C">
        <w:t xml:space="preserve"> tikriausiai nėra </w:t>
      </w:r>
      <w:proofErr w:type="spellStart"/>
      <w:r w:rsidRPr="00F9293C">
        <w:t>kancerogeniškas</w:t>
      </w:r>
      <w:proofErr w:type="spellEnd"/>
      <w:r w:rsidRPr="00F9293C">
        <w:t xml:space="preserve">, o Europos cheminių medžiagų agentūra 2017 m. kovo mėn. pateikė išvadą, kad nėra pagrindo jo priskirti prie jokios pavojingų medžiagų kategorijos; kadangi 2015 m. Tarptautinė vėžio tyrimų agentūra – specializuota Pasaulio sveikatos organizacijos vėžio agentūra – priešingai, </w:t>
      </w:r>
      <w:proofErr w:type="spellStart"/>
      <w:r w:rsidRPr="00F9293C">
        <w:t>glifosatą</w:t>
      </w:r>
      <w:proofErr w:type="spellEnd"/>
      <w:r w:rsidRPr="00F9293C">
        <w:t xml:space="preserve"> priskyrė prie galbūt kancerogeninį poveikį žmonėms turinčių medžiagų; kadangi keletu naujausių recenzuojamų mokslinių tyrimų patvirtinamas </w:t>
      </w:r>
      <w:proofErr w:type="spellStart"/>
      <w:r w:rsidRPr="00F9293C">
        <w:t>glifosato</w:t>
      </w:r>
      <w:proofErr w:type="spellEnd"/>
      <w:r w:rsidRPr="00F9293C">
        <w:t xml:space="preserve"> kancerogeninis potencialas</w:t>
      </w:r>
      <w:r w:rsidRPr="00F9293C">
        <w:rPr>
          <w:rStyle w:val="FootnoteReference"/>
        </w:rPr>
        <w:footnoteReference w:id="7"/>
      </w:r>
      <w:r w:rsidRPr="00F9293C">
        <w:t>;</w:t>
      </w:r>
    </w:p>
    <w:p w14:paraId="1935FC5C" w14:textId="77777777" w:rsidR="002204DB" w:rsidRPr="00F9293C" w:rsidRDefault="002204DB" w:rsidP="002204DB">
      <w:pPr>
        <w:pStyle w:val="NormalHanging12a"/>
        <w:rPr>
          <w:szCs w:val="24"/>
        </w:rPr>
      </w:pPr>
      <w:r w:rsidRPr="00F9293C">
        <w:t>H.</w:t>
      </w:r>
      <w:r w:rsidRPr="00F9293C">
        <w:tab/>
        <w:t xml:space="preserve">kadangi </w:t>
      </w:r>
      <w:proofErr w:type="spellStart"/>
      <w:r w:rsidRPr="00F9293C">
        <w:t>dikamba</w:t>
      </w:r>
      <w:proofErr w:type="spellEnd"/>
      <w:r w:rsidRPr="00F9293C">
        <w:t xml:space="preserve"> yra labai laki medžiaga, o tai reiškia, kad ją panaudojus ji gali greitai garuoti ir patekti į orą, o tada su vėju pasklisti ir kristi ant žemės – daryti poveikį žmonėms, gyvūnams ir netiksliniams augalams, vynmedžiams, medžiams ir krūmams ir gali jiems padaryti didelės žalos, ypač kai poveikis trunka kelerius metus; </w:t>
      </w:r>
      <w:r w:rsidRPr="00F9293C">
        <w:rPr>
          <w:shd w:val="clear" w:color="auto" w:fill="FFFFFF"/>
        </w:rPr>
        <w:t xml:space="preserve">kadangi dėl to, kad </w:t>
      </w:r>
      <w:proofErr w:type="spellStart"/>
      <w:r w:rsidRPr="00F9293C">
        <w:rPr>
          <w:shd w:val="clear" w:color="auto" w:fill="FFFFFF"/>
        </w:rPr>
        <w:t>dikamba</w:t>
      </w:r>
      <w:proofErr w:type="spellEnd"/>
      <w:r w:rsidRPr="00F9293C">
        <w:rPr>
          <w:shd w:val="clear" w:color="auto" w:fill="FFFFFF"/>
        </w:rPr>
        <w:t xml:space="preserve"> pasklinda ir daro žalą netoliese esantiems pasėliams, medžiams ir vynmedžiams, kilo visuomenę labai skaldantis ginčas, kaimo vietovėse nuteikiantis vieną ūkininkų grupę prieš kitą ir vienus kaimynus prieš kitus, ir dėl to vyksta daug bylinėjimosi dėl prarastų pasėlių ir atsodinimo išlaidų; </w:t>
      </w:r>
    </w:p>
    <w:p w14:paraId="471F1782" w14:textId="77777777" w:rsidR="002204DB" w:rsidRPr="00F9293C" w:rsidRDefault="002204DB" w:rsidP="002204DB">
      <w:pPr>
        <w:pStyle w:val="NormalWeb"/>
        <w:widowControl w:val="0"/>
        <w:spacing w:before="0" w:beforeAutospacing="0" w:after="240" w:afterAutospacing="0"/>
        <w:ind w:left="567" w:hanging="567"/>
      </w:pPr>
      <w:r w:rsidRPr="00F9293C">
        <w:t>I.</w:t>
      </w:r>
      <w:r w:rsidRPr="00F9293C">
        <w:tab/>
        <w:t xml:space="preserve">kadangi </w:t>
      </w:r>
      <w:proofErr w:type="spellStart"/>
      <w:r w:rsidRPr="00F9293C">
        <w:t>gliufozinatas</w:t>
      </w:r>
      <w:proofErr w:type="spellEnd"/>
      <w:r w:rsidRPr="00F9293C">
        <w:t xml:space="preserve"> priskiriamas prie toksiškų reprodukcijai medžiagų (1B kategorija), todėl atitinka Europos Parlamento ir Tarybos reglamente (EB) Nr. 1107/2009</w:t>
      </w:r>
      <w:r w:rsidRPr="00F9293C">
        <w:rPr>
          <w:rStyle w:val="FootnoteReference"/>
        </w:rPr>
        <w:footnoteReference w:id="8"/>
      </w:r>
      <w:r w:rsidRPr="00F9293C">
        <w:t xml:space="preserve"> nustatytus paraiškos atmetimo kriterijus; kadangi leidimas Sąjungoje naudoti </w:t>
      </w:r>
      <w:proofErr w:type="spellStart"/>
      <w:r w:rsidRPr="00F9293C">
        <w:t>gliufozinatą</w:t>
      </w:r>
      <w:proofErr w:type="spellEnd"/>
      <w:r w:rsidRPr="00F9293C">
        <w:t xml:space="preserve"> baigė galioti 2018 m. liepos 31 d.;</w:t>
      </w:r>
    </w:p>
    <w:p w14:paraId="0ED5B803" w14:textId="77777777" w:rsidR="002204DB" w:rsidRPr="00F9293C" w:rsidRDefault="002204DB" w:rsidP="002204DB">
      <w:pPr>
        <w:spacing w:after="240"/>
        <w:ind w:left="567" w:hanging="567"/>
      </w:pPr>
      <w:r w:rsidRPr="00F9293C">
        <w:t>J.</w:t>
      </w:r>
      <w:r w:rsidRPr="00F9293C">
        <w:tab/>
        <w:t>kadangi lauko tyrimai, kuriais grindžiama paraiška, buvo atlikti tik Jungtinėse Amerikos Valstijose ribotomis geografinėmis ir klimato sąlygomis, kurios neatspindi visos cukrinių runkelių auginimo regionų, įskaitant tuos, kuriuos stipriai veikia su klimato kaita susiję streso veiksniai, įvairovės;</w:t>
      </w:r>
    </w:p>
    <w:p w14:paraId="38010024" w14:textId="263C1B2C" w:rsidR="002204DB" w:rsidRPr="00F9293C" w:rsidRDefault="002204DB" w:rsidP="002204DB">
      <w:pPr>
        <w:pStyle w:val="NormalHanging12a"/>
      </w:pPr>
      <w:r w:rsidRPr="00F9293C">
        <w:lastRenderedPageBreak/>
        <w:t>K.</w:t>
      </w:r>
      <w:r w:rsidRPr="00F9293C">
        <w:tab/>
        <w:t>kadangi nepriklausoma galimo neigiamo poveikio biologinei įvairovei, dirvožemio būklei, apdulkintojams ir netiksliniams organizmams stebėsena ir priežiūra tebėra nepakankamai užtikrinta;</w:t>
      </w:r>
    </w:p>
    <w:p w14:paraId="196F2FA2" w14:textId="77777777" w:rsidR="002204DB" w:rsidRPr="00F9293C" w:rsidRDefault="002204DB" w:rsidP="002204DB">
      <w:pPr>
        <w:spacing w:after="240"/>
        <w:ind w:left="567" w:hanging="567"/>
      </w:pPr>
      <w:r w:rsidRPr="00F9293C">
        <w:t>L.</w:t>
      </w:r>
      <w:r w:rsidRPr="00F9293C">
        <w:tab/>
        <w:t>kadangi esant moksliniam netikrumui turėtų būti taikomas Sutarties dėl Europos Sąjungos veikimo 191 straipsnyje įtvirtintas atsargumo principas;</w:t>
      </w:r>
    </w:p>
    <w:p w14:paraId="5983296D" w14:textId="77777777" w:rsidR="002204DB" w:rsidRPr="00F9293C" w:rsidRDefault="002204DB" w:rsidP="002204DB">
      <w:pPr>
        <w:spacing w:after="240"/>
        <w:ind w:left="567" w:hanging="567"/>
      </w:pPr>
      <w:r w:rsidRPr="00F9293C">
        <w:t>M.</w:t>
      </w:r>
      <w:r w:rsidRPr="00F9293C">
        <w:tab/>
        <w:t>kadangi Reglamente (EB) Nr. 1829/2003 reikalaujama užtikrinti, kad genetiškai modifikuoti maisto produktai ir pašarai neturėtų neigiamo poveikio žmonių sveikatai, gyvūnų sveikatai ar aplinkai;</w:t>
      </w:r>
    </w:p>
    <w:p w14:paraId="17D910B1" w14:textId="77777777" w:rsidR="002204DB" w:rsidRPr="00F9293C" w:rsidRDefault="002204DB" w:rsidP="002204DB">
      <w:pPr>
        <w:pStyle w:val="NormalWeb"/>
        <w:widowControl w:val="0"/>
        <w:spacing w:before="0" w:beforeAutospacing="0" w:after="240" w:afterAutospacing="0"/>
        <w:ind w:left="567" w:hanging="567"/>
      </w:pPr>
      <w:r w:rsidRPr="00F9293C">
        <w:t>N.</w:t>
      </w:r>
      <w:r w:rsidRPr="00F9293C">
        <w:tab/>
        <w:t>kadangi Sąjungos leidimas naudoti GM cukrinius runkelius neatitiktų tarptautinių įsipareigojimų mažinti pesticidų kiekį</w:t>
      </w:r>
      <w:r w:rsidRPr="00F9293C">
        <w:rPr>
          <w:vertAlign w:val="superscript"/>
        </w:rPr>
        <w:footnoteReference w:id="9"/>
      </w:r>
      <w:r w:rsidRPr="00F9293C">
        <w:t xml:space="preserve">, atsižvelgiant į padidėjusį </w:t>
      </w:r>
      <w:proofErr w:type="spellStart"/>
      <w:r w:rsidRPr="00F9293C">
        <w:t>glifosato</w:t>
      </w:r>
      <w:proofErr w:type="spellEnd"/>
      <w:r w:rsidRPr="00F9293C">
        <w:t xml:space="preserve">, </w:t>
      </w:r>
      <w:proofErr w:type="spellStart"/>
      <w:r w:rsidRPr="00F9293C">
        <w:t>dikambos</w:t>
      </w:r>
      <w:proofErr w:type="spellEnd"/>
      <w:r w:rsidRPr="00F9293C">
        <w:t xml:space="preserve"> ir </w:t>
      </w:r>
      <w:proofErr w:type="spellStart"/>
      <w:r w:rsidRPr="00F9293C">
        <w:t>gliufozinato</w:t>
      </w:r>
      <w:proofErr w:type="spellEnd"/>
      <w:r w:rsidRPr="00F9293C">
        <w:t xml:space="preserve"> poveikį žmonėms, gyvūnams ir aplinkai šalyse, kuriose auginamos šios herbicidams atsparios genetiškai modifikuotos kultūros, taip pat į galimus rimtus su tuo susijusius sveikatos rezultatus;</w:t>
      </w:r>
    </w:p>
    <w:p w14:paraId="7D6224D2" w14:textId="77777777" w:rsidR="002204DB" w:rsidRPr="00F9293C" w:rsidRDefault="002204DB" w:rsidP="002204DB">
      <w:pPr>
        <w:spacing w:after="240"/>
        <w:ind w:left="567" w:hanging="567"/>
      </w:pPr>
      <w:r w:rsidRPr="00F9293C">
        <w:t>O.</w:t>
      </w:r>
      <w:r w:rsidRPr="00F9293C">
        <w:tab/>
        <w:t>kadangi Komisijos įgyvendinimo sprendimu būtų leidžiama į Sąjungą importuoti produktus, kurie neatitinka standartų, kurių laikosi Sąjungos ūkininkai, dėl to jie atsidurtų nepalankioje konkurencinėje padėtyje;</w:t>
      </w:r>
    </w:p>
    <w:p w14:paraId="392B9A47" w14:textId="77777777" w:rsidR="002204DB" w:rsidRPr="00F9293C" w:rsidRDefault="002204DB" w:rsidP="002204DB">
      <w:pPr>
        <w:spacing w:after="240"/>
        <w:ind w:left="567" w:hanging="567"/>
      </w:pPr>
      <w:r w:rsidRPr="00F9293C">
        <w:t>P.</w:t>
      </w:r>
      <w:r w:rsidRPr="00F9293C">
        <w:tab/>
        <w:t>kadangi strateginio dialogo dėl žemės ūkio ateities ES išvadose</w:t>
      </w:r>
      <w:r w:rsidRPr="00F9293C">
        <w:rPr>
          <w:rStyle w:val="FootnoteReference"/>
        </w:rPr>
        <w:footnoteReference w:id="10"/>
      </w:r>
      <w:r w:rsidRPr="00F9293C">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ir 2024 m. demonstracijas;</w:t>
      </w:r>
    </w:p>
    <w:p w14:paraId="58CA77B9" w14:textId="77777777" w:rsidR="002204DB" w:rsidRPr="00F9293C" w:rsidRDefault="002204DB" w:rsidP="002204DB">
      <w:pPr>
        <w:spacing w:after="240"/>
        <w:ind w:left="567" w:hanging="567"/>
      </w:pPr>
      <w:r w:rsidRPr="00F9293C">
        <w:t>Q.</w:t>
      </w:r>
      <w:r w:rsidRPr="00F9293C">
        <w:tab/>
        <w:t>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w:t>
      </w:r>
    </w:p>
    <w:p w14:paraId="6A5FDD8E" w14:textId="77777777" w:rsidR="002204DB" w:rsidRPr="00F9293C" w:rsidRDefault="002204DB" w:rsidP="002204DB">
      <w:pPr>
        <w:pStyle w:val="NormalWeb"/>
        <w:widowControl w:val="0"/>
        <w:shd w:val="clear" w:color="auto" w:fill="FFFFFF"/>
        <w:spacing w:before="0" w:beforeAutospacing="0" w:after="240" w:afterAutospacing="0"/>
        <w:ind w:left="567" w:hanging="567"/>
        <w:rPr>
          <w:color w:val="000000" w:themeColor="text1"/>
        </w:rPr>
      </w:pPr>
      <w:r w:rsidRPr="00F9293C">
        <w:rPr>
          <w:color w:val="000000" w:themeColor="text1"/>
        </w:rPr>
        <w:t>R.</w:t>
      </w:r>
      <w:r w:rsidRPr="00F9293C">
        <w:rPr>
          <w:color w:val="000000" w:themeColor="text1"/>
        </w:rPr>
        <w:tab/>
        <w:t>kadangi, nepaisydama pačios pripažintų demokratijos trūkumų, to, kad valstybės narės nepalaiko GMO, ir Parlamento prieštaravimų, Komisija ir toliau suteikia leidimus GMO;</w:t>
      </w:r>
    </w:p>
    <w:p w14:paraId="7AC37942" w14:textId="77777777" w:rsidR="002204DB" w:rsidRPr="00F9293C" w:rsidRDefault="002204DB" w:rsidP="002204DB">
      <w:pPr>
        <w:spacing w:after="240"/>
        <w:ind w:left="567" w:hanging="567"/>
      </w:pPr>
      <w:r w:rsidRPr="00F9293C">
        <w:t>S.</w:t>
      </w:r>
      <w:r w:rsidRPr="00F9293C">
        <w:tab/>
        <w:t>kadangi, vadovaujantis bendros sveikatos koncepcija, vertinant GMO ilgalaikį tvarumą ir saugą būtina atsižvelgti į žmonių, gyvūnų, augalų ir aplinkos sveikatos tarpusavio priklausomybę;</w:t>
      </w:r>
    </w:p>
    <w:p w14:paraId="380FCFAA" w14:textId="77777777" w:rsidR="002204DB" w:rsidRPr="00F9293C" w:rsidRDefault="002204DB" w:rsidP="002204DB">
      <w:pPr>
        <w:spacing w:after="240"/>
        <w:ind w:left="567" w:hanging="567"/>
      </w:pPr>
      <w:r w:rsidRPr="00F9293C">
        <w:t>1.</w:t>
      </w:r>
      <w:r w:rsidRPr="00F9293C">
        <w:tab/>
        <w:t>mano, kad Komisijos įgyvendinimo sprendimo projektas viršija Reglamente (EB) Nr. 1829/2003 numatytus įgyvendinimo įgaliojimus;</w:t>
      </w:r>
    </w:p>
    <w:p w14:paraId="519E7BCE" w14:textId="77777777" w:rsidR="002204DB" w:rsidRPr="00F9293C" w:rsidRDefault="002204DB" w:rsidP="002204DB">
      <w:pPr>
        <w:spacing w:after="240"/>
        <w:ind w:left="567" w:hanging="567"/>
      </w:pPr>
      <w:r w:rsidRPr="00F9293C">
        <w:t>2.</w:t>
      </w:r>
      <w:r w:rsidRPr="00F9293C">
        <w:tab/>
        <w:t xml:space="preserve">mano, kad Komisijos įgyvendinimo sprendimo projektas neatitinka Sąjungos teisės, nes </w:t>
      </w:r>
      <w:r w:rsidRPr="00F9293C">
        <w:lastRenderedPageBreak/>
        <w:t>jis nesuderinamas su Reglamento (EB) Nr. 1829/2003 tikslu, pagal kurį, remiantis Europos Parlamento ir Tarybos reglamentu (EB) Nr. 178/2002</w:t>
      </w:r>
      <w:r w:rsidRPr="00F9293C">
        <w:rPr>
          <w:vertAlign w:val="superscript"/>
        </w:rPr>
        <w:footnoteReference w:id="11"/>
      </w:r>
      <w:r w:rsidRPr="00F9293C">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14:paraId="48007FE0" w14:textId="77777777" w:rsidR="002204DB" w:rsidRPr="00F9293C" w:rsidRDefault="002204DB" w:rsidP="002204DB">
      <w:pPr>
        <w:spacing w:after="240"/>
        <w:ind w:left="567" w:hanging="567"/>
      </w:pPr>
      <w:r w:rsidRPr="00F9293C">
        <w:t>3.</w:t>
      </w:r>
      <w:r w:rsidRPr="00F9293C">
        <w:tab/>
        <w:t>prašo Komisijos atsiimti savo įgyvendinimo sprendimą;</w:t>
      </w:r>
    </w:p>
    <w:p w14:paraId="56369FBF" w14:textId="77777777" w:rsidR="002204DB" w:rsidRPr="00F9293C" w:rsidRDefault="002204DB" w:rsidP="002204DB">
      <w:pPr>
        <w:spacing w:after="240"/>
        <w:ind w:left="567" w:hanging="567"/>
      </w:pPr>
      <w:r w:rsidRPr="00F9293C">
        <w:t>4.</w:t>
      </w:r>
      <w:r w:rsidRPr="00F9293C">
        <w:tab/>
        <w:t>ragina Komisiją, vadovaujantis bendros sveikatos koncepcija, neleisti naudoti GM cukrinių runkelių, nes nėra pakankamai įrodymų apie jų ilgalaikį poveikį biologinei įvairovei, maisto saugai, ūkininkų pragyvenimui ir gyvūnų sveikatai;</w:t>
      </w:r>
    </w:p>
    <w:p w14:paraId="089B4765" w14:textId="77777777" w:rsidR="002204DB" w:rsidRPr="00F9293C" w:rsidRDefault="002204DB" w:rsidP="002204DB">
      <w:pPr>
        <w:spacing w:after="240"/>
        <w:ind w:left="567" w:hanging="567"/>
      </w:pPr>
      <w:r w:rsidRPr="00F9293C">
        <w:t>5.</w:t>
      </w:r>
      <w:r w:rsidRPr="00F9293C">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p>
    <w:p w14:paraId="480E9B79" w14:textId="77777777" w:rsidR="002204DB" w:rsidRPr="00F9293C" w:rsidRDefault="002204DB" w:rsidP="002204DB">
      <w:pPr>
        <w:spacing w:after="240"/>
        <w:ind w:left="567" w:hanging="567"/>
      </w:pPr>
      <w:r w:rsidRPr="00F9293C">
        <w:t>6.</w:t>
      </w:r>
      <w:r w:rsidRPr="00F9293C">
        <w:tab/>
        <w:t xml:space="preserve">atsižvelgdamas į tai pabrėžia, kad leidimas importuoti bet kokius maisto produktams ar pašarams naudojamus genetiškai modifikuotus augalus, kurie yra atsparūs Sąjungoje uždraustiems herbicidams, pvz., </w:t>
      </w:r>
      <w:proofErr w:type="spellStart"/>
      <w:r w:rsidRPr="00F9293C">
        <w:t>gliufozinatui</w:t>
      </w:r>
      <w:proofErr w:type="spellEnd"/>
      <w:r w:rsidRPr="00F9293C">
        <w:t xml:space="preserve">, yra nesuderinamas su Sąjungos tarptautiniais įsipareigojimais pagal, be kita ko, Jungtinių Tautų (JT) biologinės įvairovės konvenciją ir JT darnaus vystymosi tikslus, įskaitant </w:t>
      </w:r>
      <w:proofErr w:type="spellStart"/>
      <w:r w:rsidRPr="00F9293C">
        <w:t>Kunmingo</w:t>
      </w:r>
      <w:proofErr w:type="spellEnd"/>
      <w:r w:rsidRPr="00F9293C">
        <w:t xml:space="preserve"> ir Monrealio sistemą, ir kad taip sukuriamos nevienodos sąlygos Sąjungos ūkininkams;</w:t>
      </w:r>
    </w:p>
    <w:p w14:paraId="36590375" w14:textId="6AEB2972" w:rsidR="00E365E1" w:rsidRPr="00F9293C" w:rsidRDefault="002204DB" w:rsidP="00D3252A">
      <w:pPr>
        <w:spacing w:after="240"/>
        <w:ind w:left="567" w:hanging="567"/>
      </w:pPr>
      <w:r w:rsidRPr="00F9293C">
        <w:t>7.</w:t>
      </w:r>
      <w:r w:rsidRPr="00F9293C">
        <w:tab/>
        <w:t>paveda Pirmininkei perduoti šią rezoliuciją Tarybai ir Komisijai bei valstybių narių vyriausybėms ir parlamentams.</w:t>
      </w:r>
    </w:p>
    <w:sectPr w:rsidR="00E365E1" w:rsidRPr="00F9293C" w:rsidSect="00F929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E42C5" w14:textId="77777777" w:rsidR="00E249A9" w:rsidRPr="00F9293C" w:rsidRDefault="00E249A9">
      <w:r w:rsidRPr="00F9293C">
        <w:separator/>
      </w:r>
    </w:p>
  </w:endnote>
  <w:endnote w:type="continuationSeparator" w:id="0">
    <w:p w14:paraId="21B0EE0F" w14:textId="77777777" w:rsidR="00E249A9" w:rsidRPr="00F9293C" w:rsidRDefault="00E249A9">
      <w:r w:rsidRPr="00F929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F6076" w14:textId="77777777" w:rsidR="00064002" w:rsidRPr="00F929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6BC7A" w14:textId="77777777" w:rsidR="00064002" w:rsidRPr="00F929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FCED" w14:textId="77777777" w:rsidR="00064002" w:rsidRPr="00F929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3D75F" w14:textId="77777777" w:rsidR="00E249A9" w:rsidRPr="00F9293C" w:rsidRDefault="00E249A9">
      <w:r w:rsidRPr="00F9293C">
        <w:separator/>
      </w:r>
    </w:p>
  </w:footnote>
  <w:footnote w:type="continuationSeparator" w:id="0">
    <w:p w14:paraId="7A331C74" w14:textId="77777777" w:rsidR="00E249A9" w:rsidRPr="00F9293C" w:rsidRDefault="00E249A9">
      <w:r w:rsidRPr="00F9293C">
        <w:continuationSeparator/>
      </w:r>
    </w:p>
  </w:footnote>
  <w:footnote w:id="1">
    <w:p w14:paraId="0C292A1C" w14:textId="2FE62AD7" w:rsidR="002204DB" w:rsidRPr="00F9293C" w:rsidRDefault="002204DB" w:rsidP="00F9293C">
      <w:pPr>
        <w:pStyle w:val="FootnoteText"/>
        <w:suppressAutoHyphens/>
        <w:ind w:left="567" w:hanging="567"/>
        <w:rPr>
          <w:sz w:val="24"/>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r w:rsidRPr="00F9293C">
        <w:rPr>
          <w:sz w:val="24"/>
          <w:lang w:val="lt-LT"/>
        </w:rPr>
        <w:t>OL L 268, 2003 10 18, p. 1, ELI: </w:t>
      </w:r>
      <w:hyperlink r:id="rId1" w:tooltip="Prieiga prie dokumento suteikiama per ELI URI." w:history="1">
        <w:r w:rsidRPr="00F9293C">
          <w:rPr>
            <w:rStyle w:val="Hyperlink"/>
            <w:sz w:val="24"/>
            <w:lang w:val="lt-LT"/>
          </w:rPr>
          <w:t>http://data.europa.eu/eli/reg/2003/1829/oj</w:t>
        </w:r>
      </w:hyperlink>
      <w:r w:rsidRPr="00F9293C">
        <w:rPr>
          <w:rStyle w:val="Hyperlink"/>
          <w:sz w:val="24"/>
          <w:lang w:val="lt-LT"/>
        </w:rPr>
        <w:t>.</w:t>
      </w:r>
    </w:p>
  </w:footnote>
  <w:footnote w:id="2">
    <w:p w14:paraId="22411FA2" w14:textId="5CF7E117" w:rsidR="002204DB" w:rsidRPr="00F9293C" w:rsidRDefault="002204DB" w:rsidP="00F9293C">
      <w:pPr>
        <w:pStyle w:val="FootnoteText"/>
        <w:ind w:left="567" w:hanging="567"/>
        <w:rPr>
          <w:sz w:val="24"/>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r w:rsidRPr="00F9293C">
        <w:rPr>
          <w:sz w:val="24"/>
          <w:lang w:val="lt-LT"/>
        </w:rPr>
        <w:t xml:space="preserve">OL L 55, 2011 2 28, p. 13, ELI: </w:t>
      </w:r>
      <w:hyperlink r:id="rId2" w:history="1">
        <w:r w:rsidRPr="00F9293C">
          <w:rPr>
            <w:rStyle w:val="Hyperlink"/>
            <w:sz w:val="24"/>
            <w:lang w:val="lt-LT"/>
          </w:rPr>
          <w:t>http://data.europa.eu/eli/reg/2011/182/oj</w:t>
        </w:r>
      </w:hyperlink>
      <w:r w:rsidRPr="00F9293C">
        <w:rPr>
          <w:sz w:val="24"/>
          <w:lang w:val="lt-LT"/>
        </w:rPr>
        <w:t>.</w:t>
      </w:r>
    </w:p>
  </w:footnote>
  <w:footnote w:id="3">
    <w:p w14:paraId="37674AD1" w14:textId="67DAB031" w:rsidR="002204DB" w:rsidRPr="00F9293C" w:rsidRDefault="002204DB" w:rsidP="00F9293C">
      <w:pPr>
        <w:pStyle w:val="FootnoteText"/>
        <w:suppressAutoHyphens/>
        <w:ind w:left="567" w:hanging="567"/>
        <w:rPr>
          <w:sz w:val="24"/>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r w:rsidRPr="00F9293C">
        <w:rPr>
          <w:sz w:val="24"/>
          <w:lang w:val="lt-LT"/>
        </w:rPr>
        <w:t>EFSA genetiškai modifikuotų organizmų specialistų grupės mokslinė nuomonė „</w:t>
      </w:r>
      <w:proofErr w:type="spellStart"/>
      <w:r w:rsidRPr="00F9293C">
        <w:rPr>
          <w:sz w:val="24"/>
          <w:lang w:val="lt-LT"/>
        </w:rPr>
        <w:t>Assessment</w:t>
      </w:r>
      <w:proofErr w:type="spellEnd"/>
      <w:r w:rsidRPr="00F9293C">
        <w:rPr>
          <w:sz w:val="24"/>
          <w:lang w:val="lt-LT"/>
        </w:rPr>
        <w:t xml:space="preserve"> </w:t>
      </w:r>
      <w:proofErr w:type="spellStart"/>
      <w:r w:rsidRPr="00F9293C">
        <w:rPr>
          <w:sz w:val="24"/>
          <w:lang w:val="lt-LT"/>
        </w:rPr>
        <w:t>of</w:t>
      </w:r>
      <w:proofErr w:type="spellEnd"/>
      <w:r w:rsidRPr="00F9293C">
        <w:rPr>
          <w:sz w:val="24"/>
          <w:lang w:val="lt-LT"/>
        </w:rPr>
        <w:t xml:space="preserve"> </w:t>
      </w:r>
      <w:proofErr w:type="spellStart"/>
      <w:r w:rsidRPr="00F9293C">
        <w:rPr>
          <w:sz w:val="24"/>
          <w:lang w:val="lt-LT"/>
        </w:rPr>
        <w:t>genetically</w:t>
      </w:r>
      <w:proofErr w:type="spellEnd"/>
      <w:r w:rsidRPr="00F9293C">
        <w:rPr>
          <w:sz w:val="24"/>
          <w:lang w:val="lt-LT"/>
        </w:rPr>
        <w:t xml:space="preserve"> </w:t>
      </w:r>
      <w:proofErr w:type="spellStart"/>
      <w:r w:rsidRPr="00F9293C">
        <w:rPr>
          <w:sz w:val="24"/>
          <w:lang w:val="lt-LT"/>
        </w:rPr>
        <w:t>modified</w:t>
      </w:r>
      <w:proofErr w:type="spellEnd"/>
      <w:r w:rsidRPr="00F9293C">
        <w:rPr>
          <w:sz w:val="24"/>
          <w:lang w:val="lt-LT"/>
        </w:rPr>
        <w:t xml:space="preserve"> </w:t>
      </w:r>
      <w:proofErr w:type="spellStart"/>
      <w:r w:rsidRPr="00F9293C">
        <w:rPr>
          <w:sz w:val="24"/>
          <w:lang w:val="lt-LT"/>
        </w:rPr>
        <w:t>sugar</w:t>
      </w:r>
      <w:proofErr w:type="spellEnd"/>
      <w:r w:rsidRPr="00F9293C">
        <w:rPr>
          <w:sz w:val="24"/>
          <w:lang w:val="lt-LT"/>
        </w:rPr>
        <w:t xml:space="preserve"> </w:t>
      </w:r>
      <w:proofErr w:type="spellStart"/>
      <w:r w:rsidRPr="00F9293C">
        <w:rPr>
          <w:sz w:val="24"/>
          <w:lang w:val="lt-LT"/>
        </w:rPr>
        <w:t>beet</w:t>
      </w:r>
      <w:proofErr w:type="spellEnd"/>
      <w:r w:rsidRPr="00F9293C">
        <w:rPr>
          <w:sz w:val="24"/>
          <w:lang w:val="lt-LT"/>
        </w:rPr>
        <w:t xml:space="preserve"> KWS20-1) (</w:t>
      </w:r>
      <w:proofErr w:type="spellStart"/>
      <w:r w:rsidRPr="00F9293C">
        <w:rPr>
          <w:sz w:val="24"/>
          <w:lang w:val="lt-LT"/>
        </w:rPr>
        <w:t>application</w:t>
      </w:r>
      <w:proofErr w:type="spellEnd"/>
      <w:r w:rsidRPr="00F9293C">
        <w:rPr>
          <w:sz w:val="24"/>
          <w:lang w:val="lt-LT"/>
        </w:rPr>
        <w:t xml:space="preserve"> GMFF-2023-14732)“ (liet. Genetiškai modifikuotų cukrinių runkelių KWS20–1 vertinimas (paraiška GMFF-2023-14732)), </w:t>
      </w:r>
      <w:r w:rsidRPr="00F9293C">
        <w:rPr>
          <w:i/>
          <w:sz w:val="24"/>
          <w:lang w:val="lt-LT"/>
        </w:rPr>
        <w:t xml:space="preserve">EFSA </w:t>
      </w:r>
      <w:proofErr w:type="spellStart"/>
      <w:r w:rsidRPr="00F9293C">
        <w:rPr>
          <w:i/>
          <w:sz w:val="24"/>
          <w:lang w:val="lt-LT"/>
        </w:rPr>
        <w:t>Journal</w:t>
      </w:r>
      <w:proofErr w:type="spellEnd"/>
      <w:r w:rsidRPr="00F9293C">
        <w:rPr>
          <w:sz w:val="24"/>
          <w:lang w:val="lt-LT"/>
        </w:rPr>
        <w:t xml:space="preserve">, 2025;23(5):9381, </w:t>
      </w:r>
      <w:hyperlink r:id="rId3" w:history="1">
        <w:r w:rsidRPr="00F9293C">
          <w:rPr>
            <w:rStyle w:val="Hyperlink"/>
            <w:sz w:val="24"/>
            <w:lang w:val="lt-LT"/>
          </w:rPr>
          <w:t>https://doi.org/10.2903/j.efsa.2025.9381</w:t>
        </w:r>
      </w:hyperlink>
      <w:r w:rsidRPr="00F9293C">
        <w:rPr>
          <w:sz w:val="24"/>
          <w:lang w:val="lt-LT"/>
        </w:rPr>
        <w:t>.</w:t>
      </w:r>
    </w:p>
  </w:footnote>
  <w:footnote w:id="4">
    <w:p w14:paraId="10ADF9E9" w14:textId="5AA1D8AC" w:rsidR="002204DB" w:rsidRPr="00F9293C" w:rsidRDefault="002204DB" w:rsidP="00F9293C">
      <w:pPr>
        <w:pStyle w:val="FootnoteText"/>
        <w:suppressAutoHyphens/>
        <w:ind w:left="567" w:hanging="567"/>
        <w:rPr>
          <w:color w:val="000000" w:themeColor="text1"/>
          <w:sz w:val="24"/>
          <w:vertAlign w:val="superscript"/>
          <w:lang w:val="lt-LT"/>
        </w:rPr>
      </w:pPr>
      <w:r w:rsidRPr="00F9293C">
        <w:rPr>
          <w:rStyle w:val="FootnoteReference"/>
          <w:sz w:val="24"/>
          <w:lang w:val="lt-LT"/>
        </w:rPr>
        <w:footnoteRef/>
      </w:r>
      <w:r w:rsidR="00F9293C" w:rsidRPr="00F9293C">
        <w:rPr>
          <w:color w:val="000000" w:themeColor="text1"/>
          <w:sz w:val="24"/>
          <w:lang w:val="lt-LT"/>
        </w:rPr>
        <w:t xml:space="preserve"> </w:t>
      </w:r>
      <w:r w:rsidR="00F9293C" w:rsidRPr="00F9293C">
        <w:rPr>
          <w:color w:val="000000" w:themeColor="text1"/>
          <w:sz w:val="24"/>
          <w:lang w:val="lt-LT"/>
        </w:rPr>
        <w:tab/>
      </w:r>
      <w:r w:rsidRPr="00F9293C">
        <w:rPr>
          <w:color w:val="000000" w:themeColor="text1"/>
          <w:sz w:val="24"/>
          <w:lang w:val="lt-LT"/>
        </w:rPr>
        <w:t>Per aštuntąją kadenciją Parlamentas priėmė 36 rezoliucijas, o per devintąją kadenciją – 38 rezoliucijas</w:t>
      </w:r>
      <w:r w:rsidRPr="00F9293C">
        <w:rPr>
          <w:sz w:val="24"/>
          <w:lang w:val="lt-LT"/>
        </w:rPr>
        <w:t xml:space="preserve">, kuriose prieštaraujama </w:t>
      </w:r>
      <w:r w:rsidRPr="00F9293C">
        <w:rPr>
          <w:color w:val="000000" w:themeColor="text1"/>
          <w:sz w:val="24"/>
          <w:lang w:val="lt-LT"/>
        </w:rPr>
        <w:t>leidimui naudoti GMO. Be to, per dešimtąją kadenciją Parlamentas priėmė toliau nurodytas rezoliucijas</w:t>
      </w:r>
      <w:r w:rsidR="00E87C70">
        <w:rPr>
          <w:color w:val="000000" w:themeColor="text1"/>
          <w:sz w:val="24"/>
          <w:lang w:val="lt-LT"/>
        </w:rPr>
        <w:t>:</w:t>
      </w:r>
    </w:p>
    <w:p w14:paraId="7D592C25" w14:textId="0E022BCF" w:rsidR="002204DB" w:rsidRPr="00F9293C" w:rsidRDefault="002204DB" w:rsidP="00D3252A">
      <w:pPr>
        <w:pStyle w:val="FootnoteText"/>
        <w:suppressAutoHyphens/>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C/2025/1798, 2025 4 4, ELI: </w:t>
      </w:r>
      <w:hyperlink r:id="rId4" w:history="1">
        <w:r w:rsidRPr="00F9293C">
          <w:rPr>
            <w:rStyle w:val="Hyperlink"/>
            <w:sz w:val="24"/>
            <w:lang w:val="lt-LT"/>
          </w:rPr>
          <w:t>http://data.europa.eu/eli/C/2025/1797/oj</w:t>
        </w:r>
      </w:hyperlink>
      <w:r w:rsidRPr="00F9293C">
        <w:rPr>
          <w:color w:val="000000" w:themeColor="text1"/>
          <w:sz w:val="24"/>
          <w:lang w:val="lt-LT"/>
        </w:rPr>
        <w:t>);</w:t>
      </w:r>
    </w:p>
    <w:p w14:paraId="60FF72BD" w14:textId="04575834" w:rsidR="002204DB" w:rsidRPr="00F9293C" w:rsidRDefault="002204DB" w:rsidP="00D3252A">
      <w:pPr>
        <w:pStyle w:val="FootnoteText"/>
        <w:suppressAutoHyphens/>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Pr="00F9293C">
          <w:rPr>
            <w:rStyle w:val="Hyperlink"/>
            <w:sz w:val="24"/>
            <w:lang w:val="lt-LT"/>
          </w:rPr>
          <w:t>http://data.europa.eu/eli/C/2025/1798/oj</w:t>
        </w:r>
      </w:hyperlink>
      <w:r w:rsidRPr="00F9293C">
        <w:rPr>
          <w:color w:val="000000" w:themeColor="text1"/>
          <w:sz w:val="24"/>
          <w:lang w:val="lt-LT"/>
        </w:rPr>
        <w:t>);</w:t>
      </w:r>
    </w:p>
    <w:p w14:paraId="42E19AB2" w14:textId="25DF789E" w:rsidR="002204DB" w:rsidRPr="00F9293C" w:rsidRDefault="002204DB" w:rsidP="00D3252A">
      <w:pPr>
        <w:pStyle w:val="FootnoteText"/>
        <w:suppressAutoHyphens/>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Pr="00F9293C">
        <w:rPr>
          <w:color w:val="000000" w:themeColor="text1"/>
          <w:sz w:val="24"/>
          <w:lang w:val="lt-LT"/>
        </w:rPr>
        <w:t>subkombinacijų</w:t>
      </w:r>
      <w:proofErr w:type="spellEnd"/>
      <w:r w:rsidRPr="00F9293C">
        <w:rPr>
          <w:color w:val="000000" w:themeColor="text1"/>
          <w:sz w:val="24"/>
          <w:lang w:val="lt-LT"/>
        </w:rPr>
        <w:t xml:space="preserve">, kurie iš jų sudaryti arba kurie iš jų pagaminti, (OL C, C/2025/1799, 2025 4 4, ELI: </w:t>
      </w:r>
      <w:hyperlink r:id="rId6" w:history="1">
        <w:r w:rsidRPr="00F9293C">
          <w:rPr>
            <w:rStyle w:val="Hyperlink"/>
            <w:sz w:val="24"/>
            <w:lang w:val="lt-LT"/>
          </w:rPr>
          <w:t>http://data.europa.eu/eli/C/2025/1799/oj</w:t>
        </w:r>
      </w:hyperlink>
      <w:r w:rsidRPr="00F9293C">
        <w:rPr>
          <w:color w:val="000000" w:themeColor="text1"/>
          <w:sz w:val="24"/>
          <w:lang w:val="lt-LT"/>
        </w:rPr>
        <w:t>);</w:t>
      </w:r>
    </w:p>
    <w:p w14:paraId="63F876ED" w14:textId="092301F2" w:rsidR="002204DB" w:rsidRPr="00F9293C" w:rsidRDefault="002204DB" w:rsidP="00D3252A">
      <w:pPr>
        <w:pStyle w:val="FootnoteText"/>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Pr="00F9293C">
          <w:rPr>
            <w:rStyle w:val="Hyperlink"/>
            <w:sz w:val="24"/>
            <w:lang w:val="lt-LT"/>
          </w:rPr>
          <w:t>http://data.europa.eu/eli/C/2025/1800/oj</w:t>
        </w:r>
      </w:hyperlink>
      <w:r w:rsidRPr="00F9293C">
        <w:rPr>
          <w:color w:val="000000" w:themeColor="text1"/>
          <w:sz w:val="24"/>
          <w:lang w:val="lt-LT"/>
        </w:rPr>
        <w:t>);</w:t>
      </w:r>
    </w:p>
    <w:p w14:paraId="4DF76140" w14:textId="1F0E4B67" w:rsidR="002204DB" w:rsidRPr="00F9293C" w:rsidRDefault="002204DB" w:rsidP="00D3252A">
      <w:pPr>
        <w:pStyle w:val="FootnoteText"/>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Pr="00F9293C">
          <w:rPr>
            <w:rStyle w:val="Hyperlink"/>
            <w:sz w:val="24"/>
            <w:lang w:val="lt-LT"/>
          </w:rPr>
          <w:t>http://data.europa.eu/eli/C/2025/1801/oj</w:t>
        </w:r>
      </w:hyperlink>
      <w:r w:rsidRPr="00F9293C">
        <w:rPr>
          <w:color w:val="000000" w:themeColor="text1"/>
          <w:sz w:val="24"/>
          <w:lang w:val="lt-LT"/>
        </w:rPr>
        <w:t>);</w:t>
      </w:r>
    </w:p>
    <w:p w14:paraId="265AB775" w14:textId="026F6186" w:rsidR="002204DB" w:rsidRPr="00F9293C" w:rsidRDefault="002204DB" w:rsidP="00D3252A">
      <w:pPr>
        <w:pStyle w:val="FootnoteText"/>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arba kurie iš jų sudaryti ar pagaminti (OL C, C/2025/1802, 2025 4 4, ELI: </w:t>
      </w:r>
      <w:hyperlink r:id="rId9" w:history="1">
        <w:r w:rsidRPr="00F9293C">
          <w:rPr>
            <w:rStyle w:val="Hyperlink"/>
            <w:sz w:val="24"/>
            <w:lang w:val="lt-LT"/>
          </w:rPr>
          <w:t>http://data.europa.eu/eli/C/2025/1802/oj</w:t>
        </w:r>
      </w:hyperlink>
      <w:r w:rsidRPr="00F9293C">
        <w:rPr>
          <w:color w:val="000000" w:themeColor="text1"/>
          <w:sz w:val="24"/>
          <w:lang w:val="lt-LT"/>
        </w:rPr>
        <w:t>);</w:t>
      </w:r>
    </w:p>
    <w:p w14:paraId="013CC9DE" w14:textId="05FD0084" w:rsidR="002204DB" w:rsidRPr="00F9293C" w:rsidRDefault="002204DB" w:rsidP="00D3252A">
      <w:pPr>
        <w:pStyle w:val="FootnoteText"/>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arba kurie iš jų sudaryti ar pagaminti (OL C, C/2025/1803, 2025 4 4, ELI: </w:t>
      </w:r>
      <w:hyperlink r:id="rId10" w:history="1">
        <w:r w:rsidRPr="00F9293C">
          <w:rPr>
            <w:rStyle w:val="Hyperlink"/>
            <w:sz w:val="24"/>
            <w:lang w:val="lt-LT"/>
          </w:rPr>
          <w:t>http://data.europa.eu/eli/C/2025/1803/oj</w:t>
        </w:r>
      </w:hyperlink>
      <w:r w:rsidRPr="00F9293C">
        <w:rPr>
          <w:color w:val="000000" w:themeColor="text1"/>
          <w:sz w:val="24"/>
          <w:lang w:val="lt-LT"/>
        </w:rPr>
        <w:t>);</w:t>
      </w:r>
    </w:p>
    <w:p w14:paraId="1418EC45" w14:textId="56096939" w:rsidR="002204DB" w:rsidRPr="00F9293C" w:rsidRDefault="002204DB" w:rsidP="00D3252A">
      <w:pPr>
        <w:pStyle w:val="FootnoteText"/>
        <w:ind w:left="1134" w:hanging="567"/>
        <w:rPr>
          <w:color w:val="000000" w:themeColor="text1"/>
          <w:sz w:val="24"/>
          <w:vertAlign w:val="superscript"/>
          <w:lang w:val="lt-LT"/>
        </w:rPr>
      </w:pPr>
      <w:r w:rsidRPr="00F9293C">
        <w:rPr>
          <w:color w:val="000000" w:themeColor="text1"/>
          <w:sz w:val="24"/>
          <w:lang w:val="lt-LT"/>
        </w:rPr>
        <w:t>–</w:t>
      </w:r>
      <w:r w:rsidRPr="00F9293C">
        <w:rPr>
          <w:color w:val="000000" w:themeColor="text1"/>
          <w:sz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Pr="00F9293C">
          <w:rPr>
            <w:rStyle w:val="Hyperlink"/>
            <w:sz w:val="24"/>
            <w:lang w:val="lt-LT"/>
          </w:rPr>
          <w:t>http://data.europa.eu/eli/C/2025/1804/oj</w:t>
        </w:r>
      </w:hyperlink>
      <w:r w:rsidRPr="00F9293C">
        <w:rPr>
          <w:color w:val="000000" w:themeColor="text1"/>
          <w:sz w:val="24"/>
          <w:lang w:val="lt-LT"/>
        </w:rPr>
        <w:t>);</w:t>
      </w:r>
    </w:p>
    <w:p w14:paraId="1B2CC366" w14:textId="4216930E" w:rsidR="002204DB" w:rsidRPr="00F9293C" w:rsidRDefault="002204DB" w:rsidP="00D3252A">
      <w:pPr>
        <w:pStyle w:val="FootnoteText"/>
        <w:ind w:left="1134" w:hanging="567"/>
        <w:rPr>
          <w:sz w:val="24"/>
          <w:vertAlign w:val="superscript"/>
          <w:lang w:val="lt-LT"/>
        </w:rPr>
      </w:pPr>
      <w:r w:rsidRPr="00F9293C">
        <w:rPr>
          <w:color w:val="000000" w:themeColor="text1"/>
          <w:sz w:val="24"/>
          <w:lang w:val="lt-LT"/>
        </w:rPr>
        <w:t>–</w:t>
      </w:r>
      <w:r w:rsidRPr="00F9293C">
        <w:rPr>
          <w:color w:val="000000" w:themeColor="text1"/>
          <w:sz w:val="24"/>
          <w:lang w:val="lt-LT"/>
        </w:rPr>
        <w:tab/>
      </w:r>
      <w:r w:rsidRPr="00F9293C">
        <w:rPr>
          <w:sz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tooltip="Prieiga prie dokumento suteikiama per ELI URI." w:history="1">
        <w:r w:rsidRPr="00F9293C">
          <w:rPr>
            <w:rStyle w:val="Hyperlink"/>
            <w:sz w:val="24"/>
            <w:lang w:val="lt-LT"/>
          </w:rPr>
          <w:t>http://data.europa.eu/eli/C/2025/2246/oj</w:t>
        </w:r>
      </w:hyperlink>
      <w:r w:rsidRPr="00F9293C">
        <w:rPr>
          <w:sz w:val="24"/>
          <w:lang w:val="lt-LT"/>
        </w:rPr>
        <w:t>);</w:t>
      </w:r>
    </w:p>
    <w:p w14:paraId="1F50E51A" w14:textId="77144518" w:rsidR="002204DB" w:rsidRPr="00F9293C" w:rsidRDefault="002204DB" w:rsidP="00D3252A">
      <w:pPr>
        <w:pStyle w:val="FootnoteText"/>
        <w:ind w:left="1134" w:hanging="567"/>
        <w:rPr>
          <w:sz w:val="24"/>
          <w:vertAlign w:val="superscript"/>
          <w:lang w:val="lt-LT"/>
        </w:rPr>
      </w:pPr>
      <w:r w:rsidRPr="00F9293C">
        <w:rPr>
          <w:sz w:val="24"/>
          <w:lang w:val="lt-LT"/>
        </w:rPr>
        <w:t>–</w:t>
      </w:r>
      <w:r w:rsidRPr="00F9293C">
        <w:rPr>
          <w:sz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tooltip="Prieiga prie dokumento suteikiama per ELI URI." w:history="1">
        <w:r w:rsidRPr="00F9293C">
          <w:rPr>
            <w:rStyle w:val="Hyperlink"/>
            <w:sz w:val="24"/>
            <w:lang w:val="lt-LT"/>
          </w:rPr>
          <w:t>http://data.europa.eu/eli/C/2025/2247/oj</w:t>
        </w:r>
      </w:hyperlink>
      <w:r w:rsidRPr="00F9293C">
        <w:rPr>
          <w:sz w:val="24"/>
          <w:lang w:val="lt-LT"/>
        </w:rPr>
        <w:t>);</w:t>
      </w:r>
    </w:p>
    <w:p w14:paraId="7D71EBBF" w14:textId="5FAB8EB8" w:rsidR="002204DB" w:rsidRPr="00F9293C" w:rsidRDefault="002204DB" w:rsidP="00D3252A">
      <w:pPr>
        <w:pStyle w:val="FootnoteText"/>
        <w:ind w:left="1134" w:hanging="567"/>
        <w:rPr>
          <w:sz w:val="24"/>
          <w:vertAlign w:val="superscript"/>
          <w:lang w:val="lt-LT"/>
        </w:rPr>
      </w:pPr>
      <w:r w:rsidRPr="00F9293C">
        <w:rPr>
          <w:sz w:val="24"/>
          <w:lang w:val="lt-LT"/>
        </w:rPr>
        <w:t>–</w:t>
      </w:r>
      <w:r w:rsidRPr="00F9293C">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(P10_TA(2025)0106);</w:t>
      </w:r>
    </w:p>
    <w:p w14:paraId="166E0A05" w14:textId="7EF3D55E" w:rsidR="002204DB" w:rsidRPr="00F9293C" w:rsidRDefault="002204DB" w:rsidP="00D3252A">
      <w:pPr>
        <w:pStyle w:val="FootnoteText"/>
        <w:ind w:left="1134" w:hanging="567"/>
        <w:rPr>
          <w:sz w:val="24"/>
          <w:vertAlign w:val="superscript"/>
          <w:lang w:val="lt-LT"/>
        </w:rPr>
      </w:pPr>
      <w:r w:rsidRPr="00F9293C">
        <w:rPr>
          <w:sz w:val="24"/>
          <w:lang w:val="lt-LT"/>
        </w:rPr>
        <w:t>–</w:t>
      </w:r>
      <w:r w:rsidRPr="00F9293C">
        <w:rPr>
          <w:sz w:val="24"/>
          <w:lang w:val="lt-LT"/>
        </w:rPr>
        <w:tab/>
        <w:t>2025 m. spalio 8 d. Europos Parlamento rezoliuciją dėl 2025 m</w:t>
      </w:r>
      <w:r w:rsidR="005D7542">
        <w:rPr>
          <w:sz w:val="24"/>
          <w:lang w:val="lt-LT"/>
        </w:rPr>
        <w:t>.</w:t>
      </w:r>
      <w:r w:rsidRPr="00F9293C">
        <w:rPr>
          <w:sz w:val="24"/>
          <w:lang w:val="lt-LT"/>
        </w:rPr>
        <w:t xml:space="preserve">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(P10_TA(2025)0222);</w:t>
      </w:r>
    </w:p>
    <w:p w14:paraId="168314D8" w14:textId="354C0CDC" w:rsidR="002204DB" w:rsidRPr="00F9293C" w:rsidRDefault="002204DB" w:rsidP="00D3252A">
      <w:pPr>
        <w:pStyle w:val="FootnoteText"/>
        <w:ind w:left="1134" w:hanging="567"/>
        <w:rPr>
          <w:sz w:val="24"/>
          <w:vertAlign w:val="superscript"/>
          <w:lang w:val="lt-LT"/>
        </w:rPr>
      </w:pPr>
      <w:r w:rsidRPr="00F9293C">
        <w:rPr>
          <w:sz w:val="24"/>
          <w:lang w:val="lt-LT"/>
        </w:rPr>
        <w:t>–</w:t>
      </w:r>
      <w:r w:rsidRPr="00F9293C">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(P10_TA(2025)0288);</w:t>
      </w:r>
    </w:p>
    <w:p w14:paraId="3DC370B2" w14:textId="4196339B" w:rsidR="002204DB" w:rsidRPr="00F9293C" w:rsidRDefault="002204DB" w:rsidP="00D3252A">
      <w:pPr>
        <w:pStyle w:val="FootnoteText"/>
        <w:ind w:left="1134" w:hanging="567"/>
        <w:rPr>
          <w:sz w:val="24"/>
          <w:vertAlign w:val="superscript"/>
          <w:lang w:val="lt-LT"/>
        </w:rPr>
      </w:pPr>
      <w:r w:rsidRPr="00F9293C">
        <w:rPr>
          <w:sz w:val="24"/>
          <w:lang w:val="lt-LT"/>
        </w:rPr>
        <w:t>–</w:t>
      </w:r>
      <w:r w:rsidRPr="00F9293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jos pagaminti, projekto (P10_TA(2025)0289);</w:t>
      </w:r>
    </w:p>
    <w:p w14:paraId="0DC7286C" w14:textId="3A46996D" w:rsidR="002204DB" w:rsidRPr="00F9293C" w:rsidRDefault="002204DB" w:rsidP="00D3252A">
      <w:pPr>
        <w:pStyle w:val="FootnoteText"/>
        <w:ind w:left="1134" w:hanging="567"/>
        <w:rPr>
          <w:sz w:val="24"/>
          <w:vertAlign w:val="superscript"/>
          <w:lang w:val="lt-LT"/>
        </w:rPr>
      </w:pPr>
      <w:r w:rsidRPr="00F9293C">
        <w:rPr>
          <w:sz w:val="24"/>
          <w:lang w:val="lt-LT"/>
        </w:rPr>
        <w:t>–</w:t>
      </w:r>
      <w:r w:rsidRPr="00F9293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 (P10_TA(2025)0290);</w:t>
      </w:r>
    </w:p>
    <w:p w14:paraId="2C665CDA" w14:textId="4178B574" w:rsidR="002204DB" w:rsidRPr="00F9293C" w:rsidRDefault="002204DB" w:rsidP="00D3252A">
      <w:pPr>
        <w:pStyle w:val="FootnoteText"/>
        <w:ind w:left="1134" w:hanging="567"/>
        <w:rPr>
          <w:sz w:val="24"/>
          <w:vertAlign w:val="superscript"/>
          <w:lang w:val="lt-LT"/>
        </w:rPr>
      </w:pPr>
      <w:r w:rsidRPr="00F9293C">
        <w:rPr>
          <w:sz w:val="24"/>
          <w:lang w:val="lt-LT"/>
        </w:rPr>
        <w:t>–</w:t>
      </w:r>
      <w:r w:rsidRPr="00F9293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(P10_TA(2025)0291);</w:t>
      </w:r>
    </w:p>
    <w:p w14:paraId="6E04D1B6" w14:textId="4ED5E839" w:rsidR="002204DB" w:rsidRPr="00F9293C" w:rsidRDefault="002204DB" w:rsidP="00D3252A">
      <w:pPr>
        <w:pStyle w:val="FootnoteText"/>
        <w:ind w:left="1134" w:hanging="567"/>
        <w:rPr>
          <w:sz w:val="24"/>
          <w:lang w:val="lt-LT"/>
        </w:rPr>
      </w:pPr>
      <w:r w:rsidRPr="00F9293C">
        <w:rPr>
          <w:sz w:val="24"/>
          <w:lang w:val="lt-LT"/>
        </w:rPr>
        <w:t>–</w:t>
      </w:r>
      <w:r w:rsidRPr="00F9293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(P10_TA(2025)0292).</w:t>
      </w:r>
    </w:p>
  </w:footnote>
  <w:footnote w:id="5">
    <w:p w14:paraId="49EE2E00" w14:textId="1D0D29E1" w:rsidR="002204DB" w:rsidRPr="00F9293C" w:rsidRDefault="002204DB" w:rsidP="00F9293C">
      <w:pPr>
        <w:pStyle w:val="FootnoteText"/>
        <w:ind w:left="567" w:hanging="567"/>
        <w:rPr>
          <w:sz w:val="24"/>
          <w:lang w:val="lt-LT"/>
        </w:rPr>
      </w:pPr>
      <w:r w:rsidRPr="00F9293C">
        <w:rPr>
          <w:rStyle w:val="FootnoteReference"/>
          <w:sz w:val="24"/>
          <w:lang w:val="lt-LT"/>
        </w:rPr>
        <w:footnoteRef/>
      </w:r>
      <w:r w:rsidR="00F9293C" w:rsidRPr="00F9293C">
        <w:rPr>
          <w:sz w:val="24"/>
          <w:shd w:val="clear" w:color="auto" w:fill="FFFFFF"/>
          <w:lang w:val="lt-LT"/>
        </w:rPr>
        <w:t xml:space="preserve"> </w:t>
      </w:r>
      <w:r w:rsidR="00F9293C" w:rsidRPr="00F9293C">
        <w:rPr>
          <w:sz w:val="24"/>
          <w:shd w:val="clear" w:color="auto" w:fill="FFFFFF"/>
          <w:lang w:val="lt-LT"/>
        </w:rPr>
        <w:tab/>
      </w:r>
      <w:r w:rsidRPr="00F9293C">
        <w:rPr>
          <w:sz w:val="24"/>
          <w:shd w:val="clear" w:color="auto" w:fill="FFFFFF"/>
          <w:lang w:val="lt-LT"/>
        </w:rPr>
        <w:t>Žr., pvz., S. </w:t>
      </w:r>
      <w:proofErr w:type="spellStart"/>
      <w:r w:rsidRPr="00F9293C">
        <w:rPr>
          <w:sz w:val="24"/>
          <w:shd w:val="clear" w:color="auto" w:fill="FFFFFF"/>
          <w:lang w:val="lt-LT"/>
        </w:rPr>
        <w:t>Bonny</w:t>
      </w:r>
      <w:proofErr w:type="spellEnd"/>
      <w:r w:rsidRPr="00F9293C">
        <w:rPr>
          <w:sz w:val="24"/>
          <w:shd w:val="clear" w:color="auto" w:fill="FFFFFF"/>
          <w:lang w:val="lt-LT"/>
        </w:rPr>
        <w:t xml:space="preserve"> „</w:t>
      </w:r>
      <w:proofErr w:type="spellStart"/>
      <w:r w:rsidRPr="00F9293C">
        <w:rPr>
          <w:sz w:val="24"/>
          <w:shd w:val="clear" w:color="auto" w:fill="FFFFFF"/>
          <w:lang w:val="lt-LT"/>
        </w:rPr>
        <w:t>Genetically</w:t>
      </w:r>
      <w:proofErr w:type="spellEnd"/>
      <w:r w:rsidRPr="00F9293C">
        <w:rPr>
          <w:sz w:val="24"/>
          <w:shd w:val="clear" w:color="auto" w:fill="FFFFFF"/>
          <w:lang w:val="lt-LT"/>
        </w:rPr>
        <w:t xml:space="preserve"> </w:t>
      </w:r>
      <w:proofErr w:type="spellStart"/>
      <w:r w:rsidRPr="00F9293C">
        <w:rPr>
          <w:sz w:val="24"/>
          <w:shd w:val="clear" w:color="auto" w:fill="FFFFFF"/>
          <w:lang w:val="lt-LT"/>
        </w:rPr>
        <w:t>Modified</w:t>
      </w:r>
      <w:proofErr w:type="spellEnd"/>
      <w:r w:rsidRPr="00F9293C">
        <w:rPr>
          <w:sz w:val="24"/>
          <w:shd w:val="clear" w:color="auto" w:fill="FFFFFF"/>
          <w:lang w:val="lt-LT"/>
        </w:rPr>
        <w:t xml:space="preserve"> Herbicide-</w:t>
      </w:r>
      <w:proofErr w:type="spellStart"/>
      <w:r w:rsidRPr="00F9293C">
        <w:rPr>
          <w:sz w:val="24"/>
          <w:shd w:val="clear" w:color="auto" w:fill="FFFFFF"/>
          <w:lang w:val="lt-LT"/>
        </w:rPr>
        <w:t>Tolerant</w:t>
      </w:r>
      <w:proofErr w:type="spellEnd"/>
      <w:r w:rsidRPr="00F9293C">
        <w:rPr>
          <w:sz w:val="24"/>
          <w:shd w:val="clear" w:color="auto" w:fill="FFFFFF"/>
          <w:lang w:val="lt-LT"/>
        </w:rPr>
        <w:t xml:space="preserve"> </w:t>
      </w:r>
      <w:proofErr w:type="spellStart"/>
      <w:r w:rsidRPr="00F9293C">
        <w:rPr>
          <w:sz w:val="24"/>
          <w:shd w:val="clear" w:color="auto" w:fill="FFFFFF"/>
          <w:lang w:val="lt-LT"/>
        </w:rPr>
        <w:t>Crops</w:t>
      </w:r>
      <w:proofErr w:type="spellEnd"/>
      <w:r w:rsidRPr="00F9293C">
        <w:rPr>
          <w:sz w:val="24"/>
          <w:shd w:val="clear" w:color="auto" w:fill="FFFFFF"/>
          <w:lang w:val="lt-LT"/>
        </w:rPr>
        <w:t xml:space="preserve">, </w:t>
      </w:r>
      <w:proofErr w:type="spellStart"/>
      <w:r w:rsidRPr="00F9293C">
        <w:rPr>
          <w:sz w:val="24"/>
          <w:shd w:val="clear" w:color="auto" w:fill="FFFFFF"/>
          <w:lang w:val="lt-LT"/>
        </w:rPr>
        <w:t>Weeds</w:t>
      </w:r>
      <w:proofErr w:type="spellEnd"/>
      <w:r w:rsidRPr="00F9293C">
        <w:rPr>
          <w:sz w:val="24"/>
          <w:shd w:val="clear" w:color="auto" w:fill="FFFFFF"/>
          <w:lang w:val="lt-LT"/>
        </w:rPr>
        <w:t xml:space="preserve">, </w:t>
      </w:r>
      <w:proofErr w:type="spellStart"/>
      <w:r w:rsidRPr="00F9293C">
        <w:rPr>
          <w:sz w:val="24"/>
          <w:shd w:val="clear" w:color="auto" w:fill="FFFFFF"/>
          <w:lang w:val="lt-LT"/>
        </w:rPr>
        <w:t>and</w:t>
      </w:r>
      <w:proofErr w:type="spellEnd"/>
      <w:r w:rsidRPr="00F9293C">
        <w:rPr>
          <w:sz w:val="24"/>
          <w:shd w:val="clear" w:color="auto" w:fill="FFFFFF"/>
          <w:lang w:val="lt-LT"/>
        </w:rPr>
        <w:t xml:space="preserve"> </w:t>
      </w:r>
      <w:proofErr w:type="spellStart"/>
      <w:r w:rsidRPr="00F9293C">
        <w:rPr>
          <w:sz w:val="24"/>
          <w:shd w:val="clear" w:color="auto" w:fill="FFFFFF"/>
          <w:lang w:val="lt-LT"/>
        </w:rPr>
        <w:t>Herbicides</w:t>
      </w:r>
      <w:proofErr w:type="spellEnd"/>
      <w:r w:rsidRPr="00F9293C">
        <w:rPr>
          <w:sz w:val="24"/>
          <w:shd w:val="clear" w:color="auto" w:fill="FFFFFF"/>
          <w:lang w:val="lt-LT"/>
        </w:rPr>
        <w:t xml:space="preserve">: </w:t>
      </w:r>
      <w:proofErr w:type="spellStart"/>
      <w:r w:rsidRPr="00F9293C">
        <w:rPr>
          <w:sz w:val="24"/>
          <w:shd w:val="clear" w:color="auto" w:fill="FFFFFF"/>
          <w:lang w:val="lt-LT"/>
        </w:rPr>
        <w:t>Overview</w:t>
      </w:r>
      <w:proofErr w:type="spellEnd"/>
      <w:r w:rsidRPr="00F9293C">
        <w:rPr>
          <w:sz w:val="24"/>
          <w:shd w:val="clear" w:color="auto" w:fill="FFFFFF"/>
          <w:lang w:val="lt-LT"/>
        </w:rPr>
        <w:t xml:space="preserve"> </w:t>
      </w:r>
      <w:proofErr w:type="spellStart"/>
      <w:r w:rsidRPr="00F9293C">
        <w:rPr>
          <w:sz w:val="24"/>
          <w:shd w:val="clear" w:color="auto" w:fill="FFFFFF"/>
          <w:lang w:val="lt-LT"/>
        </w:rPr>
        <w:t>and</w:t>
      </w:r>
      <w:proofErr w:type="spellEnd"/>
      <w:r w:rsidRPr="00F9293C">
        <w:rPr>
          <w:sz w:val="24"/>
          <w:shd w:val="clear" w:color="auto" w:fill="FFFFFF"/>
          <w:lang w:val="lt-LT"/>
        </w:rPr>
        <w:t xml:space="preserve"> </w:t>
      </w:r>
      <w:proofErr w:type="spellStart"/>
      <w:r w:rsidRPr="00F9293C">
        <w:rPr>
          <w:sz w:val="24"/>
          <w:shd w:val="clear" w:color="auto" w:fill="FFFFFF"/>
          <w:lang w:val="lt-LT"/>
        </w:rPr>
        <w:t>Impact</w:t>
      </w:r>
      <w:proofErr w:type="spellEnd"/>
      <w:r w:rsidRPr="00F9293C">
        <w:rPr>
          <w:sz w:val="24"/>
          <w:shd w:val="clear" w:color="auto" w:fill="FFFFFF"/>
          <w:lang w:val="lt-LT"/>
        </w:rPr>
        <w:t xml:space="preserve">“, </w:t>
      </w:r>
      <w:proofErr w:type="spellStart"/>
      <w:r w:rsidRPr="00F9293C">
        <w:rPr>
          <w:i/>
          <w:sz w:val="24"/>
          <w:shd w:val="clear" w:color="auto" w:fill="FFFFFF"/>
          <w:lang w:val="lt-LT"/>
        </w:rPr>
        <w:t>Environmental</w:t>
      </w:r>
      <w:proofErr w:type="spellEnd"/>
      <w:r w:rsidRPr="00F9293C">
        <w:rPr>
          <w:i/>
          <w:sz w:val="24"/>
          <w:shd w:val="clear" w:color="auto" w:fill="FFFFFF"/>
          <w:lang w:val="lt-LT"/>
        </w:rPr>
        <w:t xml:space="preserve"> </w:t>
      </w:r>
      <w:proofErr w:type="spellStart"/>
      <w:r w:rsidRPr="00F9293C">
        <w:rPr>
          <w:i/>
          <w:sz w:val="24"/>
          <w:shd w:val="clear" w:color="auto" w:fill="FFFFFF"/>
          <w:lang w:val="lt-LT"/>
        </w:rPr>
        <w:t>Management</w:t>
      </w:r>
      <w:proofErr w:type="spellEnd"/>
      <w:r w:rsidRPr="00F9293C">
        <w:rPr>
          <w:sz w:val="24"/>
          <w:shd w:val="clear" w:color="auto" w:fill="FFFFFF"/>
          <w:lang w:val="lt-LT"/>
        </w:rPr>
        <w:t xml:space="preserve">, 2016 m. sausio mėn., 57(1), p. 31–48, </w:t>
      </w:r>
      <w:hyperlink r:id="rId14" w:history="1">
        <w:r w:rsidRPr="00F9293C">
          <w:rPr>
            <w:rStyle w:val="Hyperlink"/>
            <w:sz w:val="24"/>
            <w:shd w:val="clear" w:color="auto" w:fill="FFFFFF"/>
            <w:lang w:val="lt-LT"/>
          </w:rPr>
          <w:t>https://doi.org/10.1007/s00267-015-0589-7</w:t>
        </w:r>
      </w:hyperlink>
      <w:r w:rsidRPr="00F9293C">
        <w:rPr>
          <w:sz w:val="24"/>
          <w:shd w:val="clear" w:color="auto" w:fill="FFFFFF"/>
          <w:lang w:val="lt-LT"/>
        </w:rPr>
        <w:t xml:space="preserve"> ir C. M. </w:t>
      </w:r>
      <w:proofErr w:type="spellStart"/>
      <w:r w:rsidRPr="00F9293C">
        <w:rPr>
          <w:sz w:val="24"/>
          <w:shd w:val="clear" w:color="auto" w:fill="FFFFFF"/>
          <w:lang w:val="lt-LT"/>
        </w:rPr>
        <w:t>Benbrook</w:t>
      </w:r>
      <w:proofErr w:type="spellEnd"/>
      <w:r w:rsidRPr="00F9293C">
        <w:rPr>
          <w:sz w:val="24"/>
          <w:shd w:val="clear" w:color="auto" w:fill="FFFFFF"/>
          <w:lang w:val="lt-LT"/>
        </w:rPr>
        <w:t>, „</w:t>
      </w:r>
      <w:proofErr w:type="spellStart"/>
      <w:r w:rsidRPr="00F9293C">
        <w:rPr>
          <w:sz w:val="24"/>
          <w:shd w:val="clear" w:color="auto" w:fill="FFFFFF"/>
          <w:lang w:val="lt-LT"/>
        </w:rPr>
        <w:t>Impacts</w:t>
      </w:r>
      <w:proofErr w:type="spellEnd"/>
      <w:r w:rsidRPr="00F9293C">
        <w:rPr>
          <w:sz w:val="24"/>
          <w:shd w:val="clear" w:color="auto" w:fill="FFFFFF"/>
          <w:lang w:val="lt-LT"/>
        </w:rPr>
        <w:t xml:space="preserve"> </w:t>
      </w:r>
      <w:proofErr w:type="spellStart"/>
      <w:r w:rsidRPr="00F9293C">
        <w:rPr>
          <w:sz w:val="24"/>
          <w:shd w:val="clear" w:color="auto" w:fill="FFFFFF"/>
          <w:lang w:val="lt-LT"/>
        </w:rPr>
        <w:t>of</w:t>
      </w:r>
      <w:proofErr w:type="spellEnd"/>
      <w:r w:rsidRPr="00F9293C">
        <w:rPr>
          <w:sz w:val="24"/>
          <w:shd w:val="clear" w:color="auto" w:fill="FFFFFF"/>
          <w:lang w:val="lt-LT"/>
        </w:rPr>
        <w:t xml:space="preserve"> </w:t>
      </w:r>
      <w:proofErr w:type="spellStart"/>
      <w:r w:rsidRPr="00F9293C">
        <w:rPr>
          <w:sz w:val="24"/>
          <w:shd w:val="clear" w:color="auto" w:fill="FFFFFF"/>
          <w:lang w:val="lt-LT"/>
        </w:rPr>
        <w:t>genetically</w:t>
      </w:r>
      <w:proofErr w:type="spellEnd"/>
      <w:r w:rsidRPr="00F9293C">
        <w:rPr>
          <w:sz w:val="24"/>
          <w:shd w:val="clear" w:color="auto" w:fill="FFFFFF"/>
          <w:lang w:val="lt-LT"/>
        </w:rPr>
        <w:t xml:space="preserve"> </w:t>
      </w:r>
      <w:proofErr w:type="spellStart"/>
      <w:r w:rsidRPr="00F9293C">
        <w:rPr>
          <w:sz w:val="24"/>
          <w:shd w:val="clear" w:color="auto" w:fill="FFFFFF"/>
          <w:lang w:val="lt-LT"/>
        </w:rPr>
        <w:t>engineered</w:t>
      </w:r>
      <w:proofErr w:type="spellEnd"/>
      <w:r w:rsidRPr="00F9293C">
        <w:rPr>
          <w:sz w:val="24"/>
          <w:shd w:val="clear" w:color="auto" w:fill="FFFFFF"/>
          <w:lang w:val="lt-LT"/>
        </w:rPr>
        <w:t xml:space="preserve"> </w:t>
      </w:r>
      <w:proofErr w:type="spellStart"/>
      <w:r w:rsidRPr="00F9293C">
        <w:rPr>
          <w:sz w:val="24"/>
          <w:shd w:val="clear" w:color="auto" w:fill="FFFFFF"/>
          <w:lang w:val="lt-LT"/>
        </w:rPr>
        <w:t>crops</w:t>
      </w:r>
      <w:proofErr w:type="spellEnd"/>
      <w:r w:rsidRPr="00F9293C">
        <w:rPr>
          <w:sz w:val="24"/>
          <w:shd w:val="clear" w:color="auto" w:fill="FFFFFF"/>
          <w:lang w:val="lt-LT"/>
        </w:rPr>
        <w:t xml:space="preserve"> </w:t>
      </w:r>
      <w:proofErr w:type="spellStart"/>
      <w:r w:rsidRPr="00F9293C">
        <w:rPr>
          <w:sz w:val="24"/>
          <w:shd w:val="clear" w:color="auto" w:fill="FFFFFF"/>
          <w:lang w:val="lt-LT"/>
        </w:rPr>
        <w:t>on</w:t>
      </w:r>
      <w:proofErr w:type="spellEnd"/>
      <w:r w:rsidRPr="00F9293C">
        <w:rPr>
          <w:sz w:val="24"/>
          <w:shd w:val="clear" w:color="auto" w:fill="FFFFFF"/>
          <w:lang w:val="lt-LT"/>
        </w:rPr>
        <w:t xml:space="preserve"> pesticide </w:t>
      </w:r>
      <w:proofErr w:type="spellStart"/>
      <w:r w:rsidRPr="00F9293C">
        <w:rPr>
          <w:sz w:val="24"/>
          <w:shd w:val="clear" w:color="auto" w:fill="FFFFFF"/>
          <w:lang w:val="lt-LT"/>
        </w:rPr>
        <w:t>use</w:t>
      </w:r>
      <w:proofErr w:type="spellEnd"/>
      <w:r w:rsidRPr="00F9293C">
        <w:rPr>
          <w:sz w:val="24"/>
          <w:shd w:val="clear" w:color="auto" w:fill="FFFFFF"/>
          <w:lang w:val="lt-LT"/>
        </w:rPr>
        <w:t xml:space="preserve"> </w:t>
      </w:r>
      <w:proofErr w:type="spellStart"/>
      <w:r w:rsidRPr="00F9293C">
        <w:rPr>
          <w:sz w:val="24"/>
          <w:shd w:val="clear" w:color="auto" w:fill="FFFFFF"/>
          <w:lang w:val="lt-LT"/>
        </w:rPr>
        <w:t>in</w:t>
      </w:r>
      <w:proofErr w:type="spellEnd"/>
      <w:r w:rsidRPr="00F9293C">
        <w:rPr>
          <w:sz w:val="24"/>
          <w:shd w:val="clear" w:color="auto" w:fill="FFFFFF"/>
          <w:lang w:val="lt-LT"/>
        </w:rPr>
        <w:t xml:space="preserve"> </w:t>
      </w:r>
      <w:proofErr w:type="spellStart"/>
      <w:r w:rsidRPr="00F9293C">
        <w:rPr>
          <w:sz w:val="24"/>
          <w:shd w:val="clear" w:color="auto" w:fill="FFFFFF"/>
          <w:lang w:val="lt-LT"/>
        </w:rPr>
        <w:t>the</w:t>
      </w:r>
      <w:proofErr w:type="spellEnd"/>
      <w:r w:rsidRPr="00F9293C">
        <w:rPr>
          <w:sz w:val="24"/>
          <w:shd w:val="clear" w:color="auto" w:fill="FFFFFF"/>
          <w:lang w:val="lt-LT"/>
        </w:rPr>
        <w:t xml:space="preserve"> U.S. – </w:t>
      </w:r>
      <w:proofErr w:type="spellStart"/>
      <w:r w:rsidRPr="00F9293C">
        <w:rPr>
          <w:sz w:val="24"/>
          <w:shd w:val="clear" w:color="auto" w:fill="FFFFFF"/>
          <w:lang w:val="lt-LT"/>
        </w:rPr>
        <w:t>the</w:t>
      </w:r>
      <w:proofErr w:type="spellEnd"/>
      <w:r w:rsidRPr="00F9293C">
        <w:rPr>
          <w:sz w:val="24"/>
          <w:shd w:val="clear" w:color="auto" w:fill="FFFFFF"/>
          <w:lang w:val="lt-LT"/>
        </w:rPr>
        <w:t xml:space="preserve"> </w:t>
      </w:r>
      <w:proofErr w:type="spellStart"/>
      <w:r w:rsidRPr="00F9293C">
        <w:rPr>
          <w:sz w:val="24"/>
          <w:shd w:val="clear" w:color="auto" w:fill="FFFFFF"/>
          <w:lang w:val="lt-LT"/>
        </w:rPr>
        <w:t>first</w:t>
      </w:r>
      <w:proofErr w:type="spellEnd"/>
      <w:r w:rsidRPr="00F9293C">
        <w:rPr>
          <w:sz w:val="24"/>
          <w:shd w:val="clear" w:color="auto" w:fill="FFFFFF"/>
          <w:lang w:val="lt-LT"/>
        </w:rPr>
        <w:t xml:space="preserve"> </w:t>
      </w:r>
      <w:proofErr w:type="spellStart"/>
      <w:r w:rsidRPr="00F9293C">
        <w:rPr>
          <w:sz w:val="24"/>
          <w:shd w:val="clear" w:color="auto" w:fill="FFFFFF"/>
          <w:lang w:val="lt-LT"/>
        </w:rPr>
        <w:t>sixteen</w:t>
      </w:r>
      <w:proofErr w:type="spellEnd"/>
      <w:r w:rsidRPr="00F9293C">
        <w:rPr>
          <w:sz w:val="24"/>
          <w:shd w:val="clear" w:color="auto" w:fill="FFFFFF"/>
          <w:lang w:val="lt-LT"/>
        </w:rPr>
        <w:t xml:space="preserve"> </w:t>
      </w:r>
      <w:proofErr w:type="spellStart"/>
      <w:r w:rsidRPr="00F9293C">
        <w:rPr>
          <w:sz w:val="24"/>
          <w:shd w:val="clear" w:color="auto" w:fill="FFFFFF"/>
          <w:lang w:val="lt-LT"/>
        </w:rPr>
        <w:t>years</w:t>
      </w:r>
      <w:proofErr w:type="spellEnd"/>
      <w:r w:rsidRPr="00F9293C">
        <w:rPr>
          <w:sz w:val="24"/>
          <w:shd w:val="clear" w:color="auto" w:fill="FFFFFF"/>
          <w:lang w:val="lt-LT"/>
        </w:rPr>
        <w:t xml:space="preserve">“, </w:t>
      </w:r>
      <w:proofErr w:type="spellStart"/>
      <w:r w:rsidRPr="00F9293C">
        <w:rPr>
          <w:i/>
          <w:sz w:val="24"/>
          <w:shd w:val="clear" w:color="auto" w:fill="FFFFFF"/>
          <w:lang w:val="lt-LT"/>
        </w:rPr>
        <w:t>Environmental</w:t>
      </w:r>
      <w:proofErr w:type="spellEnd"/>
      <w:r w:rsidRPr="00F9293C">
        <w:rPr>
          <w:i/>
          <w:sz w:val="24"/>
          <w:shd w:val="clear" w:color="auto" w:fill="FFFFFF"/>
          <w:lang w:val="lt-LT"/>
        </w:rPr>
        <w:t xml:space="preserve"> </w:t>
      </w:r>
      <w:proofErr w:type="spellStart"/>
      <w:r w:rsidRPr="00F9293C">
        <w:rPr>
          <w:i/>
          <w:sz w:val="24"/>
          <w:shd w:val="clear" w:color="auto" w:fill="FFFFFF"/>
          <w:lang w:val="lt-LT"/>
        </w:rPr>
        <w:t>Sciences</w:t>
      </w:r>
      <w:proofErr w:type="spellEnd"/>
      <w:r w:rsidRPr="00F9293C">
        <w:rPr>
          <w:i/>
          <w:sz w:val="24"/>
          <w:shd w:val="clear" w:color="auto" w:fill="FFFFFF"/>
          <w:lang w:val="lt-LT"/>
        </w:rPr>
        <w:t xml:space="preserve"> </w:t>
      </w:r>
      <w:proofErr w:type="spellStart"/>
      <w:r w:rsidRPr="00F9293C">
        <w:rPr>
          <w:i/>
          <w:sz w:val="24"/>
          <w:shd w:val="clear" w:color="auto" w:fill="FFFFFF"/>
          <w:lang w:val="lt-LT"/>
        </w:rPr>
        <w:t>Europe</w:t>
      </w:r>
      <w:proofErr w:type="spellEnd"/>
      <w:r w:rsidRPr="00F9293C">
        <w:rPr>
          <w:sz w:val="24"/>
          <w:shd w:val="clear" w:color="auto" w:fill="FFFFFF"/>
          <w:lang w:val="lt-LT"/>
        </w:rPr>
        <w:t xml:space="preserve">, 2012 m. rugsėjo 28 d., </w:t>
      </w:r>
      <w:proofErr w:type="spellStart"/>
      <w:r w:rsidRPr="00F9293C">
        <w:rPr>
          <w:sz w:val="24"/>
          <w:shd w:val="clear" w:color="auto" w:fill="FFFFFF"/>
          <w:lang w:val="lt-LT"/>
        </w:rPr>
        <w:t>Vol</w:t>
      </w:r>
      <w:proofErr w:type="spellEnd"/>
      <w:r w:rsidRPr="00F9293C">
        <w:rPr>
          <w:sz w:val="24"/>
          <w:shd w:val="clear" w:color="auto" w:fill="FFFFFF"/>
          <w:lang w:val="lt-LT"/>
        </w:rPr>
        <w:t xml:space="preserve">. 24(1), </w:t>
      </w:r>
      <w:hyperlink r:id="rId15" w:history="1">
        <w:r w:rsidRPr="00F9293C">
          <w:rPr>
            <w:rStyle w:val="Hyperlink"/>
            <w:sz w:val="24"/>
            <w:lang w:val="lt-LT"/>
          </w:rPr>
          <w:t>https://doi.org/10.1186/2190-4715-24-24</w:t>
        </w:r>
      </w:hyperlink>
      <w:r w:rsidRPr="00F9293C">
        <w:rPr>
          <w:rStyle w:val="Hyperlink"/>
          <w:sz w:val="24"/>
          <w:shd w:val="clear" w:color="auto" w:fill="FFFFFF"/>
          <w:lang w:val="lt-LT"/>
        </w:rPr>
        <w:t>.</w:t>
      </w:r>
    </w:p>
  </w:footnote>
  <w:footnote w:id="6">
    <w:p w14:paraId="51678BA4" w14:textId="47092FD4" w:rsidR="002204DB" w:rsidRPr="00F9293C" w:rsidRDefault="002204DB" w:rsidP="00F9293C">
      <w:pPr>
        <w:pStyle w:val="FootnoteText"/>
        <w:ind w:left="567" w:hanging="567"/>
        <w:rPr>
          <w:sz w:val="24"/>
          <w:vertAlign w:val="superscript"/>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r w:rsidRPr="00F9293C">
        <w:rPr>
          <w:sz w:val="24"/>
          <w:lang w:val="lt-LT"/>
        </w:rPr>
        <w:t xml:space="preserve">Žr., pavyzdžiui: </w:t>
      </w:r>
      <w:hyperlink r:id="rId16" w:history="1">
        <w:r w:rsidRPr="00F9293C">
          <w:rPr>
            <w:rStyle w:val="Hyperlink"/>
            <w:sz w:val="24"/>
            <w:lang w:val="lt-LT"/>
          </w:rPr>
          <w:t>https://doi.org/10.1002/ps.8105</w:t>
        </w:r>
      </w:hyperlink>
      <w:r w:rsidRPr="00F9293C">
        <w:rPr>
          <w:sz w:val="24"/>
          <w:lang w:val="lt-LT"/>
        </w:rPr>
        <w:t>,</w:t>
      </w:r>
    </w:p>
    <w:p w14:paraId="0C650406" w14:textId="467CAD5C" w:rsidR="002204DB" w:rsidRPr="00F9293C" w:rsidRDefault="00F9293C" w:rsidP="00F9293C">
      <w:pPr>
        <w:pStyle w:val="FootnoteText"/>
        <w:ind w:left="567" w:hanging="567"/>
        <w:rPr>
          <w:sz w:val="24"/>
          <w:lang w:val="lt-LT"/>
        </w:rPr>
      </w:pPr>
      <w:r w:rsidRPr="00F9293C">
        <w:rPr>
          <w:sz w:val="24"/>
          <w:lang w:val="lt-LT"/>
        </w:rPr>
        <w:t xml:space="preserve"> </w:t>
      </w:r>
      <w:r w:rsidRPr="00F9293C">
        <w:rPr>
          <w:sz w:val="24"/>
          <w:lang w:val="lt-LT"/>
        </w:rPr>
        <w:tab/>
      </w:r>
      <w:hyperlink r:id="rId17" w:tgtFrame="_blank" w:tooltip="Nuolatinė nuoroda naudojant skaitmeninį objekto identifikatorių" w:history="1">
        <w:r w:rsidR="002204DB" w:rsidRPr="00F9293C">
          <w:rPr>
            <w:rStyle w:val="Hyperlink"/>
            <w:sz w:val="24"/>
            <w:lang w:val="lt-LT"/>
          </w:rPr>
          <w:t>https://doi.org/10.1016/j.geoforum.2009.03.009</w:t>
        </w:r>
      </w:hyperlink>
      <w:r w:rsidR="002204DB" w:rsidRPr="00F9293C">
        <w:rPr>
          <w:sz w:val="24"/>
          <w:lang w:val="lt-LT"/>
        </w:rPr>
        <w:t>.</w:t>
      </w:r>
    </w:p>
  </w:footnote>
  <w:footnote w:id="7">
    <w:p w14:paraId="1A580DCF" w14:textId="372E00B6" w:rsidR="002204DB" w:rsidRPr="00F9293C" w:rsidRDefault="002204DB" w:rsidP="00F9293C">
      <w:pPr>
        <w:pStyle w:val="FootnoteText"/>
        <w:ind w:left="567" w:hanging="567"/>
        <w:rPr>
          <w:sz w:val="24"/>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r w:rsidRPr="00F9293C">
        <w:rPr>
          <w:sz w:val="24"/>
          <w:lang w:val="lt-LT"/>
        </w:rPr>
        <w:t>Žr., pavyzdžiui:</w:t>
      </w:r>
      <w:r w:rsidRPr="00F9293C">
        <w:rPr>
          <w:sz w:val="24"/>
          <w:lang w:val="lt-LT"/>
        </w:rPr>
        <w:br/>
      </w:r>
      <w:hyperlink r:id="rId18" w:tgtFrame="_blank" w:tooltip="Nuolatinė nuoroda naudojant skaitmeninį objekto identifikatorių" w:history="1">
        <w:r w:rsidRPr="00F9293C">
          <w:rPr>
            <w:rStyle w:val="Hyperlink"/>
            <w:sz w:val="24"/>
            <w:lang w:val="lt-LT"/>
          </w:rPr>
          <w:t>https://doi.org/10.1016/j.mrrev.2019.02.001</w:t>
        </w:r>
      </w:hyperlink>
      <w:r w:rsidRPr="00F9293C">
        <w:rPr>
          <w:sz w:val="24"/>
          <w:lang w:val="lt-LT"/>
        </w:rPr>
        <w:t>,</w:t>
      </w:r>
      <w:r w:rsidRPr="00F9293C">
        <w:rPr>
          <w:sz w:val="24"/>
          <w:lang w:val="lt-LT"/>
        </w:rPr>
        <w:br/>
      </w:r>
      <w:hyperlink r:id="rId19" w:history="1">
        <w:r w:rsidRPr="00F9293C">
          <w:rPr>
            <w:rStyle w:val="Hyperlink"/>
            <w:sz w:val="24"/>
            <w:lang w:val="lt-LT"/>
          </w:rPr>
          <w:t>https://doi.org/10.1093/ije/dyz017</w:t>
        </w:r>
      </w:hyperlink>
      <w:r w:rsidRPr="00F9293C">
        <w:rPr>
          <w:sz w:val="24"/>
          <w:lang w:val="lt-LT"/>
        </w:rPr>
        <w:t>,</w:t>
      </w:r>
      <w:r w:rsidRPr="00F9293C">
        <w:rPr>
          <w:sz w:val="24"/>
          <w:lang w:val="lt-LT"/>
        </w:rPr>
        <w:br/>
      </w:r>
      <w:hyperlink r:id="rId20" w:history="1">
        <w:r w:rsidRPr="00F9293C">
          <w:rPr>
            <w:rStyle w:val="Hyperlink"/>
            <w:sz w:val="24"/>
            <w:lang w:val="lt-LT"/>
          </w:rPr>
          <w:t>https://doi.org/10.1371/journal.pone.0219610</w:t>
        </w:r>
      </w:hyperlink>
      <w:r w:rsidRPr="00F9293C">
        <w:rPr>
          <w:sz w:val="24"/>
          <w:lang w:val="lt-LT"/>
        </w:rPr>
        <w:t xml:space="preserve"> ir</w:t>
      </w:r>
      <w:r w:rsidRPr="00F9293C">
        <w:rPr>
          <w:sz w:val="24"/>
          <w:lang w:val="lt-LT"/>
        </w:rPr>
        <w:br/>
      </w:r>
      <w:hyperlink r:id="rId21" w:history="1">
        <w:r w:rsidRPr="00F9293C">
          <w:rPr>
            <w:rStyle w:val="Hyperlink"/>
            <w:sz w:val="24"/>
            <w:lang w:val="lt-LT"/>
          </w:rPr>
          <w:t>https://doi.org/10.1186/s13045-019-0767-9</w:t>
        </w:r>
      </w:hyperlink>
      <w:r w:rsidRPr="00F9293C">
        <w:rPr>
          <w:sz w:val="24"/>
          <w:lang w:val="lt-LT"/>
        </w:rPr>
        <w:t>.</w:t>
      </w:r>
    </w:p>
  </w:footnote>
  <w:footnote w:id="8">
    <w:p w14:paraId="3F167772" w14:textId="706C4D83" w:rsidR="002204DB" w:rsidRPr="00F9293C" w:rsidRDefault="002204DB" w:rsidP="00F9293C">
      <w:pPr>
        <w:pStyle w:val="FootnoteText"/>
        <w:ind w:left="567" w:hanging="567"/>
        <w:rPr>
          <w:sz w:val="24"/>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r w:rsidRPr="00F9293C">
        <w:rPr>
          <w:sz w:val="24"/>
          <w:lang w:val="lt-LT"/>
        </w:rPr>
        <w:t xml:space="preserve">2009 m. spalio 21 d. Europos Parlamento ir Tarybos reglamentas (EB) Nr. 1107/2009 dėl augalų apsaugos produktų pateikimo į rinką ir panaikinantis Tarybos direktyvas 79/117/EEB ir 91/414/EEB (OL L 309, 2009 11 24, p. 1, ELI: </w:t>
      </w:r>
      <w:hyperlink r:id="rId22" w:tooltip="Prieiga prie dokumento suteikiama per ELI URI." w:history="1">
        <w:r w:rsidRPr="00F9293C">
          <w:rPr>
            <w:rStyle w:val="Hyperlink"/>
            <w:sz w:val="24"/>
            <w:lang w:val="lt-LT"/>
          </w:rPr>
          <w:t>http://data.europa.eu/eli/reg/2009/1107/oj</w:t>
        </w:r>
      </w:hyperlink>
      <w:r w:rsidRPr="00F9293C">
        <w:rPr>
          <w:sz w:val="24"/>
          <w:lang w:val="lt-LT"/>
        </w:rPr>
        <w:t>).</w:t>
      </w:r>
    </w:p>
  </w:footnote>
  <w:footnote w:id="9">
    <w:p w14:paraId="5BF1218F" w14:textId="0D5EA83C" w:rsidR="002204DB" w:rsidRPr="00F9293C" w:rsidRDefault="002204DB" w:rsidP="00F9293C">
      <w:pPr>
        <w:pStyle w:val="FootnoteText"/>
        <w:ind w:left="567" w:hanging="567"/>
        <w:rPr>
          <w:sz w:val="24"/>
          <w:lang w:val="lt-LT"/>
        </w:rPr>
      </w:pPr>
      <w:r w:rsidRPr="00F9293C">
        <w:rPr>
          <w:rStyle w:val="FootnoteReference"/>
          <w:sz w:val="24"/>
          <w:lang w:val="lt-LT"/>
        </w:rPr>
        <w:footnoteRef/>
      </w:r>
      <w:r w:rsidR="00F9293C" w:rsidRPr="00F9293C">
        <w:rPr>
          <w:color w:val="000000" w:themeColor="text1"/>
          <w:sz w:val="24"/>
          <w:lang w:val="lt-LT"/>
        </w:rPr>
        <w:t xml:space="preserve"> </w:t>
      </w:r>
      <w:r w:rsidR="00F9293C" w:rsidRPr="00F9293C">
        <w:rPr>
          <w:color w:val="000000" w:themeColor="text1"/>
          <w:sz w:val="24"/>
          <w:lang w:val="lt-LT"/>
        </w:rPr>
        <w:tab/>
      </w:r>
      <w:r w:rsidRPr="00F9293C">
        <w:rPr>
          <w:color w:val="000000" w:themeColor="text1"/>
          <w:sz w:val="24"/>
          <w:lang w:val="lt-LT"/>
        </w:rPr>
        <w:t>2022 m. gruodžio mėn. Jungtinių Tautų biologinės įvairovės konvencijos COP15 metu susitarta dėl pasaulinės biologinės įvairovės strategijos, į kurią įtrauktas pasaulinis tikslas iki 2030 m. bent 50</w:t>
      </w:r>
      <w:r w:rsidRPr="00F9293C">
        <w:rPr>
          <w:sz w:val="24"/>
          <w:lang w:val="lt-LT"/>
        </w:rPr>
        <w:t> </w:t>
      </w:r>
      <w:r w:rsidRPr="00F9293C">
        <w:rPr>
          <w:color w:val="000000" w:themeColor="text1"/>
          <w:sz w:val="24"/>
          <w:lang w:val="lt-LT"/>
        </w:rPr>
        <w:t xml:space="preserve">proc. sumažinti pesticidų keliamą riziką (žr. </w:t>
      </w:r>
      <w:hyperlink r:id="rId23" w:history="1">
        <w:r w:rsidRPr="00F9293C">
          <w:rPr>
            <w:rStyle w:val="Hyperlink"/>
            <w:sz w:val="24"/>
            <w:lang w:val="lt-LT"/>
          </w:rPr>
          <w:t>https://ec.europa.eu/commission/presscorner/detail/lt/ip_22_7834</w:t>
        </w:r>
      </w:hyperlink>
      <w:r w:rsidRPr="00F9293C">
        <w:rPr>
          <w:sz w:val="24"/>
          <w:lang w:val="lt-LT"/>
        </w:rPr>
        <w:t xml:space="preserve">). </w:t>
      </w:r>
    </w:p>
  </w:footnote>
  <w:footnote w:id="10">
    <w:p w14:paraId="4CA16049" w14:textId="1FF939C8" w:rsidR="002204DB" w:rsidRPr="00F9293C" w:rsidRDefault="002204DB" w:rsidP="00F9293C">
      <w:pPr>
        <w:pStyle w:val="FootnoteText"/>
        <w:ind w:left="567" w:hanging="567"/>
        <w:rPr>
          <w:sz w:val="24"/>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hyperlink r:id="rId24" w:history="1">
        <w:r w:rsidRPr="00F9293C">
          <w:rPr>
            <w:rStyle w:val="Hyperlink"/>
            <w:sz w:val="24"/>
            <w:lang w:val="lt-LT"/>
          </w:rPr>
          <w:t>https://commission.europa.eu/topics/agriculture-and-rural-development/strategic-dialogue-future-eu-agriculture_lt</w:t>
        </w:r>
      </w:hyperlink>
      <w:r w:rsidRPr="00F9293C">
        <w:rPr>
          <w:rStyle w:val="Hyperlink"/>
          <w:sz w:val="24"/>
          <w:lang w:val="lt-LT"/>
        </w:rPr>
        <w:t>.</w:t>
      </w:r>
      <w:r w:rsidRPr="00F9293C">
        <w:rPr>
          <w:sz w:val="24"/>
          <w:lang w:val="lt-LT"/>
        </w:rPr>
        <w:t xml:space="preserve"> </w:t>
      </w:r>
    </w:p>
  </w:footnote>
  <w:footnote w:id="11">
    <w:p w14:paraId="65F7BB97" w14:textId="3F43A837" w:rsidR="002204DB" w:rsidRPr="00F9293C" w:rsidRDefault="002204DB" w:rsidP="00F9293C">
      <w:pPr>
        <w:pStyle w:val="FootnoteText"/>
        <w:ind w:left="567" w:hanging="567"/>
        <w:rPr>
          <w:sz w:val="24"/>
          <w:lang w:val="lt-LT"/>
        </w:rPr>
      </w:pPr>
      <w:r w:rsidRPr="00F9293C">
        <w:rPr>
          <w:rStyle w:val="FootnoteReference"/>
          <w:sz w:val="24"/>
          <w:lang w:val="lt-LT"/>
        </w:rPr>
        <w:footnoteRef/>
      </w:r>
      <w:r w:rsidR="00F9293C" w:rsidRPr="00F9293C">
        <w:rPr>
          <w:sz w:val="24"/>
          <w:lang w:val="lt-LT"/>
        </w:rPr>
        <w:t xml:space="preserve"> </w:t>
      </w:r>
      <w:r w:rsidR="00F9293C" w:rsidRPr="00F9293C">
        <w:rPr>
          <w:sz w:val="24"/>
          <w:lang w:val="lt-LT"/>
        </w:rPr>
        <w:tab/>
      </w:r>
      <w:r w:rsidRPr="00F9293C">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25" w:tgtFrame="Gives%20access%20to%20this%20document%20through%20its%20ELI%20URI." w:history="1">
        <w:r w:rsidRPr="00F9293C">
          <w:rPr>
            <w:rStyle w:val="Hyperlink"/>
            <w:sz w:val="24"/>
            <w:lang w:val="lt-LT"/>
          </w:rPr>
          <w:t>http://data.europa.eu/eli/reg/2002/178/oj</w:t>
        </w:r>
      </w:hyperlink>
      <w:r w:rsidRPr="00F9293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8AAF" w14:textId="77777777" w:rsidR="00064002" w:rsidRPr="00F929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C3052" w14:textId="77777777" w:rsidR="00064002" w:rsidRPr="00F929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6C830" w14:textId="77777777" w:rsidR="00064002" w:rsidRPr="00F929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9044437">
    <w:abstractNumId w:val="9"/>
  </w:num>
  <w:num w:numId="2" w16cid:durableId="1976637283">
    <w:abstractNumId w:val="9"/>
  </w:num>
  <w:num w:numId="3" w16cid:durableId="1838764084">
    <w:abstractNumId w:val="7"/>
  </w:num>
  <w:num w:numId="4" w16cid:durableId="1171020405">
    <w:abstractNumId w:val="7"/>
  </w:num>
  <w:num w:numId="5" w16cid:durableId="208420270">
    <w:abstractNumId w:val="6"/>
  </w:num>
  <w:num w:numId="6" w16cid:durableId="721489811">
    <w:abstractNumId w:val="6"/>
  </w:num>
  <w:num w:numId="7" w16cid:durableId="946429014">
    <w:abstractNumId w:val="5"/>
  </w:num>
  <w:num w:numId="8" w16cid:durableId="595862837">
    <w:abstractNumId w:val="5"/>
  </w:num>
  <w:num w:numId="9" w16cid:durableId="1456677921">
    <w:abstractNumId w:val="4"/>
  </w:num>
  <w:num w:numId="10" w16cid:durableId="1661543170">
    <w:abstractNumId w:val="4"/>
  </w:num>
  <w:num w:numId="11" w16cid:durableId="1012688629">
    <w:abstractNumId w:val="8"/>
  </w:num>
  <w:num w:numId="12" w16cid:durableId="685400276">
    <w:abstractNumId w:val="8"/>
  </w:num>
  <w:num w:numId="13" w16cid:durableId="1710909390">
    <w:abstractNumId w:val="3"/>
  </w:num>
  <w:num w:numId="14" w16cid:durableId="1843734715">
    <w:abstractNumId w:val="3"/>
  </w:num>
  <w:num w:numId="15" w16cid:durableId="494228152">
    <w:abstractNumId w:val="2"/>
  </w:num>
  <w:num w:numId="16" w16cid:durableId="1140610287">
    <w:abstractNumId w:val="2"/>
  </w:num>
  <w:num w:numId="17" w16cid:durableId="1918787108">
    <w:abstractNumId w:val="1"/>
  </w:num>
  <w:num w:numId="18" w16cid:durableId="1966347288">
    <w:abstractNumId w:val="1"/>
  </w:num>
  <w:num w:numId="19" w16cid:durableId="1853908222">
    <w:abstractNumId w:val="0"/>
  </w:num>
  <w:num w:numId="20" w16cid:durableId="542983886">
    <w:abstractNumId w:val="0"/>
  </w:num>
  <w:num w:numId="21" w16cid:durableId="555164871">
    <w:abstractNumId w:val="9"/>
  </w:num>
  <w:num w:numId="22" w16cid:durableId="222789342">
    <w:abstractNumId w:val="7"/>
  </w:num>
  <w:num w:numId="23" w16cid:durableId="936518159">
    <w:abstractNumId w:val="6"/>
  </w:num>
  <w:num w:numId="24" w16cid:durableId="1369641909">
    <w:abstractNumId w:val="5"/>
  </w:num>
  <w:num w:numId="25" w16cid:durableId="1091973208">
    <w:abstractNumId w:val="4"/>
  </w:num>
  <w:num w:numId="26" w16cid:durableId="1003244169">
    <w:abstractNumId w:val="8"/>
  </w:num>
  <w:num w:numId="27" w16cid:durableId="538395226">
    <w:abstractNumId w:val="3"/>
  </w:num>
  <w:num w:numId="28" w16cid:durableId="1570378881">
    <w:abstractNumId w:val="2"/>
  </w:num>
  <w:num w:numId="29" w16cid:durableId="1348406732">
    <w:abstractNumId w:val="1"/>
  </w:num>
  <w:num w:numId="30" w16cid:durableId="1919363439">
    <w:abstractNumId w:val="0"/>
  </w:num>
  <w:num w:numId="31" w16cid:durableId="739671904">
    <w:abstractNumId w:val="9"/>
  </w:num>
  <w:num w:numId="32" w16cid:durableId="329676378">
    <w:abstractNumId w:val="7"/>
  </w:num>
  <w:num w:numId="33" w16cid:durableId="1229148806">
    <w:abstractNumId w:val="6"/>
  </w:num>
  <w:num w:numId="34" w16cid:durableId="1860924694">
    <w:abstractNumId w:val="5"/>
  </w:num>
  <w:num w:numId="35" w16cid:durableId="1673336575">
    <w:abstractNumId w:val="4"/>
  </w:num>
  <w:num w:numId="36" w16cid:durableId="1247499815">
    <w:abstractNumId w:val="8"/>
  </w:num>
  <w:num w:numId="37" w16cid:durableId="2082023744">
    <w:abstractNumId w:val="3"/>
  </w:num>
  <w:num w:numId="38" w16cid:durableId="1456486655">
    <w:abstractNumId w:val="2"/>
  </w:num>
  <w:num w:numId="39" w16cid:durableId="657000165">
    <w:abstractNumId w:val="1"/>
  </w:num>
  <w:num w:numId="40" w16cid:durableId="15693827">
    <w:abstractNumId w:val="0"/>
  </w:num>
  <w:num w:numId="41" w16cid:durableId="2132507035">
    <w:abstractNumId w:val="10"/>
  </w:num>
  <w:num w:numId="42" w16cid:durableId="1240604056">
    <w:abstractNumId w:val="10"/>
  </w:num>
  <w:num w:numId="43" w16cid:durableId="1488789301">
    <w:abstractNumId w:val="10"/>
  </w:num>
  <w:num w:numId="44" w16cid:durableId="504902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LT"/>
    <w:docVar w:name="dvnumam" w:val="0"/>
    <w:docVar w:name="dvpe" w:val="779.398"/>
    <w:docVar w:name="dvtitre" w:val="2025 m. gruodzio 16 d. Europos Parlamento sprendimas dėl Komisijos įgyvendinimo sprendimo, kuriuo pagal Europos Parlamento ir Tarybos reglamentą (EB) Nr. 1829/2003 leidžiama pateikti rinkai maisto produktus, maisto sudedamąsias dalis ir pašarus, pagamintus iš genetiškai modifikuotų cukrinių runkelių KWS20-1, projekto(D110122/02 – 2025/2959(RSP))"/>
  </w:docVars>
  <w:rsids>
    <w:rsidRoot w:val="00E249A9"/>
    <w:rsid w:val="00002272"/>
    <w:rsid w:val="00064002"/>
    <w:rsid w:val="000677B9"/>
    <w:rsid w:val="000831BA"/>
    <w:rsid w:val="000A42CC"/>
    <w:rsid w:val="000E7DD9"/>
    <w:rsid w:val="0010095E"/>
    <w:rsid w:val="00125B37"/>
    <w:rsid w:val="00187494"/>
    <w:rsid w:val="001B126D"/>
    <w:rsid w:val="001F32AE"/>
    <w:rsid w:val="002204DB"/>
    <w:rsid w:val="002767FF"/>
    <w:rsid w:val="002B18FE"/>
    <w:rsid w:val="002B5493"/>
    <w:rsid w:val="00323E5F"/>
    <w:rsid w:val="00343214"/>
    <w:rsid w:val="00361C00"/>
    <w:rsid w:val="00395FA1"/>
    <w:rsid w:val="003E15D4"/>
    <w:rsid w:val="00411CCE"/>
    <w:rsid w:val="0041666E"/>
    <w:rsid w:val="00421060"/>
    <w:rsid w:val="00454496"/>
    <w:rsid w:val="00471C19"/>
    <w:rsid w:val="004867E3"/>
    <w:rsid w:val="00494A28"/>
    <w:rsid w:val="004C0004"/>
    <w:rsid w:val="004C5D52"/>
    <w:rsid w:val="0050519A"/>
    <w:rsid w:val="005072A1"/>
    <w:rsid w:val="005144D6"/>
    <w:rsid w:val="00514517"/>
    <w:rsid w:val="00545827"/>
    <w:rsid w:val="00560270"/>
    <w:rsid w:val="005C2568"/>
    <w:rsid w:val="005C6E6D"/>
    <w:rsid w:val="005D7542"/>
    <w:rsid w:val="005F1B17"/>
    <w:rsid w:val="006037C0"/>
    <w:rsid w:val="006631B6"/>
    <w:rsid w:val="00680577"/>
    <w:rsid w:val="006F74FA"/>
    <w:rsid w:val="00731ADD"/>
    <w:rsid w:val="00734777"/>
    <w:rsid w:val="00744D2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342"/>
    <w:rsid w:val="00A1687D"/>
    <w:rsid w:val="00A43E52"/>
    <w:rsid w:val="00A4678D"/>
    <w:rsid w:val="00A778C7"/>
    <w:rsid w:val="00AB441E"/>
    <w:rsid w:val="00AB4FC4"/>
    <w:rsid w:val="00AB6293"/>
    <w:rsid w:val="00AE0928"/>
    <w:rsid w:val="00AF3B82"/>
    <w:rsid w:val="00B12E95"/>
    <w:rsid w:val="00B22876"/>
    <w:rsid w:val="00B558F0"/>
    <w:rsid w:val="00BD48FE"/>
    <w:rsid w:val="00BD7BD8"/>
    <w:rsid w:val="00BE240C"/>
    <w:rsid w:val="00BE6ADC"/>
    <w:rsid w:val="00C05BFE"/>
    <w:rsid w:val="00C23CD4"/>
    <w:rsid w:val="00C61C0C"/>
    <w:rsid w:val="00C941CB"/>
    <w:rsid w:val="00CC2357"/>
    <w:rsid w:val="00CF071A"/>
    <w:rsid w:val="00D058B8"/>
    <w:rsid w:val="00D3252A"/>
    <w:rsid w:val="00D56C11"/>
    <w:rsid w:val="00D834A0"/>
    <w:rsid w:val="00D872DF"/>
    <w:rsid w:val="00D91E21"/>
    <w:rsid w:val="00DA7FCD"/>
    <w:rsid w:val="00DB4AF9"/>
    <w:rsid w:val="00E249A9"/>
    <w:rsid w:val="00E365E1"/>
    <w:rsid w:val="00E820A4"/>
    <w:rsid w:val="00E87C70"/>
    <w:rsid w:val="00EB006A"/>
    <w:rsid w:val="00EB4772"/>
    <w:rsid w:val="00ED169E"/>
    <w:rsid w:val="00ED4235"/>
    <w:rsid w:val="00F04346"/>
    <w:rsid w:val="00F075DC"/>
    <w:rsid w:val="00F149E9"/>
    <w:rsid w:val="00F5134D"/>
    <w:rsid w:val="00F74202"/>
    <w:rsid w:val="00F87713"/>
    <w:rsid w:val="00F9293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2D37C"/>
  <w15:chartTrackingRefBased/>
  <w15:docId w15:val="{0ED6FB24-32C9-4B47-A8AF-3CC2CC47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204DB"/>
    <w:pPr>
      <w:spacing w:before="480" w:after="240"/>
    </w:pPr>
  </w:style>
  <w:style w:type="paragraph" w:customStyle="1" w:styleId="NormalHanging12a">
    <w:name w:val="NormalHanging12a"/>
    <w:basedOn w:val="Normal"/>
    <w:uiPriority w:val="99"/>
    <w:qFormat/>
    <w:rsid w:val="002204DB"/>
    <w:pPr>
      <w:spacing w:after="240"/>
      <w:ind w:left="567" w:hanging="567"/>
    </w:pPr>
  </w:style>
  <w:style w:type="character" w:styleId="Hyperlink">
    <w:name w:val="Hyperlink"/>
    <w:basedOn w:val="DefaultParagraphFont"/>
    <w:uiPriority w:val="99"/>
    <w:rsid w:val="002204DB"/>
    <w:rPr>
      <w:color w:val="0563C1" w:themeColor="hyperlink"/>
      <w:u w:val="single"/>
    </w:rPr>
  </w:style>
  <w:style w:type="paragraph" w:styleId="NormalWeb">
    <w:name w:val="Normal (Web)"/>
    <w:basedOn w:val="Normal"/>
    <w:uiPriority w:val="99"/>
    <w:unhideWhenUsed/>
    <w:rsid w:val="002204DB"/>
    <w:pPr>
      <w:widowControl/>
      <w:spacing w:before="100" w:beforeAutospacing="1" w:after="100" w:afterAutospacing="1"/>
    </w:pPr>
    <w:rPr>
      <w:szCs w:val="24"/>
    </w:rPr>
  </w:style>
  <w:style w:type="paragraph" w:styleId="Revision">
    <w:name w:val="Revision"/>
    <w:hidden/>
    <w:uiPriority w:val="99"/>
    <w:semiHidden/>
    <w:rsid w:val="00E87C7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lt"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lt/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9427</Characters>
  <Application>Microsoft Office Word</Application>
  <DocSecurity>0</DocSecurity>
  <Lines>78</Lines>
  <Paragraphs>21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P10_TA(2025)0000</vt:lpstr>
      <vt:lpstr>    Genetiškai modifikuoti cukriniai runkeliai KWS20-1</vt:lpstr>
      <vt:lpstr>        2025 m. gruodžio 16 d. Europos Parlamento sprendimas dėl Komisijos įgyvendinimo </vt:lpstr>
      <vt:lpstr>        </vt:lpstr>
    </vt:vector>
  </TitlesOfParts>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2026-01-28T11:10:00Z</dcterms:created>
  <dcterms:modified xsi:type="dcterms:W3CDTF">2026-01-28T11:10:00Z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B10-0559/2025</vt:lpwstr>
  </property>
  <property fmtid="{D5CDD505-2E9C-101B-9397-08002B2CF9AE}" pid="4" name="&lt;Type&gt;">
    <vt:lpwstr>RR</vt:lpwstr>
  </property>
</Properties>
</file>