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50AB" w14:paraId="02AE7D0F" w14:textId="77777777" w:rsidTr="0010095E">
        <w:trPr>
          <w:trHeight w:hRule="exact" w:val="1418"/>
        </w:trPr>
        <w:tc>
          <w:tcPr>
            <w:tcW w:w="6804" w:type="dxa"/>
            <w:shd w:val="clear" w:color="auto" w:fill="auto"/>
            <w:vAlign w:val="center"/>
          </w:tcPr>
          <w:p w14:paraId="6CFD9297" w14:textId="77777777" w:rsidR="00751A4A" w:rsidRPr="002D50AB" w:rsidRDefault="008B4F03" w:rsidP="0010095E">
            <w:pPr>
              <w:pStyle w:val="EPName"/>
            </w:pPr>
            <w:r w:rsidRPr="002D50AB">
              <w:t>Eiropas Parlaments</w:t>
            </w:r>
          </w:p>
          <w:p w14:paraId="56EDAECE" w14:textId="77777777" w:rsidR="00751A4A" w:rsidRPr="002D50AB" w:rsidRDefault="005F1B17" w:rsidP="005F1B17">
            <w:pPr>
              <w:pStyle w:val="EPTerm"/>
              <w:rPr>
                <w:rStyle w:val="HideTWBExt"/>
                <w:noProof w:val="0"/>
                <w:vanish w:val="0"/>
                <w:color w:val="auto"/>
              </w:rPr>
            </w:pPr>
            <w:r w:rsidRPr="002D50AB">
              <w:t>2024</w:t>
            </w:r>
            <w:r w:rsidR="00817416" w:rsidRPr="002D50AB">
              <w:t>-202</w:t>
            </w:r>
            <w:r w:rsidRPr="002D50AB">
              <w:t>9</w:t>
            </w:r>
          </w:p>
        </w:tc>
        <w:tc>
          <w:tcPr>
            <w:tcW w:w="2268" w:type="dxa"/>
            <w:shd w:val="clear" w:color="auto" w:fill="auto"/>
          </w:tcPr>
          <w:p w14:paraId="7757E9BA" w14:textId="77777777" w:rsidR="00751A4A" w:rsidRPr="002D50AB" w:rsidRDefault="00187494" w:rsidP="0010095E">
            <w:pPr>
              <w:pStyle w:val="EPLogo"/>
            </w:pPr>
            <w:r w:rsidRPr="002D50AB">
              <w:rPr>
                <w:noProof/>
                <w:lang w:eastAsia="ja-JP"/>
              </w:rPr>
              <w:drawing>
                <wp:inline distT="0" distB="0" distL="0" distR="0" wp14:anchorId="02BBC48E" wp14:editId="787026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005EEB" w14:textId="77777777" w:rsidR="00D058B8" w:rsidRPr="002D50AB" w:rsidRDefault="00D058B8" w:rsidP="004C5D52">
      <w:pPr>
        <w:pStyle w:val="LineTop"/>
      </w:pPr>
    </w:p>
    <w:p w14:paraId="58465F99" w14:textId="77777777" w:rsidR="00680577" w:rsidRPr="002D50AB" w:rsidRDefault="008B4F03" w:rsidP="00680577">
      <w:pPr>
        <w:pStyle w:val="EPBodyTA1"/>
      </w:pPr>
      <w:r w:rsidRPr="002D50AB">
        <w:t>PIEŅEMTIE TEKSTI</w:t>
      </w:r>
    </w:p>
    <w:p w14:paraId="1ECE55AA" w14:textId="77777777" w:rsidR="00D058B8" w:rsidRPr="002D50AB" w:rsidRDefault="00D058B8" w:rsidP="00D058B8">
      <w:pPr>
        <w:pStyle w:val="LineBottom"/>
      </w:pPr>
    </w:p>
    <w:p w14:paraId="6CB90F81" w14:textId="2BEACC1A" w:rsidR="008B4F03" w:rsidRPr="002D50AB" w:rsidRDefault="008B4F03" w:rsidP="008B4F03">
      <w:pPr>
        <w:pStyle w:val="ATHeading1"/>
      </w:pPr>
      <w:bookmarkStart w:id="0" w:name="TANumber"/>
      <w:r w:rsidRPr="002D50AB">
        <w:t>P10_TA(2025)0</w:t>
      </w:r>
      <w:bookmarkEnd w:id="0"/>
      <w:r w:rsidR="002D50AB" w:rsidRPr="002D50AB">
        <w:t>328</w:t>
      </w:r>
    </w:p>
    <w:p w14:paraId="70140E32" w14:textId="215BEB5B" w:rsidR="008B4F03" w:rsidRPr="002D50AB" w:rsidRDefault="00964AF4" w:rsidP="008B4F03">
      <w:pPr>
        <w:pStyle w:val="ATHeading2"/>
      </w:pPr>
      <w:bookmarkStart w:id="1" w:name="title"/>
      <w:r w:rsidRPr="002D50AB">
        <w:t>Ģ</w:t>
      </w:r>
      <w:r w:rsidR="008B4F03" w:rsidRPr="002D50AB">
        <w:t>enētiski modificētās</w:t>
      </w:r>
      <w:r w:rsidRPr="002D50AB">
        <w:t xml:space="preserve"> </w:t>
      </w:r>
      <w:r w:rsidR="008B4F03" w:rsidRPr="002D50AB">
        <w:t>cukurbietes KWS20-1</w:t>
      </w:r>
      <w:bookmarkEnd w:id="1"/>
    </w:p>
    <w:p w14:paraId="4C719617" w14:textId="77777777" w:rsidR="008B4F03" w:rsidRPr="002D50AB" w:rsidRDefault="008B4F03" w:rsidP="008B4F03">
      <w:pPr>
        <w:rPr>
          <w:i/>
          <w:vanish/>
        </w:rPr>
      </w:pPr>
      <w:r w:rsidRPr="002D50AB">
        <w:rPr>
          <w:i/>
        </w:rPr>
        <w:fldChar w:fldCharType="begin"/>
      </w:r>
      <w:r w:rsidRPr="002D50AB">
        <w:rPr>
          <w:i/>
        </w:rPr>
        <w:instrText xml:space="preserve"> TC"(</w:instrText>
      </w:r>
      <w:bookmarkStart w:id="2" w:name="DocNumber"/>
      <w:r w:rsidRPr="002D50AB">
        <w:rPr>
          <w:i/>
        </w:rPr>
        <w:instrText>B10-0559/2025</w:instrText>
      </w:r>
      <w:bookmarkEnd w:id="2"/>
      <w:r w:rsidRPr="002D50AB">
        <w:rPr>
          <w:i/>
        </w:rPr>
        <w:instrText xml:space="preserve">)"\l3 \n&gt; \* MERGEFORMAT </w:instrText>
      </w:r>
      <w:r w:rsidRPr="002D50AB">
        <w:rPr>
          <w:i/>
        </w:rPr>
        <w:fldChar w:fldCharType="end"/>
      </w:r>
    </w:p>
    <w:p w14:paraId="3C97C8FF" w14:textId="77777777" w:rsidR="008B4F03" w:rsidRPr="002D50AB" w:rsidRDefault="008B4F03" w:rsidP="008B4F03">
      <w:pPr>
        <w:rPr>
          <w:vanish/>
        </w:rPr>
      </w:pPr>
      <w:bookmarkStart w:id="3" w:name="PE"/>
      <w:r w:rsidRPr="002D50AB">
        <w:rPr>
          <w:vanish/>
        </w:rPr>
        <w:t>PE779.398</w:t>
      </w:r>
      <w:bookmarkEnd w:id="3"/>
    </w:p>
    <w:p w14:paraId="2606B3E8" w14:textId="5DA26AA4" w:rsidR="008B4F03" w:rsidRPr="002D50AB" w:rsidRDefault="008B4F03" w:rsidP="008B4F03">
      <w:pPr>
        <w:pStyle w:val="ATHeading3"/>
      </w:pPr>
      <w:bookmarkStart w:id="4" w:name="Sujet"/>
      <w:r w:rsidRPr="002D50AB">
        <w:t xml:space="preserve">Eiropas Parlamenta 2025. gada </w:t>
      </w:r>
      <w:r w:rsidR="00964AF4" w:rsidRPr="002D50AB">
        <w:t>16</w:t>
      </w:r>
      <w:r w:rsidRPr="002D50AB">
        <w:t xml:space="preserve">. </w:t>
      </w:r>
      <w:r w:rsidR="00964AF4" w:rsidRPr="002D50AB">
        <w:t>decembra</w:t>
      </w:r>
      <w:r w:rsidRPr="002D50AB">
        <w:t xml:space="preserve"> rezolūcija par projektu Komisijas īstenošanas lēmumam, ar kuru atbilstoši Eiropas Parlamenta un Padomes Regulai (EK) Nr.</w:t>
      </w:r>
      <w:r w:rsidR="00FB7520" w:rsidRPr="002D50AB">
        <w:t> </w:t>
      </w:r>
      <w:r w:rsidRPr="002D50AB">
        <w:t>1829/2003 atļauj laist tirgū no ģenētiski modificētām cukurbietēm KWS20-1 ražotus pārtikas produktus, pārtikas sastāvdaļas un dzīvnieku barību</w:t>
      </w:r>
      <w:bookmarkEnd w:id="4"/>
      <w:r w:rsidRPr="002D50AB">
        <w:t xml:space="preserve"> </w:t>
      </w:r>
      <w:bookmarkStart w:id="5" w:name="References"/>
      <w:r w:rsidRPr="002D50AB">
        <w:t>(D110122/02 – 2025/2959(RSP))</w:t>
      </w:r>
      <w:bookmarkEnd w:id="5"/>
    </w:p>
    <w:p w14:paraId="01CC8170" w14:textId="77777777" w:rsidR="001C0F3F" w:rsidRPr="002D50AB" w:rsidRDefault="001C0F3F" w:rsidP="001C0F3F">
      <w:pPr>
        <w:pStyle w:val="EPComma"/>
      </w:pPr>
      <w:bookmarkStart w:id="6" w:name="TextBodyBegin"/>
      <w:bookmarkEnd w:id="6"/>
      <w:r w:rsidRPr="002D50AB">
        <w:rPr>
          <w:i/>
          <w:iCs/>
        </w:rPr>
        <w:t>Eiropas Parlaments</w:t>
      </w:r>
      <w:r w:rsidRPr="002D50AB">
        <w:t>,</w:t>
      </w:r>
    </w:p>
    <w:p w14:paraId="1D8E61C8" w14:textId="77777777" w:rsidR="001C0F3F" w:rsidRPr="002D50AB" w:rsidRDefault="001C0F3F" w:rsidP="001C0F3F">
      <w:pPr>
        <w:pStyle w:val="NormalHanging12a"/>
      </w:pPr>
      <w:r w:rsidRPr="002D50AB">
        <w:t>–</w:t>
      </w:r>
      <w:r w:rsidRPr="002D50AB">
        <w:tab/>
        <w:t>ņemot vērā projektu Komisijas īstenošanas lēmumam, ar kuru atbilstoši Eiropas Parlamenta un Padomes Regulai (EK) Nr. 1829/2003 atļauj laist tirgū no ģenētiski modificētām cukurbietēm KWS20-1 ražotus pārtikas produktus, pārtikas sastāvdaļas un dzīvnieku barību (D110122/02),</w:t>
      </w:r>
    </w:p>
    <w:p w14:paraId="7A4A030E" w14:textId="77777777" w:rsidR="001C0F3F" w:rsidRPr="002D50AB" w:rsidRDefault="001C0F3F" w:rsidP="001C0F3F">
      <w:pPr>
        <w:pStyle w:val="NormalHanging12a"/>
      </w:pPr>
      <w:r w:rsidRPr="002D50AB">
        <w:t>–</w:t>
      </w:r>
      <w:r w:rsidRPr="002D50AB">
        <w:tab/>
        <w:t>ņemot vērā Eiropas Parlamenta un Padomes 2003. gada 22. septembra Regulu (EK) Nr. 1829/2003 par ģenētiski modificētu pārtiku un barību</w:t>
      </w:r>
      <w:r w:rsidRPr="002D50AB">
        <w:rPr>
          <w:vertAlign w:val="superscript"/>
        </w:rPr>
        <w:footnoteReference w:id="1"/>
      </w:r>
      <w:r w:rsidRPr="002D50AB">
        <w:t xml:space="preserve"> un jo īpaši tās 7. panta 3. punktu un 19. panta 3. punktu,</w:t>
      </w:r>
    </w:p>
    <w:p w14:paraId="04643949" w14:textId="328DA771" w:rsidR="001C0F3F" w:rsidRPr="002D50AB" w:rsidRDefault="001C0F3F" w:rsidP="001C0F3F">
      <w:pPr>
        <w:pStyle w:val="NormalHanging12a"/>
      </w:pPr>
      <w:r w:rsidRPr="002D50AB">
        <w:t>–</w:t>
      </w:r>
      <w:r w:rsidRPr="002D50AB">
        <w:tab/>
        <w:t>ņemot vērā Regulas (EK) Nr. 1829/2003 35. pantā minētās Augu, dzīvnieku, pārtikas aprites un dzīvnieku barības pastāvīgās komitejas 2025. gada 14. oktobra balsojumu, kura rezultātā atzinums netika sniegts,</w:t>
      </w:r>
      <w:r w:rsidR="00CA6E24" w:rsidRPr="002D50AB">
        <w:t xml:space="preserve"> </w:t>
      </w:r>
      <w:r w:rsidR="00CA6E24" w:rsidRPr="002D50AB">
        <w:t>un pārsūdzības komitejas 2025. gada 28.</w:t>
      </w:r>
      <w:r w:rsidR="00CA6E24" w:rsidRPr="002D50AB">
        <w:t> </w:t>
      </w:r>
      <w:r w:rsidR="00CA6E24" w:rsidRPr="002D50AB">
        <w:t>novembra balsojumu, kurā atzinums atkal netika sniegts,</w:t>
      </w:r>
    </w:p>
    <w:p w14:paraId="13F6491D" w14:textId="77777777" w:rsidR="001C0F3F" w:rsidRPr="002D50AB" w:rsidRDefault="001C0F3F" w:rsidP="001C0F3F">
      <w:pPr>
        <w:pStyle w:val="NormalHanging12a"/>
        <w:widowControl/>
      </w:pPr>
      <w:r w:rsidRPr="002D50AB">
        <w:t>–</w:t>
      </w:r>
      <w:r w:rsidRPr="002D50AB">
        <w:tab/>
        <w:t>ņemot vērā 11. pantu Eiropas Parlamenta un Padomes 2011. gada 16. februāra Regulā (ES) Nr. 182/2011, ar ko nosaka normas un vispārīgus principus par dalībvalstu kontroles mehānismiem, kuri attiecas uz Komisijas īstenošanas pilnvaru izmantošanu</w:t>
      </w:r>
      <w:r w:rsidRPr="002D50AB">
        <w:rPr>
          <w:rStyle w:val="FootnoteReference"/>
          <w:szCs w:val="24"/>
        </w:rPr>
        <w:footnoteReference w:id="2"/>
      </w:r>
      <w:r w:rsidRPr="002D50AB">
        <w:t>,</w:t>
      </w:r>
    </w:p>
    <w:p w14:paraId="6A5F9BB9" w14:textId="77777777" w:rsidR="001C0F3F" w:rsidRPr="002D50AB" w:rsidRDefault="001C0F3F" w:rsidP="001C0F3F">
      <w:pPr>
        <w:pStyle w:val="NormalHanging12a"/>
      </w:pPr>
      <w:r w:rsidRPr="002D50AB">
        <w:t>–</w:t>
      </w:r>
      <w:r w:rsidRPr="002D50AB">
        <w:tab/>
        <w:t>ņemot vērā Eiropas Pārtikas nekaitīguma iestādes (</w:t>
      </w:r>
      <w:r w:rsidRPr="002D50AB">
        <w:rPr>
          <w:i/>
          <w:iCs/>
        </w:rPr>
        <w:t>EFSA</w:t>
      </w:r>
      <w:r w:rsidRPr="002D50AB">
        <w:t xml:space="preserve">) 2025. gada 26. marta </w:t>
      </w:r>
      <w:r w:rsidRPr="002D50AB">
        <w:lastRenderedPageBreak/>
        <w:t>atzinumu, kas publicēts 2025. gada 12. maijā</w:t>
      </w:r>
      <w:r w:rsidRPr="002D50AB">
        <w:rPr>
          <w:rStyle w:val="FootnoteReference"/>
        </w:rPr>
        <w:footnoteReference w:id="3"/>
      </w:r>
      <w:r w:rsidRPr="002D50AB">
        <w:t>,</w:t>
      </w:r>
    </w:p>
    <w:p w14:paraId="70E5FF44" w14:textId="77777777" w:rsidR="001C0F3F" w:rsidRPr="002D50AB" w:rsidRDefault="001C0F3F" w:rsidP="001C0F3F">
      <w:pPr>
        <w:pStyle w:val="NormalHanging12a"/>
      </w:pPr>
      <w:r w:rsidRPr="002D50AB">
        <w:t>–</w:t>
      </w:r>
      <w:r w:rsidRPr="002D50AB">
        <w:tab/>
        <w:t>ņemot vērā Parlamenta iepriekšējās rezolūcijas, kurās iebilsts pret atļauju izmantot ģenētiski modificētus organismus (ĢMO)</w:t>
      </w:r>
      <w:r w:rsidRPr="002D50AB">
        <w:rPr>
          <w:rStyle w:val="FootnoteReference"/>
        </w:rPr>
        <w:footnoteReference w:id="4"/>
      </w:r>
      <w:r w:rsidRPr="002D50AB">
        <w:t>,</w:t>
      </w:r>
    </w:p>
    <w:p w14:paraId="427EC598" w14:textId="77777777" w:rsidR="001C0F3F" w:rsidRPr="002D50AB" w:rsidRDefault="001C0F3F" w:rsidP="001C0F3F">
      <w:pPr>
        <w:pStyle w:val="NormalHanging12a"/>
      </w:pPr>
      <w:r w:rsidRPr="002D50AB">
        <w:lastRenderedPageBreak/>
        <w:t>–</w:t>
      </w:r>
      <w:r w:rsidRPr="002D50AB">
        <w:tab/>
        <w:t>ņemot vērā Reglamenta 115. panta 2. un 3. punktu,</w:t>
      </w:r>
    </w:p>
    <w:p w14:paraId="146F35A8" w14:textId="77777777" w:rsidR="001C0F3F" w:rsidRPr="002D50AB" w:rsidRDefault="001C0F3F" w:rsidP="001C0F3F">
      <w:pPr>
        <w:pStyle w:val="NormalHanging12a"/>
      </w:pPr>
      <w:r w:rsidRPr="002D50AB">
        <w:t>–</w:t>
      </w:r>
      <w:r w:rsidRPr="002D50AB">
        <w:tab/>
        <w:t>ņemot vērā Vides, klimata un pārtikas nekaitīguma komitejas rezolūcijas priekšlikumu,</w:t>
      </w:r>
    </w:p>
    <w:p w14:paraId="096A34EB" w14:textId="77777777" w:rsidR="001C0F3F" w:rsidRPr="002D50AB" w:rsidRDefault="001C0F3F" w:rsidP="001C0F3F">
      <w:pPr>
        <w:pStyle w:val="NormalHanging12a"/>
      </w:pPr>
      <w:r w:rsidRPr="002D50AB">
        <w:t>A.</w:t>
      </w:r>
      <w:r w:rsidRPr="002D50AB">
        <w:tab/>
        <w:t xml:space="preserve">tā kā 2023. gada 30. maijā Beļģijā bāzētais uzņēmums </w:t>
      </w:r>
      <w:proofErr w:type="spellStart"/>
      <w:r w:rsidRPr="002D50AB">
        <w:rPr>
          <w:i/>
          <w:iCs/>
        </w:rPr>
        <w:t>Bayer</w:t>
      </w:r>
      <w:proofErr w:type="spellEnd"/>
      <w:r w:rsidRPr="002D50AB">
        <w:rPr>
          <w:i/>
          <w:iCs/>
        </w:rPr>
        <w:t xml:space="preserve"> </w:t>
      </w:r>
      <w:proofErr w:type="spellStart"/>
      <w:r w:rsidRPr="002D50AB">
        <w:rPr>
          <w:i/>
          <w:iCs/>
        </w:rPr>
        <w:t>Agriculture</w:t>
      </w:r>
      <w:proofErr w:type="spellEnd"/>
      <w:r w:rsidRPr="002D50AB">
        <w:rPr>
          <w:i/>
          <w:iCs/>
        </w:rPr>
        <w:t xml:space="preserve"> B.V.</w:t>
      </w:r>
      <w:r w:rsidRPr="002D50AB">
        <w:t xml:space="preserve"> Amerikas Savienotajās Valstīs bāzētā uzņēmuma </w:t>
      </w:r>
      <w:proofErr w:type="spellStart"/>
      <w:r w:rsidRPr="002D50AB">
        <w:rPr>
          <w:i/>
          <w:iCs/>
        </w:rPr>
        <w:t>Bayer</w:t>
      </w:r>
      <w:proofErr w:type="spellEnd"/>
      <w:r w:rsidRPr="002D50AB">
        <w:rPr>
          <w:i/>
          <w:iCs/>
        </w:rPr>
        <w:t xml:space="preserve"> </w:t>
      </w:r>
      <w:proofErr w:type="spellStart"/>
      <w:r w:rsidRPr="002D50AB">
        <w:rPr>
          <w:i/>
          <w:iCs/>
        </w:rPr>
        <w:t>CropScience</w:t>
      </w:r>
      <w:proofErr w:type="spellEnd"/>
      <w:r w:rsidRPr="002D50AB">
        <w:rPr>
          <w:i/>
          <w:iCs/>
        </w:rPr>
        <w:t xml:space="preserve"> LP</w:t>
      </w:r>
      <w:r w:rsidRPr="002D50AB">
        <w:t xml:space="preserve"> un Vācijā bāzētā uzņēmuma </w:t>
      </w:r>
      <w:r w:rsidRPr="002D50AB">
        <w:rPr>
          <w:i/>
          <w:iCs/>
        </w:rPr>
        <w:t xml:space="preserve">KWS SAAT SE &amp; </w:t>
      </w:r>
      <w:proofErr w:type="spellStart"/>
      <w:r w:rsidRPr="002D50AB">
        <w:rPr>
          <w:i/>
          <w:iCs/>
        </w:rPr>
        <w:t>Co</w:t>
      </w:r>
      <w:proofErr w:type="spellEnd"/>
      <w:r w:rsidRPr="002D50AB">
        <w:rPr>
          <w:i/>
          <w:iCs/>
        </w:rPr>
        <w:t xml:space="preserve">. </w:t>
      </w:r>
      <w:proofErr w:type="spellStart"/>
      <w:r w:rsidRPr="002D50AB">
        <w:rPr>
          <w:i/>
          <w:iCs/>
        </w:rPr>
        <w:t>KGaA</w:t>
      </w:r>
      <w:proofErr w:type="spellEnd"/>
      <w:r w:rsidRPr="002D50AB">
        <w:t xml:space="preserve"> vārdā saskaņā ar Regulas (EK) Nr. 1829/2003 5. un 17. pantu iesniedza Nīderlandes kompetentajai iestādei pieteikumu, kurā lūgts </w:t>
      </w:r>
      <w:r w:rsidRPr="002D50AB">
        <w:lastRenderedPageBreak/>
        <w:t>atļaut laist tirgū no ģenētiski modificētām cukurbietēm KWS20-1 (“ĢM cukurbietes”) ražotus pārtikas produktus, pārtikas sastāvdaļas un dzīvnieku barību;</w:t>
      </w:r>
    </w:p>
    <w:p w14:paraId="4A7CC867" w14:textId="77777777" w:rsidR="001C0F3F" w:rsidRPr="002D50AB" w:rsidRDefault="001C0F3F" w:rsidP="001C0F3F">
      <w:pPr>
        <w:pStyle w:val="NormalHanging12a"/>
      </w:pPr>
      <w:r w:rsidRPr="002D50AB">
        <w:t>B.</w:t>
      </w:r>
      <w:r w:rsidRPr="002D50AB">
        <w:tab/>
        <w:t xml:space="preserve">tā kā 2025. gada 12. maijā </w:t>
      </w:r>
      <w:r w:rsidRPr="002D50AB">
        <w:rPr>
          <w:i/>
          <w:iCs/>
        </w:rPr>
        <w:t>EFSA</w:t>
      </w:r>
      <w:r w:rsidRPr="002D50AB">
        <w:t xml:space="preserve"> izdeva labvēlīgu zinātnisko atzinumu, kurā secināts, ka ĢM cukurbietes ir tikpat drošas kā to tradicionālie aizstājēji; tā kā minētajā atzinumā nav aplūkotas vairākas plašākas </w:t>
      </w:r>
      <w:proofErr w:type="spellStart"/>
      <w:r w:rsidRPr="002D50AB">
        <w:t>vidiskās</w:t>
      </w:r>
      <w:proofErr w:type="spellEnd"/>
      <w:r w:rsidRPr="002D50AB">
        <w:t xml:space="preserve">, sociālekonomiskās un kumulatīvās ietekmes, kuras </w:t>
      </w:r>
      <w:r w:rsidRPr="002D50AB">
        <w:rPr>
          <w:i/>
          <w:iCs/>
        </w:rPr>
        <w:t>EFSA</w:t>
      </w:r>
      <w:r w:rsidRPr="002D50AB">
        <w:t xml:space="preserve"> ieskatā neietilpst tās kompetencē;</w:t>
      </w:r>
    </w:p>
    <w:p w14:paraId="3020F7A1" w14:textId="77777777" w:rsidR="001C0F3F" w:rsidRPr="002D50AB" w:rsidRDefault="001C0F3F" w:rsidP="001C0F3F">
      <w:pPr>
        <w:pStyle w:val="NormalHanging12a"/>
      </w:pPr>
      <w:r w:rsidRPr="002D50AB">
        <w:t>C.</w:t>
      </w:r>
      <w:r w:rsidRPr="002D50AB">
        <w:tab/>
        <w:t xml:space="preserve">tā kā ĢM cukurbietes ir selekcionētas, lai nodrošinātu toleranci pret </w:t>
      </w:r>
      <w:proofErr w:type="spellStart"/>
      <w:r w:rsidRPr="002D50AB">
        <w:t>glifozāta</w:t>
      </w:r>
      <w:proofErr w:type="spellEnd"/>
      <w:r w:rsidRPr="002D50AB">
        <w:t xml:space="preserve">, </w:t>
      </w:r>
      <w:proofErr w:type="spellStart"/>
      <w:r w:rsidRPr="002D50AB">
        <w:t>dikambas</w:t>
      </w:r>
      <w:proofErr w:type="spellEnd"/>
      <w:r w:rsidRPr="002D50AB">
        <w:t xml:space="preserve"> un </w:t>
      </w:r>
      <w:proofErr w:type="spellStart"/>
      <w:r w:rsidRPr="002D50AB">
        <w:t>glufozinātamonija</w:t>
      </w:r>
      <w:proofErr w:type="spellEnd"/>
      <w:r w:rsidRPr="002D50AB">
        <w:t xml:space="preserve"> herbicīdiem;</w:t>
      </w:r>
    </w:p>
    <w:p w14:paraId="7BC897A7" w14:textId="77777777" w:rsidR="001C0F3F" w:rsidRPr="002D50AB" w:rsidRDefault="001C0F3F" w:rsidP="001C0F3F">
      <w:pPr>
        <w:pStyle w:val="NormalHanging12a"/>
      </w:pPr>
      <w:r w:rsidRPr="002D50AB">
        <w:t>D.</w:t>
      </w:r>
      <w:r w:rsidRPr="002D50AB">
        <w:tab/>
        <w:t xml:space="preserve">tā kā </w:t>
      </w:r>
      <w:r w:rsidRPr="002D50AB">
        <w:rPr>
          <w:i/>
          <w:iCs/>
        </w:rPr>
        <w:t>EFSA</w:t>
      </w:r>
      <w:r w:rsidRPr="002D50AB">
        <w:t xml:space="preserve"> veiktajā riska novērtējumā netika iekļauti ne ilgtermiņa toksikoloģiskie pētījumi, ne detalizēta kumulatīvās un kombinētās ietekmes analīze, tostarp attiecībā uz potenciālo mijiedarbību ar cukurbiešu audzēšanā parasti izmantoto pesticīdu atliekām; </w:t>
      </w:r>
    </w:p>
    <w:p w14:paraId="596EDC66" w14:textId="77777777" w:rsidR="001C0F3F" w:rsidRPr="002D50AB" w:rsidRDefault="001C0F3F" w:rsidP="001C0F3F">
      <w:pPr>
        <w:pStyle w:val="NormalHanging12a"/>
        <w:rPr>
          <w:color w:val="000000" w:themeColor="text1"/>
          <w:szCs w:val="24"/>
        </w:rPr>
      </w:pPr>
      <w:r w:rsidRPr="002D50AB">
        <w:rPr>
          <w:color w:val="000000" w:themeColor="text1"/>
        </w:rPr>
        <w:t>E.</w:t>
      </w:r>
      <w:r w:rsidRPr="002D50AB">
        <w:rPr>
          <w:color w:val="000000" w:themeColor="text1"/>
        </w:rPr>
        <w:tab/>
      </w:r>
      <w:r w:rsidRPr="002D50AB">
        <w:t xml:space="preserve">tā kā lielākā daļa ĢM kultūraugu, arī ĢM cukurbietes, ir ģenētiski modificēti, lai tie būtu izturīgi pret vienu vai vairākiem komplementāriem herbicīdiem, kurus var izmantot visā ĢM kultūraugu audzēšanas laikā, attiecīgajam kultūraugam neiznīkstot, kā tas būtu gadījumā, ja tos izmantotu pret herbicīdiem neizturīgai kultūrai; </w:t>
      </w:r>
      <w:r w:rsidRPr="002D50AB">
        <w:rPr>
          <w:color w:val="000000" w:themeColor="text1"/>
        </w:rPr>
        <w:t xml:space="preserve">tā kā vairākos pētījumos ir konstatēts, ka </w:t>
      </w:r>
      <w:proofErr w:type="spellStart"/>
      <w:r w:rsidRPr="002D50AB">
        <w:rPr>
          <w:color w:val="000000" w:themeColor="text1"/>
        </w:rPr>
        <w:t>herbicīdizturīgu</w:t>
      </w:r>
      <w:proofErr w:type="spellEnd"/>
      <w:r w:rsidRPr="002D50AB">
        <w:rPr>
          <w:color w:val="000000" w:themeColor="text1"/>
        </w:rPr>
        <w:t xml:space="preserve"> ĢM kultūraugu audzēšanā vairāk izmanto komplementārus herbicīdus, lielā mērā tāpēc, ka ir parādījušās </w:t>
      </w:r>
      <w:proofErr w:type="spellStart"/>
      <w:r w:rsidRPr="002D50AB">
        <w:rPr>
          <w:color w:val="000000" w:themeColor="text1"/>
        </w:rPr>
        <w:t>herbicīdizturīgas</w:t>
      </w:r>
      <w:proofErr w:type="spellEnd"/>
      <w:r w:rsidRPr="002D50AB">
        <w:rPr>
          <w:color w:val="000000" w:themeColor="text1"/>
        </w:rPr>
        <w:t xml:space="preserve"> nezāles</w:t>
      </w:r>
      <w:r w:rsidRPr="002D50AB">
        <w:rPr>
          <w:rStyle w:val="FootnoteReference"/>
          <w:color w:val="000000" w:themeColor="text1"/>
          <w:szCs w:val="24"/>
        </w:rPr>
        <w:footnoteReference w:id="5"/>
      </w:r>
      <w:r w:rsidRPr="002D50AB">
        <w:rPr>
          <w:color w:val="000000" w:themeColor="text1"/>
        </w:rPr>
        <w:t>;</w:t>
      </w:r>
    </w:p>
    <w:p w14:paraId="0D0A2347" w14:textId="77777777" w:rsidR="001C0F3F" w:rsidRPr="002D50AB" w:rsidRDefault="001C0F3F" w:rsidP="001C0F3F">
      <w:pPr>
        <w:spacing w:after="240"/>
        <w:ind w:left="567" w:hanging="567"/>
        <w:rPr>
          <w:szCs w:val="24"/>
        </w:rPr>
      </w:pPr>
      <w:r w:rsidRPr="002D50AB">
        <w:t>F.</w:t>
      </w:r>
      <w:r w:rsidRPr="002D50AB">
        <w:tab/>
        <w:t xml:space="preserve">tā kā </w:t>
      </w:r>
      <w:proofErr w:type="spellStart"/>
      <w:r w:rsidRPr="002D50AB">
        <w:t>herbicīdizturīgu</w:t>
      </w:r>
      <w:proofErr w:type="spellEnd"/>
      <w:r w:rsidRPr="002D50AB">
        <w:t xml:space="preserve"> ĢM kultūraugu izmantošanas dēļ lauksaimnieki ir iesaistīti nezāļu pārvaldības sistēmā, kas lielā mērā vai pilnībā ir atkarīga no herbicīdiem, un tas notiek tāpēc, ka par ĢM sēklām tiek uzlikta piemaksa, kas atmaksājas tikai tad, ja lauksaimnieki, kuri iegādājas šādas sēklas, arī izsmidzina komplementārus herbicīdus;</w:t>
      </w:r>
      <w:r w:rsidRPr="002D50AB">
        <w:rPr>
          <w:color w:val="000000" w:themeColor="text1"/>
        </w:rPr>
        <w:t xml:space="preserve"> tā kā lielāka atkarība no komplementāriem herbicīdiem saimniecībās, kurās audzē ĢM cukurbietes, paātrinās pret minētajiem herbicīdiem </w:t>
      </w:r>
      <w:proofErr w:type="spellStart"/>
      <w:r w:rsidRPr="002D50AB">
        <w:rPr>
          <w:color w:val="000000" w:themeColor="text1"/>
        </w:rPr>
        <w:t>rezistentu</w:t>
      </w:r>
      <w:proofErr w:type="spellEnd"/>
      <w:r w:rsidRPr="002D50AB">
        <w:rPr>
          <w:color w:val="000000" w:themeColor="text1"/>
        </w:rPr>
        <w:t xml:space="preserve"> nezāļu rašanos un izplatību un tādējādi radīs vajadzību vēl vairāk izmantot herbicīdus, proti, veidos apburto loku, ko dēvē par “herbicīdu skrejceliņu”; tā kā līdz ar to negatīvā ietekme, ko rada pārmērīga herbicīdu izmantošana, pasliktina augsnes veselību, ūdens kvalitāti un </w:t>
      </w:r>
      <w:proofErr w:type="spellStart"/>
      <w:r w:rsidRPr="002D50AB">
        <w:rPr>
          <w:color w:val="000000" w:themeColor="text1"/>
        </w:rPr>
        <w:t>biodaudzveidību</w:t>
      </w:r>
      <w:proofErr w:type="spellEnd"/>
      <w:r w:rsidRPr="002D50AB">
        <w:rPr>
          <w:color w:val="000000" w:themeColor="text1"/>
        </w:rPr>
        <w:t xml:space="preserve"> virs un zem zemes virskārtas, kā arī palielina iedarbību uz cilvēkiem un dzīvniekiem, iespējams arī tādēļ, ka lielāks daudzums herbicīdu atlieku nonāk pārtikā un dzīvnieku barībā</w:t>
      </w:r>
      <w:r w:rsidRPr="002D50AB">
        <w:rPr>
          <w:rStyle w:val="FootnoteReference"/>
          <w:color w:val="000000" w:themeColor="text1"/>
          <w:szCs w:val="24"/>
        </w:rPr>
        <w:footnoteReference w:id="6"/>
      </w:r>
      <w:r w:rsidRPr="002D50AB">
        <w:rPr>
          <w:color w:val="000000" w:themeColor="text1"/>
        </w:rPr>
        <w:t>;</w:t>
      </w:r>
    </w:p>
    <w:p w14:paraId="58F815AF" w14:textId="77777777" w:rsidR="001C0F3F" w:rsidRPr="002D50AB" w:rsidRDefault="001C0F3F" w:rsidP="001C0F3F">
      <w:pPr>
        <w:pStyle w:val="NormalHanging12a"/>
      </w:pPr>
      <w:r w:rsidRPr="002D50AB">
        <w:t>G.</w:t>
      </w:r>
      <w:r w:rsidRPr="002D50AB">
        <w:tab/>
        <w:t xml:space="preserve">tā kā joprojām nav atbildēti nopietni jautājumi par </w:t>
      </w:r>
      <w:proofErr w:type="spellStart"/>
      <w:r w:rsidRPr="002D50AB">
        <w:t>glifozāta</w:t>
      </w:r>
      <w:proofErr w:type="spellEnd"/>
      <w:r w:rsidRPr="002D50AB">
        <w:t xml:space="preserve"> </w:t>
      </w:r>
      <w:proofErr w:type="spellStart"/>
      <w:r w:rsidRPr="002D50AB">
        <w:t>kancerogenitāti</w:t>
      </w:r>
      <w:proofErr w:type="spellEnd"/>
      <w:r w:rsidRPr="002D50AB">
        <w:t xml:space="preserve">; tā kā </w:t>
      </w:r>
      <w:r w:rsidRPr="002D50AB">
        <w:rPr>
          <w:i/>
          <w:iCs/>
        </w:rPr>
        <w:t>EFSA</w:t>
      </w:r>
      <w:r w:rsidRPr="002D50AB">
        <w:t xml:space="preserve"> 2015. gada novembrī secināja, ka </w:t>
      </w:r>
      <w:proofErr w:type="spellStart"/>
      <w:r w:rsidRPr="002D50AB">
        <w:t>glifozāts</w:t>
      </w:r>
      <w:proofErr w:type="spellEnd"/>
      <w:r w:rsidRPr="002D50AB">
        <w:t xml:space="preserve">, visticamāk, nav kancerogēns, un Eiropas Ķimikāliju aģentūra 2017. gada martā secināja, ka nav pamata to šādi klasificēt; tā kā pretēji tam 2015. gadā Starptautiskā Vēža izpētes aģentūra, kas ir specializētā Pasaules Veselības organizācijas vēža pētniecības aģentūra, </w:t>
      </w:r>
      <w:proofErr w:type="spellStart"/>
      <w:r w:rsidRPr="002D50AB">
        <w:t>glifozātu</w:t>
      </w:r>
      <w:proofErr w:type="spellEnd"/>
      <w:r w:rsidRPr="002D50AB">
        <w:t xml:space="preserve"> klasificēja kā iespējami kancerogēnu cilvēkam; tā kā vairāki neseni zinātniski recenzēti pētījumi apstiprina to, </w:t>
      </w:r>
      <w:r w:rsidRPr="002D50AB">
        <w:lastRenderedPageBreak/>
        <w:t xml:space="preserve">ka </w:t>
      </w:r>
      <w:proofErr w:type="spellStart"/>
      <w:r w:rsidRPr="002D50AB">
        <w:t>glifozāts</w:t>
      </w:r>
      <w:proofErr w:type="spellEnd"/>
      <w:r w:rsidRPr="002D50AB">
        <w:t xml:space="preserve"> varētu būt kancerogēns</w:t>
      </w:r>
      <w:r w:rsidRPr="002D50AB">
        <w:rPr>
          <w:rStyle w:val="FootnoteReference"/>
        </w:rPr>
        <w:footnoteReference w:id="7"/>
      </w:r>
      <w:r w:rsidRPr="002D50AB">
        <w:t>;</w:t>
      </w:r>
    </w:p>
    <w:p w14:paraId="4064D1EF" w14:textId="77777777" w:rsidR="001C0F3F" w:rsidRPr="002D50AB" w:rsidRDefault="001C0F3F" w:rsidP="001C0F3F">
      <w:pPr>
        <w:pStyle w:val="NormalHanging12a"/>
        <w:rPr>
          <w:szCs w:val="24"/>
        </w:rPr>
      </w:pPr>
      <w:r w:rsidRPr="002D50AB">
        <w:t>H.</w:t>
      </w:r>
      <w:r w:rsidRPr="002D50AB">
        <w:tab/>
        <w:t xml:space="preserve">tā kā </w:t>
      </w:r>
      <w:proofErr w:type="spellStart"/>
      <w:r w:rsidRPr="002D50AB">
        <w:t>dikamba</w:t>
      </w:r>
      <w:proofErr w:type="spellEnd"/>
      <w:r w:rsidRPr="002D50AB">
        <w:t xml:space="preserve"> ir ļoti gaistoša viela, proti, pēc lietošanas tā var izgarot gaisā un tad to var aiznest vējš, līdz tā nonāk uz zemes, kur ar to saskarē nonāk cilvēki, dzīvnieki un </w:t>
      </w:r>
      <w:proofErr w:type="spellStart"/>
      <w:r w:rsidRPr="002D50AB">
        <w:t>nemērķa</w:t>
      </w:r>
      <w:proofErr w:type="spellEnd"/>
      <w:r w:rsidRPr="002D50AB">
        <w:t xml:space="preserve"> augi – vīnogulāji, koki un krūmi –, kam tādējādi potenciāli var rasties nopietns kaitējums, it īpaši tad, ja ekspozīcija turpinās vairāku gadu garumā; </w:t>
      </w:r>
      <w:r w:rsidRPr="002D50AB">
        <w:rPr>
          <w:shd w:val="clear" w:color="auto" w:fill="FFFFFF"/>
        </w:rPr>
        <w:t xml:space="preserve">tā kā </w:t>
      </w:r>
      <w:proofErr w:type="spellStart"/>
      <w:r w:rsidRPr="002D50AB">
        <w:rPr>
          <w:shd w:val="clear" w:color="auto" w:fill="FFFFFF"/>
        </w:rPr>
        <w:t>dikamba</w:t>
      </w:r>
      <w:proofErr w:type="spellEnd"/>
      <w:r w:rsidRPr="002D50AB">
        <w:rPr>
          <w:shd w:val="clear" w:color="auto" w:fill="FFFFFF"/>
        </w:rPr>
        <w:t xml:space="preserve"> izplatās pa gaisu un nodara kaitējumu tuvējiem kultūraugiem, kokiem un vīnogulājiem un šī problēma ir izraisījusi arvien lielāku šķelšanos un </w:t>
      </w:r>
      <w:proofErr w:type="spellStart"/>
      <w:r w:rsidRPr="002D50AB">
        <w:rPr>
          <w:shd w:val="clear" w:color="auto" w:fill="FFFFFF"/>
        </w:rPr>
        <w:t>pretimstāvēšanu</w:t>
      </w:r>
      <w:proofErr w:type="spellEnd"/>
      <w:r w:rsidRPr="002D50AB">
        <w:rPr>
          <w:shd w:val="clear" w:color="auto" w:fill="FFFFFF"/>
        </w:rPr>
        <w:t xml:space="preserve"> starp lauksaimnieku grupām un lauku īpašumu kaimiņiem, kā arī plašu tiesvedību par zaudētu ražu un atkārtotas stādīšanas izmaksām; </w:t>
      </w:r>
    </w:p>
    <w:p w14:paraId="76D6A539" w14:textId="77777777" w:rsidR="001C0F3F" w:rsidRPr="002D50AB" w:rsidRDefault="001C0F3F" w:rsidP="001C0F3F">
      <w:pPr>
        <w:pStyle w:val="NormalWeb"/>
        <w:widowControl w:val="0"/>
        <w:spacing w:before="0" w:beforeAutospacing="0" w:after="240" w:afterAutospacing="0"/>
        <w:ind w:left="567" w:hanging="567"/>
      </w:pPr>
      <w:r w:rsidRPr="002D50AB">
        <w:t>I.</w:t>
      </w:r>
      <w:r w:rsidRPr="002D50AB">
        <w:tab/>
        <w:t xml:space="preserve">tā kā </w:t>
      </w:r>
      <w:proofErr w:type="spellStart"/>
      <w:r w:rsidRPr="002D50AB">
        <w:t>glufozināts</w:t>
      </w:r>
      <w:proofErr w:type="spellEnd"/>
      <w:r w:rsidRPr="002D50AB">
        <w:t xml:space="preserve"> ir klasificēts kā reproduktīvajai sistēmai toksiska viela (1B) un tāpēc tam piemērojami Eiropas Parlamenta un Padomes Regulā (EK) Nr. 1107/2009</w:t>
      </w:r>
      <w:r w:rsidRPr="002D50AB">
        <w:rPr>
          <w:rStyle w:val="FootnoteReference"/>
        </w:rPr>
        <w:footnoteReference w:id="8"/>
      </w:r>
      <w:r w:rsidRPr="002D50AB">
        <w:t xml:space="preserve"> noteiktie izslēgšanas kritēriji; tā kā termiņš atļaujai lietot </w:t>
      </w:r>
      <w:proofErr w:type="spellStart"/>
      <w:r w:rsidRPr="002D50AB">
        <w:t>glufozinātu</w:t>
      </w:r>
      <w:proofErr w:type="spellEnd"/>
      <w:r w:rsidRPr="002D50AB">
        <w:t xml:space="preserve"> Savienībā beidzās 2018. gada 31. jūlijā;</w:t>
      </w:r>
    </w:p>
    <w:p w14:paraId="238D6F06" w14:textId="77777777" w:rsidR="001C0F3F" w:rsidRPr="002D50AB" w:rsidRDefault="001C0F3F" w:rsidP="001C0F3F">
      <w:pPr>
        <w:spacing w:after="240"/>
        <w:ind w:left="567" w:hanging="567"/>
      </w:pPr>
      <w:r w:rsidRPr="002D50AB">
        <w:t>J.</w:t>
      </w:r>
      <w:r w:rsidRPr="002D50AB">
        <w:tab/>
        <w:t>tā kā lauka izmēģinājumi, kas pamato pieteikumu, tika veikti tikai Amerikas Savienotajās Valstīs, proti, ierobežotos ģeogrāfiskos un klimatiskos apstākļos, kas neatspoguļo visu cukurbiešu audzēšanas reģionu daudzveidību, tostarp to reģionu daudzveidību, kurus spēcīgi ietekmē ar klimata pārmaiņām saistīti stresa faktori;</w:t>
      </w:r>
    </w:p>
    <w:p w14:paraId="03E901A4" w14:textId="3D3B2CAD" w:rsidR="001C0F3F" w:rsidRPr="002D50AB" w:rsidRDefault="001C0F3F" w:rsidP="001C0F3F">
      <w:pPr>
        <w:pStyle w:val="NormalHanging12a"/>
      </w:pPr>
      <w:r w:rsidRPr="002D50AB">
        <w:t>K.</w:t>
      </w:r>
      <w:r w:rsidRPr="002D50AB">
        <w:tab/>
        <w:t xml:space="preserve">tā kā joprojām nav pietiekami nodrošināts neatkarīgs monitorings un novērošana attiecībā uz iespējamo nelabvēlīgo ietekmi uz </w:t>
      </w:r>
      <w:proofErr w:type="spellStart"/>
      <w:r w:rsidRPr="002D50AB">
        <w:t>biodaudzveidību</w:t>
      </w:r>
      <w:proofErr w:type="spellEnd"/>
      <w:r w:rsidRPr="002D50AB">
        <w:t xml:space="preserve">, augsnes veselību, apputeksnētājiem un </w:t>
      </w:r>
      <w:proofErr w:type="spellStart"/>
      <w:r w:rsidRPr="002D50AB">
        <w:t>nemērķa</w:t>
      </w:r>
      <w:proofErr w:type="spellEnd"/>
      <w:r w:rsidRPr="002D50AB">
        <w:t xml:space="preserve"> organismiem;</w:t>
      </w:r>
    </w:p>
    <w:p w14:paraId="1CF0967F" w14:textId="77777777" w:rsidR="001C0F3F" w:rsidRPr="002D50AB" w:rsidRDefault="001C0F3F" w:rsidP="001C0F3F">
      <w:pPr>
        <w:spacing w:after="240"/>
        <w:ind w:left="567" w:hanging="567"/>
      </w:pPr>
      <w:r w:rsidRPr="002D50AB">
        <w:t>L.</w:t>
      </w:r>
      <w:r w:rsidRPr="002D50AB">
        <w:tab/>
        <w:t>tā kā zinātniskās nenoteiktības gadījumos būtu jāpiemēro piesardzības princips, kas ir noteikts Līguma par Eiropas Savienības darbību 191. pantā;</w:t>
      </w:r>
    </w:p>
    <w:p w14:paraId="54CA362A" w14:textId="77777777" w:rsidR="001C0F3F" w:rsidRPr="002D50AB" w:rsidRDefault="001C0F3F" w:rsidP="001C0F3F">
      <w:pPr>
        <w:spacing w:after="240"/>
        <w:ind w:left="567" w:hanging="567"/>
      </w:pPr>
      <w:r w:rsidRPr="002D50AB">
        <w:t>M.</w:t>
      </w:r>
      <w:r w:rsidRPr="002D50AB">
        <w:tab/>
        <w:t>tā kā Regulā (EK) Nr. 1829/2003 ir noteikts, ka ĢM pārtika un barība nedrīkst nelabvēlīgi ietekmēt cilvēku veselību, dzīvnieku veselību vai vidi;</w:t>
      </w:r>
    </w:p>
    <w:p w14:paraId="6C8CD3A7" w14:textId="77777777" w:rsidR="001C0F3F" w:rsidRPr="002D50AB" w:rsidRDefault="001C0F3F" w:rsidP="001C0F3F">
      <w:pPr>
        <w:pStyle w:val="NormalWeb"/>
        <w:widowControl w:val="0"/>
        <w:spacing w:before="0" w:beforeAutospacing="0" w:after="240" w:afterAutospacing="0"/>
        <w:ind w:left="567" w:hanging="567"/>
      </w:pPr>
      <w:r w:rsidRPr="002D50AB">
        <w:t>N.</w:t>
      </w:r>
      <w:r w:rsidRPr="002D50AB">
        <w:tab/>
        <w:t>tā kā ĢM cukurbiešu atļaušana Savienībā būtu pretrunā starptautiskajām saistībām pesticīdu lietošanas samazināšanā</w:t>
      </w:r>
      <w:r w:rsidRPr="002D50AB">
        <w:rPr>
          <w:vertAlign w:val="superscript"/>
        </w:rPr>
        <w:footnoteReference w:id="9"/>
      </w:r>
      <w:r w:rsidRPr="002D50AB">
        <w:t xml:space="preserve">, jo valstīs, kurās audzē šos </w:t>
      </w:r>
      <w:proofErr w:type="spellStart"/>
      <w:r w:rsidRPr="002D50AB">
        <w:t>herbicīdizturīgos</w:t>
      </w:r>
      <w:proofErr w:type="spellEnd"/>
      <w:r w:rsidRPr="002D50AB">
        <w:t xml:space="preserve"> ĢM kultūraugus, palielinātos cilvēku, dzīvnieku un vides </w:t>
      </w:r>
      <w:proofErr w:type="spellStart"/>
      <w:r w:rsidRPr="002D50AB">
        <w:t>eksponētība</w:t>
      </w:r>
      <w:proofErr w:type="spellEnd"/>
      <w:r w:rsidRPr="002D50AB">
        <w:t xml:space="preserve"> </w:t>
      </w:r>
      <w:proofErr w:type="spellStart"/>
      <w:r w:rsidRPr="002D50AB">
        <w:t>glifozātam</w:t>
      </w:r>
      <w:proofErr w:type="spellEnd"/>
      <w:r w:rsidRPr="002D50AB">
        <w:t xml:space="preserve">, </w:t>
      </w:r>
      <w:proofErr w:type="spellStart"/>
      <w:r w:rsidRPr="002D50AB">
        <w:t>dikambai</w:t>
      </w:r>
      <w:proofErr w:type="spellEnd"/>
      <w:r w:rsidRPr="002D50AB">
        <w:t xml:space="preserve"> un </w:t>
      </w:r>
      <w:proofErr w:type="spellStart"/>
      <w:r w:rsidRPr="002D50AB">
        <w:t>glufozinātam</w:t>
      </w:r>
      <w:proofErr w:type="spellEnd"/>
      <w:r w:rsidRPr="002D50AB">
        <w:t>, kā arī varētu rasties nopietnas ar to saistītas sekas veselībai;</w:t>
      </w:r>
    </w:p>
    <w:p w14:paraId="71A0AB2C" w14:textId="77777777" w:rsidR="001C0F3F" w:rsidRPr="002D50AB" w:rsidRDefault="001C0F3F" w:rsidP="001C0F3F">
      <w:pPr>
        <w:spacing w:after="240"/>
        <w:ind w:left="567" w:hanging="567"/>
      </w:pPr>
      <w:r w:rsidRPr="002D50AB">
        <w:t>O.</w:t>
      </w:r>
      <w:r w:rsidRPr="002D50AB">
        <w:tab/>
        <w:t xml:space="preserve">tā kā ar Komisijas īstenošanas lēmumu tiktu atļauts Savienībā importēt produktus, kas </w:t>
      </w:r>
      <w:r w:rsidRPr="002D50AB">
        <w:lastRenderedPageBreak/>
        <w:t>neatbilst Savienības lauksaimnieku ievērotajiem standartiem, un tādējādi viņiem tiktu radīti neizdevīgi konkurences apstākļi;</w:t>
      </w:r>
    </w:p>
    <w:p w14:paraId="3BD39A6A" w14:textId="77777777" w:rsidR="001C0F3F" w:rsidRPr="002D50AB" w:rsidRDefault="001C0F3F" w:rsidP="001C0F3F">
      <w:pPr>
        <w:spacing w:after="240"/>
        <w:ind w:left="567" w:hanging="567"/>
      </w:pPr>
      <w:r w:rsidRPr="002D50AB">
        <w:t>P.</w:t>
      </w:r>
      <w:r w:rsidRPr="002D50AB">
        <w:tab/>
        <w:t>tā kā stratēģiskā dialoga par lauksaimniecības nākotni Eiropas Savienībā</w:t>
      </w:r>
      <w:r w:rsidRPr="002D50AB">
        <w:rPr>
          <w:rStyle w:val="FootnoteReference"/>
        </w:rPr>
        <w:footnoteReference w:id="10"/>
      </w:r>
      <w:r w:rsidRPr="002D50AB">
        <w:t xml:space="preserve"> secinājumos Komisija tiek aicināta atkārtoti izvērtēt savu pieeju attiecībā uz tirgus pieejamību lauksaimniecības pārtikas importam un eksportam, ņemot vērā grūtības, ko rada Savienības un tās tirdzniecības partneru atšķirīgie standarti; tā kā taisnīgākas globālās tirdzniecības attiecības, kas saskanētu ar veselīgas vides mērķiem, bija viena no galvenajām lauksaimnieku prasībām 2023. un 2024. gada demonstrāciju laikā;</w:t>
      </w:r>
    </w:p>
    <w:p w14:paraId="3FD7AFD9" w14:textId="77777777" w:rsidR="001C0F3F" w:rsidRPr="002D50AB" w:rsidRDefault="001C0F3F" w:rsidP="001C0F3F">
      <w:pPr>
        <w:spacing w:after="240"/>
        <w:ind w:left="567" w:hanging="567"/>
      </w:pPr>
      <w:r w:rsidRPr="002D50AB">
        <w:t>Q.</w:t>
      </w:r>
      <w:r w:rsidRPr="002D50AB">
        <w:tab/>
        <w:t>tā kā Parlaments ir vairākkārt uzsvēris – lai novērstu pastāvīgo demokrātijas deficītu, Komisijai nevajadzētu atļaut ĢMO gadījumos, kad dalībvalstis Augu, dzīvnieku, pārtikas aprites un dzīvnieku barības pastāvīgajā komitejā vai pārsūdzības komitejā nav panākušas kvalificētu balsu vairākumu;</w:t>
      </w:r>
    </w:p>
    <w:p w14:paraId="5081DB6B" w14:textId="77777777" w:rsidR="001C0F3F" w:rsidRPr="002D50AB" w:rsidRDefault="001C0F3F" w:rsidP="001C0F3F">
      <w:pPr>
        <w:pStyle w:val="NormalWeb"/>
        <w:widowControl w:val="0"/>
        <w:shd w:val="clear" w:color="auto" w:fill="FFFFFF"/>
        <w:spacing w:before="0" w:beforeAutospacing="0" w:after="240" w:afterAutospacing="0"/>
        <w:ind w:left="567" w:hanging="567"/>
        <w:rPr>
          <w:color w:val="000000" w:themeColor="text1"/>
        </w:rPr>
      </w:pPr>
      <w:r w:rsidRPr="002D50AB">
        <w:rPr>
          <w:color w:val="000000" w:themeColor="text1"/>
        </w:rPr>
        <w:t>R.</w:t>
      </w:r>
      <w:r w:rsidRPr="002D50AB">
        <w:rPr>
          <w:color w:val="000000" w:themeColor="text1"/>
        </w:rPr>
        <w:tab/>
        <w:t>tā kā, neraugoties uz pašas atzītajām nepilnībām demokrātiskā lēmumu pieņemšanas procesā, dalībvalstu atbalsta trūkumu un Parlamenta iebildumiem, Komisija turpina piešķirt atļaujas ĢMO;</w:t>
      </w:r>
    </w:p>
    <w:p w14:paraId="20CB6B91" w14:textId="77777777" w:rsidR="001C0F3F" w:rsidRPr="002D50AB" w:rsidRDefault="001C0F3F" w:rsidP="001C0F3F">
      <w:pPr>
        <w:spacing w:after="240"/>
        <w:ind w:left="567" w:hanging="567"/>
      </w:pPr>
      <w:r w:rsidRPr="002D50AB">
        <w:t>S.</w:t>
      </w:r>
      <w:r w:rsidRPr="002D50AB">
        <w:tab/>
        <w:t>tā kā pieeja “Viena veselība” paredz, ka, novērtējot ĢMO ilgtermiņa ilgtspēju un drošumu, ir jāņem vērā cilvēku, dzīvnieku, augu un vides veselības savstarpējā atkarība,</w:t>
      </w:r>
    </w:p>
    <w:p w14:paraId="36EA6F65" w14:textId="77777777" w:rsidR="001C0F3F" w:rsidRPr="002D50AB" w:rsidRDefault="001C0F3F" w:rsidP="001C0F3F">
      <w:pPr>
        <w:spacing w:after="240"/>
        <w:ind w:left="567" w:hanging="567"/>
      </w:pPr>
      <w:r w:rsidRPr="002D50AB">
        <w:t>1.</w:t>
      </w:r>
      <w:r w:rsidRPr="002D50AB">
        <w:tab/>
        <w:t>uzskata, ka Komisijas īstenošanas lēmuma projekts pārsniedz Regulā (EK) Nr. 1829/2003 paredzētās īstenošanas pilnvaras;</w:t>
      </w:r>
    </w:p>
    <w:p w14:paraId="5AC047BD" w14:textId="77777777" w:rsidR="001C0F3F" w:rsidRPr="002D50AB" w:rsidRDefault="001C0F3F" w:rsidP="001C0F3F">
      <w:pPr>
        <w:spacing w:after="240"/>
        <w:ind w:left="567" w:hanging="567"/>
      </w:pPr>
      <w:r w:rsidRPr="002D50AB">
        <w:t>2.</w:t>
      </w:r>
      <w:r w:rsidRPr="002D50AB">
        <w:tab/>
        <w:t>uzskata, ka Komisijas īstenošanas lēmuma projekts neatbilst Savienības tiesību aktiem, jo nav savienojams ar Regulas (EK) Nr. 1829/2003 mērķi, proti, saskaņā ar Eiropas Parlamenta un Padomes Regulā (EK) Nr. 178/2002</w:t>
      </w:r>
      <w:r w:rsidRPr="002D50AB">
        <w:rPr>
          <w:vertAlign w:val="superscript"/>
        </w:rPr>
        <w:footnoteReference w:id="11"/>
      </w:r>
      <w:r w:rsidRPr="002D50AB">
        <w:t xml:space="preserve"> izklāstītajiem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14:paraId="1D8CF388" w14:textId="77777777" w:rsidR="001C0F3F" w:rsidRPr="002D50AB" w:rsidRDefault="001C0F3F" w:rsidP="001C0F3F">
      <w:pPr>
        <w:spacing w:after="240"/>
        <w:ind w:left="567" w:hanging="567"/>
      </w:pPr>
      <w:r w:rsidRPr="002D50AB">
        <w:t>3.</w:t>
      </w:r>
      <w:r w:rsidRPr="002D50AB">
        <w:tab/>
        <w:t>prasa Komisijai atsaukt īstenošanas lēmuma projektu;</w:t>
      </w:r>
    </w:p>
    <w:p w14:paraId="43676207" w14:textId="77777777" w:rsidR="001C0F3F" w:rsidRPr="002D50AB" w:rsidRDefault="001C0F3F" w:rsidP="001C0F3F">
      <w:pPr>
        <w:spacing w:after="240"/>
        <w:ind w:left="567" w:hanging="567"/>
      </w:pPr>
      <w:r w:rsidRPr="002D50AB">
        <w:t>4.</w:t>
      </w:r>
      <w:r w:rsidRPr="002D50AB">
        <w:tab/>
        <w:t xml:space="preserve">aicina Komisiju neatļaut ĢM cukurbietes, jo nav pietiekamu pierādījumu par ilgtermiņa ietekmi uz </w:t>
      </w:r>
      <w:proofErr w:type="spellStart"/>
      <w:r w:rsidRPr="002D50AB">
        <w:t>biodaudzveidību</w:t>
      </w:r>
      <w:proofErr w:type="spellEnd"/>
      <w:r w:rsidRPr="002D50AB">
        <w:t>, pārtikas nekaitīgumu, lauksaimnieku iztikas līdzekļiem un dzīvnieku veselību saskaņā ar pieeju “Viena veselība”;</w:t>
      </w:r>
    </w:p>
    <w:p w14:paraId="7028742B" w14:textId="77777777" w:rsidR="001C0F3F" w:rsidRPr="002D50AB" w:rsidRDefault="001C0F3F" w:rsidP="001C0F3F">
      <w:pPr>
        <w:spacing w:after="240"/>
        <w:ind w:left="567" w:hanging="567"/>
      </w:pPr>
      <w:r w:rsidRPr="002D50AB">
        <w:t>5.</w:t>
      </w:r>
      <w:r w:rsidRPr="002D50AB">
        <w:tab/>
        <w:t>aicina Komisiju nekavējoties iesniegt tiesību akta priekšlikumu, lai reformētu lēmumu pieņemšanas procedūru attiecībā uz ĢMO, reaģējot uz Parlamenta konsekventajiem iebildumiem un kvalificēta vairākuma atbalsta trūkumu dalībvalstu vidū;</w:t>
      </w:r>
    </w:p>
    <w:p w14:paraId="5AFD765A" w14:textId="77777777" w:rsidR="001C0F3F" w:rsidRPr="002D50AB" w:rsidRDefault="001C0F3F" w:rsidP="001C0F3F">
      <w:pPr>
        <w:spacing w:after="240"/>
        <w:ind w:left="567" w:hanging="567"/>
      </w:pPr>
      <w:r w:rsidRPr="002D50AB">
        <w:t>6.</w:t>
      </w:r>
      <w:r w:rsidRPr="002D50AB">
        <w:tab/>
        <w:t xml:space="preserve">šajā saistībā uzsver, ka atļauja izmantošanai pārtikā vai dzīvnieku barībā importēt ĢM augus, kas ir </w:t>
      </w:r>
      <w:proofErr w:type="spellStart"/>
      <w:r w:rsidRPr="002D50AB">
        <w:t>herbicīdizturīgi</w:t>
      </w:r>
      <w:proofErr w:type="spellEnd"/>
      <w:r w:rsidRPr="002D50AB">
        <w:t xml:space="preserve"> pret Savienībā aizliegtiem herbicīdiem, piemēram, </w:t>
      </w:r>
      <w:proofErr w:type="spellStart"/>
      <w:r w:rsidRPr="002D50AB">
        <w:t>glufozinātu</w:t>
      </w:r>
      <w:proofErr w:type="spellEnd"/>
      <w:r w:rsidRPr="002D50AB">
        <w:t xml:space="preserve">, ir pretrunā Savienības starptautiskajām saistībām, kuras cita starpā </w:t>
      </w:r>
      <w:r w:rsidRPr="002D50AB">
        <w:lastRenderedPageBreak/>
        <w:t xml:space="preserve">noteiktas ANO </w:t>
      </w:r>
      <w:proofErr w:type="spellStart"/>
      <w:r w:rsidRPr="002D50AB">
        <w:t>Biodaudzveidības</w:t>
      </w:r>
      <w:proofErr w:type="spellEnd"/>
      <w:r w:rsidRPr="002D50AB">
        <w:t xml:space="preserve"> konvencijā un ANO ilgtspējīgas attīstības mērķos, tostarp nesen pieņemtajā </w:t>
      </w:r>
      <w:proofErr w:type="spellStart"/>
      <w:r w:rsidRPr="002D50AB">
        <w:t>Kuņminas</w:t>
      </w:r>
      <w:proofErr w:type="spellEnd"/>
      <w:r w:rsidRPr="002D50AB">
        <w:t>-Monreālas satvarā, un ka tā rada nevienlīdzīgus konkurences apstākļus Savienības lauksaimniekiem;</w:t>
      </w:r>
    </w:p>
    <w:p w14:paraId="48B247B7" w14:textId="0797B703" w:rsidR="00106EAB" w:rsidRPr="002D50AB" w:rsidRDefault="001C0F3F" w:rsidP="00106EAB">
      <w:pPr>
        <w:spacing w:after="240"/>
        <w:ind w:left="567" w:hanging="567"/>
      </w:pPr>
      <w:r w:rsidRPr="002D50AB">
        <w:t>7.</w:t>
      </w:r>
      <w:r w:rsidRPr="002D50AB">
        <w:tab/>
        <w:t>uzdod priekšsēdētājai šo rezolūciju nosūtīt Padomei un Komisijai, kā arī dalībvalstu valdībām un parlamentiem.</w:t>
      </w:r>
    </w:p>
    <w:p w14:paraId="4FCD099D" w14:textId="07C2E2B8" w:rsidR="00E365E1" w:rsidRPr="002D50AB" w:rsidRDefault="00E365E1" w:rsidP="008B4F03"/>
    <w:sectPr w:rsidR="00E365E1" w:rsidRPr="002D50AB" w:rsidSect="00106E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8F66E" w14:textId="77777777" w:rsidR="008B4F03" w:rsidRPr="00106EAB" w:rsidRDefault="008B4F03">
      <w:r w:rsidRPr="00106EAB">
        <w:separator/>
      </w:r>
    </w:p>
  </w:endnote>
  <w:endnote w:type="continuationSeparator" w:id="0">
    <w:p w14:paraId="03513B2A" w14:textId="77777777" w:rsidR="008B4F03" w:rsidRPr="00106EAB" w:rsidRDefault="008B4F03">
      <w:r w:rsidRPr="00106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2338D" w14:textId="77777777" w:rsidR="00064002" w:rsidRPr="00106E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5B0A7" w14:textId="77777777" w:rsidR="00064002" w:rsidRPr="00106E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2185" w14:textId="77777777" w:rsidR="00064002" w:rsidRPr="00106E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A13C2" w14:textId="77777777" w:rsidR="008B4F03" w:rsidRPr="00106EAB" w:rsidRDefault="008B4F03">
      <w:r w:rsidRPr="00106EAB">
        <w:separator/>
      </w:r>
    </w:p>
  </w:footnote>
  <w:footnote w:type="continuationSeparator" w:id="0">
    <w:p w14:paraId="47336339" w14:textId="77777777" w:rsidR="008B4F03" w:rsidRPr="00106EAB" w:rsidRDefault="008B4F03">
      <w:r w:rsidRPr="00106EAB">
        <w:continuationSeparator/>
      </w:r>
    </w:p>
  </w:footnote>
  <w:footnote w:id="1">
    <w:p w14:paraId="5B9285C6" w14:textId="0C1FC06F" w:rsidR="001C0F3F" w:rsidRPr="00106EAB" w:rsidRDefault="001C0F3F" w:rsidP="00106EAB">
      <w:pPr>
        <w:pStyle w:val="FootnoteText"/>
        <w:suppressAutoHyphens/>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OV L 268, 18.10.2003., 1. lpp., ELI: </w:t>
      </w:r>
      <w:hyperlink r:id="rId1" w:tooltip="Piekļuve dokumentam, izmantojot tā ELI URI." w:history="1">
        <w:r w:rsidRPr="00106EAB">
          <w:rPr>
            <w:rStyle w:val="Hyperlink"/>
            <w:sz w:val="24"/>
            <w:lang w:val="lv-LV"/>
          </w:rPr>
          <w:t>http://data.europa.eu/eli/reg/2003/1829/oj</w:t>
        </w:r>
      </w:hyperlink>
      <w:r w:rsidRPr="00106EAB">
        <w:rPr>
          <w:sz w:val="24"/>
          <w:lang w:val="lv-LV"/>
        </w:rPr>
        <w:t>.</w:t>
      </w:r>
    </w:p>
  </w:footnote>
  <w:footnote w:id="2">
    <w:p w14:paraId="1F22F172" w14:textId="2F54633D"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 xml:space="preserve">OV L 55, 28.2.2011., 13. lpp., ELI: </w:t>
      </w:r>
      <w:hyperlink r:id="rId2" w:history="1">
        <w:r w:rsidRPr="00106EAB">
          <w:rPr>
            <w:rStyle w:val="Hyperlink"/>
            <w:sz w:val="24"/>
            <w:lang w:val="lv-LV"/>
          </w:rPr>
          <w:t>http://data.europa.eu/eli/reg/2011/182/oj</w:t>
        </w:r>
      </w:hyperlink>
      <w:r w:rsidRPr="00106EAB">
        <w:rPr>
          <w:sz w:val="24"/>
          <w:lang w:val="lv-LV"/>
        </w:rPr>
        <w:t>.</w:t>
      </w:r>
    </w:p>
  </w:footnote>
  <w:footnote w:id="3">
    <w:p w14:paraId="1A956733" w14:textId="7CBDA9DB" w:rsidR="001C0F3F" w:rsidRPr="00106EAB" w:rsidRDefault="001C0F3F" w:rsidP="00106EAB">
      <w:pPr>
        <w:pStyle w:val="FootnoteText"/>
        <w:suppressAutoHyphens/>
        <w:ind w:left="567" w:hanging="567"/>
        <w:rPr>
          <w:sz w:val="24"/>
          <w:lang w:val="lv-LV"/>
        </w:rPr>
      </w:pPr>
      <w:r w:rsidRPr="00106EAB">
        <w:rPr>
          <w:rStyle w:val="FootnoteReference"/>
          <w:sz w:val="24"/>
          <w:lang w:val="lv-LV"/>
        </w:rPr>
        <w:footnoteRef/>
      </w:r>
      <w:r w:rsidR="00106EAB" w:rsidRPr="00106EAB">
        <w:rPr>
          <w:i/>
          <w:iCs/>
          <w:sz w:val="24"/>
          <w:lang w:val="lv-LV"/>
        </w:rPr>
        <w:t xml:space="preserve"> </w:t>
      </w:r>
      <w:r w:rsidR="00106EAB" w:rsidRPr="00106EAB">
        <w:rPr>
          <w:i/>
          <w:iCs/>
          <w:sz w:val="24"/>
          <w:lang w:val="lv-LV"/>
        </w:rPr>
        <w:tab/>
      </w:r>
      <w:r w:rsidRPr="00106EAB">
        <w:rPr>
          <w:i/>
          <w:iCs/>
          <w:sz w:val="24"/>
          <w:lang w:val="lv-LV"/>
        </w:rPr>
        <w:t>EFSA</w:t>
      </w:r>
      <w:r w:rsidRPr="00106EAB">
        <w:rPr>
          <w:sz w:val="24"/>
          <w:lang w:val="lv-LV"/>
        </w:rPr>
        <w:t xml:space="preserve"> ĢMO ekspertu grupas zinātniskais atzinums “</w:t>
      </w:r>
      <w:proofErr w:type="spellStart"/>
      <w:r w:rsidRPr="00106EAB">
        <w:rPr>
          <w:i/>
          <w:iCs/>
          <w:sz w:val="24"/>
          <w:lang w:val="lv-LV"/>
        </w:rPr>
        <w:t>Assessment</w:t>
      </w:r>
      <w:proofErr w:type="spellEnd"/>
      <w:r w:rsidRPr="00106EAB">
        <w:rPr>
          <w:i/>
          <w:iCs/>
          <w:sz w:val="24"/>
          <w:lang w:val="lv-LV"/>
        </w:rPr>
        <w:t xml:space="preserve"> </w:t>
      </w:r>
      <w:proofErr w:type="spellStart"/>
      <w:r w:rsidRPr="00106EAB">
        <w:rPr>
          <w:i/>
          <w:iCs/>
          <w:sz w:val="24"/>
          <w:lang w:val="lv-LV"/>
        </w:rPr>
        <w:t>of</w:t>
      </w:r>
      <w:proofErr w:type="spellEnd"/>
      <w:r w:rsidRPr="00106EAB">
        <w:rPr>
          <w:i/>
          <w:iCs/>
          <w:sz w:val="24"/>
          <w:lang w:val="lv-LV"/>
        </w:rPr>
        <w:t xml:space="preserve"> </w:t>
      </w:r>
      <w:proofErr w:type="spellStart"/>
      <w:r w:rsidRPr="00106EAB">
        <w:rPr>
          <w:i/>
          <w:iCs/>
          <w:sz w:val="24"/>
          <w:lang w:val="lv-LV"/>
        </w:rPr>
        <w:t>genetically</w:t>
      </w:r>
      <w:proofErr w:type="spellEnd"/>
      <w:r w:rsidRPr="00106EAB">
        <w:rPr>
          <w:i/>
          <w:iCs/>
          <w:sz w:val="24"/>
          <w:lang w:val="lv-LV"/>
        </w:rPr>
        <w:t xml:space="preserve"> </w:t>
      </w:r>
      <w:proofErr w:type="spellStart"/>
      <w:r w:rsidRPr="00106EAB">
        <w:rPr>
          <w:i/>
          <w:iCs/>
          <w:sz w:val="24"/>
          <w:lang w:val="lv-LV"/>
        </w:rPr>
        <w:t>modified</w:t>
      </w:r>
      <w:proofErr w:type="spellEnd"/>
      <w:r w:rsidRPr="00106EAB">
        <w:rPr>
          <w:i/>
          <w:iCs/>
          <w:sz w:val="24"/>
          <w:lang w:val="lv-LV"/>
        </w:rPr>
        <w:t xml:space="preserve"> </w:t>
      </w:r>
      <w:proofErr w:type="spellStart"/>
      <w:r w:rsidRPr="00106EAB">
        <w:rPr>
          <w:i/>
          <w:iCs/>
          <w:sz w:val="24"/>
          <w:lang w:val="lv-LV"/>
        </w:rPr>
        <w:t>sugar</w:t>
      </w:r>
      <w:proofErr w:type="spellEnd"/>
      <w:r w:rsidRPr="00106EAB">
        <w:rPr>
          <w:i/>
          <w:iCs/>
          <w:sz w:val="24"/>
          <w:lang w:val="lv-LV"/>
        </w:rPr>
        <w:t xml:space="preserve"> </w:t>
      </w:r>
      <w:proofErr w:type="spellStart"/>
      <w:r w:rsidRPr="00106EAB">
        <w:rPr>
          <w:i/>
          <w:iCs/>
          <w:sz w:val="24"/>
          <w:lang w:val="lv-LV"/>
        </w:rPr>
        <w:t>beet</w:t>
      </w:r>
      <w:proofErr w:type="spellEnd"/>
      <w:r w:rsidRPr="00106EAB">
        <w:rPr>
          <w:i/>
          <w:iCs/>
          <w:sz w:val="24"/>
          <w:lang w:val="lv-LV"/>
        </w:rPr>
        <w:t xml:space="preserve"> KWS20-1 (</w:t>
      </w:r>
      <w:proofErr w:type="spellStart"/>
      <w:r w:rsidRPr="00106EAB">
        <w:rPr>
          <w:i/>
          <w:iCs/>
          <w:sz w:val="24"/>
          <w:lang w:val="lv-LV"/>
        </w:rPr>
        <w:t>application</w:t>
      </w:r>
      <w:proofErr w:type="spellEnd"/>
      <w:r w:rsidRPr="00106EAB">
        <w:rPr>
          <w:i/>
          <w:iCs/>
          <w:sz w:val="24"/>
          <w:lang w:val="lv-LV"/>
        </w:rPr>
        <w:t xml:space="preserve"> GMFF-2023-14732)</w:t>
      </w:r>
      <w:r w:rsidRPr="00106EAB">
        <w:rPr>
          <w:sz w:val="24"/>
          <w:lang w:val="lv-LV"/>
        </w:rPr>
        <w:t xml:space="preserve">”, </w:t>
      </w:r>
      <w:r w:rsidRPr="00106EAB">
        <w:rPr>
          <w:i/>
          <w:iCs/>
          <w:sz w:val="24"/>
          <w:lang w:val="lv-LV"/>
        </w:rPr>
        <w:t xml:space="preserve">EFSA </w:t>
      </w:r>
      <w:proofErr w:type="spellStart"/>
      <w:r w:rsidRPr="00106EAB">
        <w:rPr>
          <w:i/>
          <w:iCs/>
          <w:sz w:val="24"/>
          <w:lang w:val="lv-LV"/>
        </w:rPr>
        <w:t>Journal</w:t>
      </w:r>
      <w:proofErr w:type="spellEnd"/>
      <w:r w:rsidRPr="00106EAB">
        <w:rPr>
          <w:sz w:val="24"/>
          <w:lang w:val="lv-LV"/>
        </w:rPr>
        <w:t xml:space="preserve">, 2025;23(5):9381: </w:t>
      </w:r>
      <w:hyperlink r:id="rId3" w:history="1">
        <w:r w:rsidRPr="00106EAB">
          <w:rPr>
            <w:rStyle w:val="Hyperlink"/>
            <w:sz w:val="24"/>
            <w:lang w:val="lv-LV"/>
          </w:rPr>
          <w:t>https://doi.org/10.2903/j.efsa.2025.9381</w:t>
        </w:r>
      </w:hyperlink>
      <w:r w:rsidRPr="00106EAB">
        <w:rPr>
          <w:sz w:val="24"/>
          <w:lang w:val="lv-LV"/>
        </w:rPr>
        <w:t>.</w:t>
      </w:r>
    </w:p>
  </w:footnote>
  <w:footnote w:id="4">
    <w:p w14:paraId="70A4DF9F" w14:textId="67E905BA" w:rsidR="001C0F3F" w:rsidRPr="00106EAB" w:rsidRDefault="001C0F3F" w:rsidP="00106EAB">
      <w:pPr>
        <w:pStyle w:val="FootnoteText"/>
        <w:suppressAutoHyphens/>
        <w:ind w:left="567" w:hanging="567"/>
        <w:rPr>
          <w:color w:val="000000" w:themeColor="text1"/>
          <w:sz w:val="24"/>
          <w:vertAlign w:val="superscript"/>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 xml:space="preserve">Parlaments astotajā </w:t>
      </w:r>
      <w:proofErr w:type="spellStart"/>
      <w:r w:rsidRPr="00106EAB">
        <w:rPr>
          <w:sz w:val="24"/>
          <w:lang w:val="lv-LV"/>
        </w:rPr>
        <w:t>sasaukumā</w:t>
      </w:r>
      <w:proofErr w:type="spellEnd"/>
      <w:r w:rsidRPr="00106EAB">
        <w:rPr>
          <w:sz w:val="24"/>
          <w:lang w:val="lv-LV"/>
        </w:rPr>
        <w:t xml:space="preserve"> pieņēma 36 rezolūcijas un devītajā </w:t>
      </w:r>
      <w:proofErr w:type="spellStart"/>
      <w:r w:rsidRPr="00106EAB">
        <w:rPr>
          <w:sz w:val="24"/>
          <w:lang w:val="lv-LV"/>
        </w:rPr>
        <w:t>sasaukumā</w:t>
      </w:r>
      <w:proofErr w:type="spellEnd"/>
      <w:r w:rsidRPr="00106EAB">
        <w:rPr>
          <w:sz w:val="24"/>
          <w:lang w:val="lv-LV"/>
        </w:rPr>
        <w:t xml:space="preserve"> – 38 rezolūcijas, ar ko iebilda pret atļauju izmantot ĢMO.</w:t>
      </w:r>
      <w:r w:rsidRPr="00106EAB">
        <w:rPr>
          <w:color w:val="000000" w:themeColor="text1"/>
          <w:sz w:val="24"/>
          <w:lang w:val="lv-LV"/>
        </w:rPr>
        <w:t xml:space="preserve"> Turklāt desmitajā </w:t>
      </w:r>
      <w:proofErr w:type="spellStart"/>
      <w:r w:rsidRPr="00106EAB">
        <w:rPr>
          <w:color w:val="000000" w:themeColor="text1"/>
          <w:sz w:val="24"/>
          <w:lang w:val="lv-LV"/>
        </w:rPr>
        <w:t>sasaukumā</w:t>
      </w:r>
      <w:proofErr w:type="spellEnd"/>
      <w:r w:rsidRPr="00106EAB">
        <w:rPr>
          <w:color w:val="000000" w:themeColor="text1"/>
          <w:sz w:val="24"/>
          <w:lang w:val="lv-LV"/>
        </w:rPr>
        <w:t xml:space="preserve"> Parlaments ir pieņēmis šādas rezolūcijas:</w:t>
      </w:r>
    </w:p>
    <w:p w14:paraId="0023DDA3" w14:textId="718DA7A1" w:rsidR="001C0F3F" w:rsidRPr="00106EAB" w:rsidRDefault="00106EAB" w:rsidP="00106EAB">
      <w:pPr>
        <w:pStyle w:val="FootnoteText"/>
        <w:suppressAutoHyphens/>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C/2025/1798, 4.4.2025., ELI: </w:t>
      </w:r>
      <w:hyperlink r:id="rId4" w:history="1">
        <w:r w:rsidR="001C0F3F" w:rsidRPr="00106EAB">
          <w:rPr>
            <w:rStyle w:val="Hyperlink"/>
            <w:sz w:val="24"/>
            <w:lang w:val="lv-LV"/>
          </w:rPr>
          <w:t>http://data.europa.eu/eli/C/2025/1797/oj</w:t>
        </w:r>
      </w:hyperlink>
      <w:r w:rsidR="001C0F3F" w:rsidRPr="00106EAB">
        <w:rPr>
          <w:color w:val="000000" w:themeColor="text1"/>
          <w:sz w:val="24"/>
          <w:lang w:val="lv-LV"/>
        </w:rPr>
        <w:t>),</w:t>
      </w:r>
    </w:p>
    <w:p w14:paraId="7AFA67E4" w14:textId="6264BD61" w:rsidR="001C0F3F" w:rsidRPr="00106EAB" w:rsidRDefault="00106EAB" w:rsidP="00106EAB">
      <w:pPr>
        <w:pStyle w:val="FootnoteText"/>
        <w:suppressAutoHyphens/>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1C0F3F" w:rsidRPr="00106EAB">
          <w:rPr>
            <w:rStyle w:val="Hyperlink"/>
            <w:sz w:val="24"/>
            <w:lang w:val="lv-LV"/>
          </w:rPr>
          <w:t>http://data.europa.eu/eli/C/2025/1798/oj</w:t>
        </w:r>
      </w:hyperlink>
      <w:r w:rsidR="001C0F3F" w:rsidRPr="00106EAB">
        <w:rPr>
          <w:color w:val="000000" w:themeColor="text1"/>
          <w:sz w:val="24"/>
          <w:lang w:val="lv-LV"/>
        </w:rPr>
        <w:t>),</w:t>
      </w:r>
    </w:p>
    <w:p w14:paraId="73708013" w14:textId="4DC20FAC" w:rsidR="001C0F3F" w:rsidRPr="00106EAB" w:rsidRDefault="00106EAB" w:rsidP="00106EAB">
      <w:pPr>
        <w:pStyle w:val="FootnoteText"/>
        <w:suppressAutoHyphens/>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w:t>
      </w:r>
      <w:proofErr w:type="spellStart"/>
      <w:r w:rsidR="001C0F3F" w:rsidRPr="00106EAB">
        <w:rPr>
          <w:color w:val="000000" w:themeColor="text1"/>
          <w:sz w:val="24"/>
          <w:lang w:val="lv-LV"/>
        </w:rPr>
        <w:t>apakškombinācijas</w:t>
      </w:r>
      <w:proofErr w:type="spellEnd"/>
      <w:r w:rsidR="001C0F3F" w:rsidRPr="00106EAB">
        <w:rPr>
          <w:color w:val="000000" w:themeColor="text1"/>
          <w:sz w:val="24"/>
          <w:lang w:val="lv-LV"/>
        </w:rPr>
        <w:t xml:space="preserve">, sastāv vai ir ražoti no tām (OV C, C/2025/1799, 4.4.2025., ELI: </w:t>
      </w:r>
      <w:hyperlink r:id="rId6" w:history="1">
        <w:r w:rsidR="001C0F3F" w:rsidRPr="00106EAB">
          <w:rPr>
            <w:rStyle w:val="Hyperlink"/>
            <w:sz w:val="24"/>
            <w:lang w:val="lv-LV"/>
          </w:rPr>
          <w:t>http://data.europa.eu/eli/C/2025/1799/oj</w:t>
        </w:r>
      </w:hyperlink>
      <w:r w:rsidR="001C0F3F" w:rsidRPr="00106EAB">
        <w:rPr>
          <w:color w:val="000000" w:themeColor="text1"/>
          <w:sz w:val="24"/>
          <w:lang w:val="lv-LV"/>
        </w:rPr>
        <w:t>),</w:t>
      </w:r>
    </w:p>
    <w:p w14:paraId="3DEE56DB" w14:textId="28E026BB" w:rsidR="001C0F3F" w:rsidRPr="00106EAB" w:rsidRDefault="00106EAB" w:rsidP="00106EAB">
      <w:pPr>
        <w:pStyle w:val="FootnoteText"/>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1C0F3F" w:rsidRPr="00106EAB">
          <w:rPr>
            <w:rStyle w:val="Hyperlink"/>
            <w:sz w:val="24"/>
            <w:lang w:val="lv-LV"/>
          </w:rPr>
          <w:t>http://data.europa.eu/eli/C/2025/1800/oj</w:t>
        </w:r>
      </w:hyperlink>
      <w:r w:rsidR="001C0F3F" w:rsidRPr="00106EAB">
        <w:rPr>
          <w:color w:val="000000" w:themeColor="text1"/>
          <w:sz w:val="24"/>
          <w:lang w:val="lv-LV"/>
        </w:rPr>
        <w:t>),</w:t>
      </w:r>
    </w:p>
    <w:p w14:paraId="7B86F66F" w14:textId="3A3AA754" w:rsidR="001C0F3F" w:rsidRPr="00106EAB" w:rsidRDefault="00106EAB" w:rsidP="00106EAB">
      <w:pPr>
        <w:pStyle w:val="FootnoteText"/>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1C0F3F" w:rsidRPr="00106EAB">
          <w:rPr>
            <w:rStyle w:val="Hyperlink"/>
            <w:sz w:val="24"/>
            <w:lang w:val="lv-LV"/>
          </w:rPr>
          <w:t>http://data.europa.eu/eli/C/2025/1801/oj</w:t>
        </w:r>
      </w:hyperlink>
      <w:r w:rsidR="001C0F3F" w:rsidRPr="00106EAB">
        <w:rPr>
          <w:color w:val="000000" w:themeColor="text1"/>
          <w:sz w:val="24"/>
          <w:lang w:val="lv-LV"/>
        </w:rPr>
        <w:t>),</w:t>
      </w:r>
    </w:p>
    <w:p w14:paraId="03A8E93A" w14:textId="773221B8" w:rsidR="001C0F3F" w:rsidRPr="00106EAB" w:rsidRDefault="00106EAB" w:rsidP="00106EAB">
      <w:pPr>
        <w:pStyle w:val="FootnoteText"/>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1C0F3F" w:rsidRPr="00106EAB">
          <w:rPr>
            <w:rStyle w:val="Hyperlink"/>
            <w:sz w:val="24"/>
            <w:lang w:val="lv-LV"/>
          </w:rPr>
          <w:t>http://data.europa.eu/eli/C/2025/1802/oj</w:t>
        </w:r>
      </w:hyperlink>
      <w:r w:rsidR="001C0F3F" w:rsidRPr="00106EAB">
        <w:rPr>
          <w:color w:val="000000" w:themeColor="text1"/>
          <w:sz w:val="24"/>
          <w:lang w:val="lv-LV"/>
        </w:rPr>
        <w:t>),</w:t>
      </w:r>
    </w:p>
    <w:p w14:paraId="020814F0" w14:textId="594498BD" w:rsidR="001C0F3F" w:rsidRPr="00106EAB" w:rsidRDefault="00106EAB" w:rsidP="00106EAB">
      <w:pPr>
        <w:pStyle w:val="FootnoteText"/>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1C0F3F" w:rsidRPr="00106EAB">
          <w:rPr>
            <w:rStyle w:val="Hyperlink"/>
            <w:sz w:val="24"/>
            <w:lang w:val="lv-LV"/>
          </w:rPr>
          <w:t>http://data.europa.eu/eli/C/2025/1803/oj</w:t>
        </w:r>
      </w:hyperlink>
      <w:r w:rsidR="001C0F3F" w:rsidRPr="00106EAB">
        <w:rPr>
          <w:color w:val="000000" w:themeColor="text1"/>
          <w:sz w:val="24"/>
          <w:lang w:val="lv-LV"/>
        </w:rPr>
        <w:t>),</w:t>
      </w:r>
    </w:p>
    <w:p w14:paraId="0B17FDE1" w14:textId="37A45F1B" w:rsidR="001C0F3F" w:rsidRPr="00106EAB" w:rsidRDefault="00106EAB" w:rsidP="00106EAB">
      <w:pPr>
        <w:pStyle w:val="FootnoteText"/>
        <w:ind w:left="567" w:hanging="567"/>
        <w:rPr>
          <w:color w:val="000000" w:themeColor="text1"/>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1C0F3F" w:rsidRPr="00106EAB">
          <w:rPr>
            <w:rStyle w:val="Hyperlink"/>
            <w:sz w:val="24"/>
            <w:lang w:val="lv-LV"/>
          </w:rPr>
          <w:t>http://data.europa.eu/eli/C/2025/1804/oj</w:t>
        </w:r>
      </w:hyperlink>
      <w:r w:rsidR="001C0F3F" w:rsidRPr="00106EAB">
        <w:rPr>
          <w:color w:val="000000" w:themeColor="text1"/>
          <w:sz w:val="24"/>
          <w:lang w:val="lv-LV"/>
        </w:rPr>
        <w:t>),</w:t>
      </w:r>
    </w:p>
    <w:p w14:paraId="3273472E" w14:textId="37E15D7C" w:rsidR="001C0F3F" w:rsidRPr="00106EAB" w:rsidRDefault="00106EAB" w:rsidP="00106EAB">
      <w:pPr>
        <w:pStyle w:val="FootnoteText"/>
        <w:ind w:left="567" w:hanging="567"/>
        <w:rPr>
          <w:sz w:val="24"/>
          <w:vertAlign w:val="superscript"/>
          <w:lang w:val="lv-LV"/>
        </w:rPr>
      </w:pPr>
      <w:r w:rsidRPr="00106EAB">
        <w:rPr>
          <w:color w:val="000000" w:themeColor="text1"/>
          <w:sz w:val="24"/>
          <w:lang w:val="lv-LV"/>
        </w:rPr>
        <w:t xml:space="preserve"> </w:t>
      </w:r>
      <w:r w:rsidRPr="00106EAB">
        <w:rPr>
          <w:color w:val="000000" w:themeColor="text1"/>
          <w:sz w:val="24"/>
          <w:lang w:val="lv-LV"/>
        </w:rPr>
        <w:tab/>
      </w:r>
      <w:r w:rsidR="001C0F3F" w:rsidRPr="00106EAB">
        <w:rPr>
          <w:color w:val="000000" w:themeColor="text1"/>
          <w:sz w:val="24"/>
          <w:lang w:val="lv-LV"/>
        </w:rPr>
        <w:t>–</w:t>
      </w:r>
      <w:r w:rsidR="001C0F3F" w:rsidRPr="00106EAB">
        <w:rPr>
          <w:color w:val="000000" w:themeColor="text1"/>
          <w:sz w:val="24"/>
          <w:lang w:val="lv-LV"/>
        </w:rPr>
        <w:tab/>
      </w:r>
      <w:r w:rsidR="001C0F3F" w:rsidRPr="00106EAB">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no tās sastāv vai ir no tās ražoti (OV C, C/2025/2246, 29.4.2025., ELI: </w:t>
      </w:r>
      <w:hyperlink r:id="rId12" w:tooltip="Piekļuve dokumentam, izmantojot tā ELI URI." w:history="1">
        <w:r w:rsidR="001C0F3F" w:rsidRPr="00106EAB">
          <w:rPr>
            <w:rStyle w:val="Hyperlink"/>
            <w:sz w:val="24"/>
            <w:lang w:val="lv-LV"/>
          </w:rPr>
          <w:t>http://data.europa.eu/eli/C/2025/2246/oj</w:t>
        </w:r>
      </w:hyperlink>
      <w:r w:rsidR="001C0F3F" w:rsidRPr="00106EAB">
        <w:rPr>
          <w:sz w:val="24"/>
          <w:lang w:val="lv-LV"/>
        </w:rPr>
        <w:t>),</w:t>
      </w:r>
    </w:p>
    <w:p w14:paraId="0B7E8127" w14:textId="5BCC2D3F"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 xml:space="preserve">Eiropas Parlamenta 2025. gada 12. februāra rezolūcija par projektu Komisijas īstenošanas lēmumam, ar ko atbilstoši Eiropas Parlamenta un Padomes Regulai (EK) Nr. 1829/2003 atļauj laist tirgū produktus, kas satur ģenētiski modificētu kukurūzu MON 95275, no tās sastāv vai ir no tās ražoti (OV C, C/2025/2247, 29.4.2025., ELI: </w:t>
      </w:r>
      <w:hyperlink r:id="rId13" w:tooltip="Piekļuve dokumentam, izmantojot tā ELI URI." w:history="1">
        <w:r w:rsidR="001C0F3F" w:rsidRPr="00106EAB">
          <w:rPr>
            <w:rStyle w:val="Hyperlink"/>
            <w:sz w:val="24"/>
            <w:lang w:val="lv-LV"/>
          </w:rPr>
          <w:t>http://data.europa.eu/eli/C/2025/2247/oj</w:t>
        </w:r>
      </w:hyperlink>
      <w:r w:rsidR="001C0F3F" w:rsidRPr="00106EAB">
        <w:rPr>
          <w:sz w:val="24"/>
          <w:lang w:val="lv-LV"/>
        </w:rPr>
        <w:t>),</w:t>
      </w:r>
    </w:p>
    <w:p w14:paraId="0F2D6A68" w14:textId="42F0A380"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5C57E093" w14:textId="24BD48A2"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8. oktobra rezolūcija par Komisijas 2025. gada 22. septembra īstenošanas Lēmumu (ES) 2025/1898, ar ko atbilstoši Eiropas Parlamenta un Padomes Regulai (EK) Nr. 1829/2003 atļauj laist tirgū produktus, kas satur ģenētiski modificētu kukurūzu DP51291, sastāv vai ir ražoti no tās (P10_TA(2025)0222),</w:t>
      </w:r>
    </w:p>
    <w:p w14:paraId="324F3FDB" w14:textId="0C982E3F"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25. novembra rezolūcija par projektu Komisijas īstenošanas lēmumam, ar ko atbilstoši Eiropas Parlamenta un Padomes Regulai (EK) Nr. 1829/2003 atļauj laist tirgū produktus, kas satur ģenētiski modificētu kukurūzu DAS1131, sastāv vai ir ražoti no tās (P10_TA(2025)0288),</w:t>
      </w:r>
    </w:p>
    <w:p w14:paraId="25518BA1" w14:textId="4532CDA0"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kokvilnu MON 88913 (MON-88913-8), sastāv vai ir ražoti no tās (P10_TA(2025)0289),</w:t>
      </w:r>
    </w:p>
    <w:p w14:paraId="44665583" w14:textId="49074971"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eļļas rapsi MON 88302, sastāv vai ir ražoti no tā (P10_TA(2025)0290),</w:t>
      </w:r>
    </w:p>
    <w:p w14:paraId="24EB5B02" w14:textId="3799577B" w:rsidR="001C0F3F" w:rsidRPr="00106EAB" w:rsidRDefault="00106EAB" w:rsidP="00106EAB">
      <w:pPr>
        <w:pStyle w:val="FootnoteText"/>
        <w:ind w:left="567" w:hanging="567"/>
        <w:rPr>
          <w:sz w:val="24"/>
          <w:vertAlign w:val="superscript"/>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25. novembra rezolūcija par Komisijas īstenošanas lēmumu, ar kuru atbilstoši Eiropas Parlamenta un Padomes Regulai (EK) Nr. 1829/2003 atjauno atļauju laist tirgū produktus, kas satur ģenētiski modificētas sojas pupas MON 87708, sastāv vai ir ražoti no tām (P10_TA(2025)0291),</w:t>
      </w:r>
    </w:p>
    <w:p w14:paraId="740F1C16" w14:textId="10BDE4F3" w:rsidR="001C0F3F" w:rsidRPr="00106EAB" w:rsidRDefault="00106EAB" w:rsidP="00106EAB">
      <w:pPr>
        <w:pStyle w:val="FootnoteText"/>
        <w:ind w:left="567" w:hanging="567"/>
        <w:rPr>
          <w:sz w:val="24"/>
          <w:lang w:val="lv-LV"/>
        </w:rPr>
      </w:pPr>
      <w:r w:rsidRPr="00106EAB">
        <w:rPr>
          <w:sz w:val="24"/>
          <w:lang w:val="lv-LV"/>
        </w:rPr>
        <w:t xml:space="preserve"> </w:t>
      </w:r>
      <w:r w:rsidRPr="00106EAB">
        <w:rPr>
          <w:sz w:val="24"/>
          <w:lang w:val="lv-LV"/>
        </w:rPr>
        <w:tab/>
      </w:r>
      <w:r w:rsidR="001C0F3F" w:rsidRPr="00106EAB">
        <w:rPr>
          <w:sz w:val="24"/>
          <w:lang w:val="lv-LV"/>
        </w:rPr>
        <w:t>–</w:t>
      </w:r>
      <w:r w:rsidR="001C0F3F" w:rsidRPr="00106EAB">
        <w:rPr>
          <w:sz w:val="24"/>
          <w:lang w:val="lv-LV"/>
        </w:rPr>
        <w:tab/>
        <w:t>Eiropas Parlamenta 2025. gada 25. novembra rezolūcija par projektu Komisijas īstenošanas lēmumam, ar kuru atbilstoši Eiropas Parlamenta un Padomes Regulai (EK) Nr. 1829/2003 atjauno atļauju laist tirgū produktus, kas satur ģenētiski modificētu kukurūzu MON 87427, sastāv vai ir ražoti no tās (P10_TA(2025)0292).</w:t>
      </w:r>
    </w:p>
  </w:footnote>
  <w:footnote w:id="5">
    <w:p w14:paraId="02B57953" w14:textId="11BF5113"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shd w:val="clear" w:color="auto" w:fill="FFFFFF"/>
          <w:lang w:val="lv-LV"/>
        </w:rPr>
        <w:t xml:space="preserve"> </w:t>
      </w:r>
      <w:r w:rsidR="00106EAB" w:rsidRPr="00106EAB">
        <w:rPr>
          <w:sz w:val="24"/>
          <w:shd w:val="clear" w:color="auto" w:fill="FFFFFF"/>
          <w:lang w:val="lv-LV"/>
        </w:rPr>
        <w:tab/>
      </w:r>
      <w:r w:rsidRPr="00106EAB">
        <w:rPr>
          <w:sz w:val="24"/>
          <w:shd w:val="clear" w:color="auto" w:fill="FFFFFF"/>
          <w:lang w:val="lv-LV"/>
        </w:rPr>
        <w:t xml:space="preserve">Sk., piemēram, </w:t>
      </w:r>
      <w:proofErr w:type="spellStart"/>
      <w:r w:rsidRPr="00106EAB">
        <w:rPr>
          <w:i/>
          <w:iCs/>
          <w:sz w:val="24"/>
          <w:shd w:val="clear" w:color="auto" w:fill="FFFFFF"/>
          <w:lang w:val="lv-LV"/>
        </w:rPr>
        <w:t>Bonny</w:t>
      </w:r>
      <w:proofErr w:type="spellEnd"/>
      <w:r w:rsidRPr="00106EAB">
        <w:rPr>
          <w:sz w:val="24"/>
          <w:shd w:val="clear" w:color="auto" w:fill="FFFFFF"/>
          <w:lang w:val="lv-LV"/>
        </w:rPr>
        <w:t xml:space="preserve">, </w:t>
      </w:r>
      <w:r w:rsidRPr="00106EAB">
        <w:rPr>
          <w:i/>
          <w:iCs/>
          <w:sz w:val="24"/>
          <w:shd w:val="clear" w:color="auto" w:fill="FFFFFF"/>
          <w:lang w:val="lv-LV"/>
        </w:rPr>
        <w:t>S.</w:t>
      </w:r>
      <w:r w:rsidRPr="00106EAB">
        <w:rPr>
          <w:sz w:val="24"/>
          <w:shd w:val="clear" w:color="auto" w:fill="FFFFFF"/>
          <w:lang w:val="lv-LV"/>
        </w:rPr>
        <w:t>, “</w:t>
      </w:r>
      <w:proofErr w:type="spellStart"/>
      <w:r w:rsidRPr="00106EAB">
        <w:rPr>
          <w:i/>
          <w:iCs/>
          <w:sz w:val="24"/>
          <w:shd w:val="clear" w:color="auto" w:fill="FFFFFF"/>
          <w:lang w:val="lv-LV"/>
        </w:rPr>
        <w:t>Genetically</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Modified</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Herbicide-Tolerant</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Crops</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Weeds</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and</w:t>
      </w:r>
      <w:proofErr w:type="spellEnd"/>
      <w:r w:rsidRPr="00106EAB">
        <w:rPr>
          <w:i/>
          <w:iCs/>
          <w:sz w:val="24"/>
          <w:shd w:val="clear" w:color="auto" w:fill="FFFFFF"/>
          <w:lang w:val="lv-LV"/>
        </w:rPr>
        <w:t xml:space="preserve"> </w:t>
      </w:r>
      <w:proofErr w:type="spellStart"/>
      <w:r w:rsidRPr="00106EAB">
        <w:rPr>
          <w:i/>
          <w:iCs/>
          <w:sz w:val="24"/>
          <w:shd w:val="clear" w:color="auto" w:fill="FFFFFF"/>
          <w:lang w:val="lv-LV"/>
        </w:rPr>
        <w:t>Herbicides</w:t>
      </w:r>
      <w:proofErr w:type="spellEnd"/>
      <w:r w:rsidRPr="00106EAB">
        <w:rPr>
          <w:i/>
          <w:iCs/>
          <w:sz w:val="24"/>
          <w:shd w:val="clear" w:color="auto" w:fill="FFFFFF"/>
          <w:lang w:val="lv-LV"/>
        </w:rPr>
        <w:t>:</w:t>
      </w:r>
      <w:r w:rsidRPr="00106EAB">
        <w:rPr>
          <w:sz w:val="24"/>
          <w:shd w:val="clear" w:color="auto" w:fill="FFFFFF"/>
          <w:lang w:val="lv-LV"/>
        </w:rPr>
        <w:t xml:space="preserve"> </w:t>
      </w:r>
      <w:proofErr w:type="spellStart"/>
      <w:r w:rsidRPr="00106EAB">
        <w:rPr>
          <w:i/>
          <w:iCs/>
          <w:sz w:val="24"/>
          <w:lang w:val="lv-LV"/>
        </w:rPr>
        <w:t>Overview</w:t>
      </w:r>
      <w:proofErr w:type="spellEnd"/>
      <w:r w:rsidRPr="00106EAB">
        <w:rPr>
          <w:i/>
          <w:iCs/>
          <w:sz w:val="24"/>
          <w:lang w:val="lv-LV"/>
        </w:rPr>
        <w:t xml:space="preserve"> </w:t>
      </w:r>
      <w:proofErr w:type="spellStart"/>
      <w:r w:rsidRPr="00106EAB">
        <w:rPr>
          <w:i/>
          <w:iCs/>
          <w:sz w:val="24"/>
          <w:lang w:val="lv-LV"/>
        </w:rPr>
        <w:t>and</w:t>
      </w:r>
      <w:proofErr w:type="spellEnd"/>
      <w:r w:rsidRPr="00106EAB">
        <w:rPr>
          <w:i/>
          <w:iCs/>
          <w:sz w:val="24"/>
          <w:lang w:val="lv-LV"/>
        </w:rPr>
        <w:t xml:space="preserve"> </w:t>
      </w:r>
      <w:proofErr w:type="spellStart"/>
      <w:r w:rsidRPr="00106EAB">
        <w:rPr>
          <w:i/>
          <w:iCs/>
          <w:sz w:val="24"/>
          <w:lang w:val="lv-LV"/>
        </w:rPr>
        <w:t>Impact</w:t>
      </w:r>
      <w:proofErr w:type="spellEnd"/>
      <w:r w:rsidRPr="00106EAB">
        <w:rPr>
          <w:sz w:val="24"/>
          <w:lang w:val="lv-LV"/>
        </w:rPr>
        <w:t xml:space="preserve">”, </w:t>
      </w:r>
      <w:proofErr w:type="spellStart"/>
      <w:r w:rsidRPr="00106EAB">
        <w:rPr>
          <w:i/>
          <w:iCs/>
          <w:sz w:val="24"/>
          <w:lang w:val="lv-LV"/>
        </w:rPr>
        <w:t>Environmental</w:t>
      </w:r>
      <w:proofErr w:type="spellEnd"/>
      <w:r w:rsidRPr="00106EAB">
        <w:rPr>
          <w:i/>
          <w:iCs/>
          <w:sz w:val="24"/>
          <w:lang w:val="lv-LV"/>
        </w:rPr>
        <w:t xml:space="preserve"> </w:t>
      </w:r>
      <w:proofErr w:type="spellStart"/>
      <w:r w:rsidRPr="00106EAB">
        <w:rPr>
          <w:i/>
          <w:iCs/>
          <w:sz w:val="24"/>
          <w:lang w:val="lv-LV"/>
        </w:rPr>
        <w:t>Management</w:t>
      </w:r>
      <w:proofErr w:type="spellEnd"/>
      <w:r w:rsidRPr="00106EAB">
        <w:rPr>
          <w:sz w:val="24"/>
          <w:lang w:val="lv-LV"/>
        </w:rPr>
        <w:t xml:space="preserve">, 2016. gada janvāris; 57(1), 31.–48. lpp., </w:t>
      </w:r>
      <w:hyperlink r:id="rId14" w:history="1">
        <w:r w:rsidRPr="00106EAB">
          <w:rPr>
            <w:rStyle w:val="Hyperlink"/>
            <w:sz w:val="24"/>
            <w:shd w:val="clear" w:color="auto" w:fill="FFFFFF"/>
            <w:lang w:val="lv-LV"/>
          </w:rPr>
          <w:t>https://doi.org/10.1007/s00267-015-0589-7</w:t>
        </w:r>
      </w:hyperlink>
      <w:r w:rsidRPr="00106EAB">
        <w:rPr>
          <w:sz w:val="24"/>
          <w:lang w:val="lv-LV"/>
        </w:rPr>
        <w:t xml:space="preserve">, un </w:t>
      </w:r>
      <w:proofErr w:type="spellStart"/>
      <w:r w:rsidRPr="00106EAB">
        <w:rPr>
          <w:i/>
          <w:iCs/>
          <w:sz w:val="24"/>
          <w:lang w:val="lv-LV"/>
        </w:rPr>
        <w:t>Benbrook</w:t>
      </w:r>
      <w:proofErr w:type="spellEnd"/>
      <w:r w:rsidRPr="00106EAB">
        <w:rPr>
          <w:sz w:val="24"/>
          <w:lang w:val="lv-LV"/>
        </w:rPr>
        <w:t xml:space="preserve">, </w:t>
      </w:r>
      <w:r w:rsidRPr="00106EAB">
        <w:rPr>
          <w:i/>
          <w:iCs/>
          <w:sz w:val="24"/>
          <w:lang w:val="lv-LV"/>
        </w:rPr>
        <w:t>C. M.</w:t>
      </w:r>
      <w:r w:rsidRPr="00106EAB">
        <w:rPr>
          <w:sz w:val="24"/>
          <w:lang w:val="lv-LV"/>
        </w:rPr>
        <w:t>, “</w:t>
      </w:r>
      <w:proofErr w:type="spellStart"/>
      <w:r w:rsidRPr="00106EAB">
        <w:rPr>
          <w:i/>
          <w:iCs/>
          <w:sz w:val="24"/>
          <w:lang w:val="lv-LV"/>
        </w:rPr>
        <w:t>Impacts</w:t>
      </w:r>
      <w:proofErr w:type="spellEnd"/>
      <w:r w:rsidRPr="00106EAB">
        <w:rPr>
          <w:i/>
          <w:iCs/>
          <w:sz w:val="24"/>
          <w:lang w:val="lv-LV"/>
        </w:rPr>
        <w:t xml:space="preserve"> </w:t>
      </w:r>
      <w:proofErr w:type="spellStart"/>
      <w:r w:rsidRPr="00106EAB">
        <w:rPr>
          <w:i/>
          <w:iCs/>
          <w:sz w:val="24"/>
          <w:lang w:val="lv-LV"/>
        </w:rPr>
        <w:t>of</w:t>
      </w:r>
      <w:proofErr w:type="spellEnd"/>
      <w:r w:rsidRPr="00106EAB">
        <w:rPr>
          <w:i/>
          <w:iCs/>
          <w:sz w:val="24"/>
          <w:lang w:val="lv-LV"/>
        </w:rPr>
        <w:t xml:space="preserve"> </w:t>
      </w:r>
      <w:proofErr w:type="spellStart"/>
      <w:r w:rsidRPr="00106EAB">
        <w:rPr>
          <w:i/>
          <w:iCs/>
          <w:sz w:val="24"/>
          <w:lang w:val="lv-LV"/>
        </w:rPr>
        <w:t>genetically</w:t>
      </w:r>
      <w:proofErr w:type="spellEnd"/>
      <w:r w:rsidRPr="00106EAB">
        <w:rPr>
          <w:i/>
          <w:iCs/>
          <w:sz w:val="24"/>
          <w:lang w:val="lv-LV"/>
        </w:rPr>
        <w:t xml:space="preserve"> </w:t>
      </w:r>
      <w:proofErr w:type="spellStart"/>
      <w:r w:rsidRPr="00106EAB">
        <w:rPr>
          <w:i/>
          <w:iCs/>
          <w:sz w:val="24"/>
          <w:lang w:val="lv-LV"/>
        </w:rPr>
        <w:t>engineered</w:t>
      </w:r>
      <w:proofErr w:type="spellEnd"/>
      <w:r w:rsidRPr="00106EAB">
        <w:rPr>
          <w:i/>
          <w:iCs/>
          <w:sz w:val="24"/>
          <w:lang w:val="lv-LV"/>
        </w:rPr>
        <w:t xml:space="preserve"> </w:t>
      </w:r>
      <w:proofErr w:type="spellStart"/>
      <w:r w:rsidRPr="00106EAB">
        <w:rPr>
          <w:i/>
          <w:iCs/>
          <w:sz w:val="24"/>
          <w:lang w:val="lv-LV"/>
        </w:rPr>
        <w:t>crops</w:t>
      </w:r>
      <w:proofErr w:type="spellEnd"/>
      <w:r w:rsidRPr="00106EAB">
        <w:rPr>
          <w:i/>
          <w:iCs/>
          <w:sz w:val="24"/>
          <w:lang w:val="lv-LV"/>
        </w:rPr>
        <w:t xml:space="preserve"> </w:t>
      </w:r>
      <w:proofErr w:type="spellStart"/>
      <w:r w:rsidRPr="00106EAB">
        <w:rPr>
          <w:i/>
          <w:iCs/>
          <w:sz w:val="24"/>
          <w:lang w:val="lv-LV"/>
        </w:rPr>
        <w:t>on</w:t>
      </w:r>
      <w:proofErr w:type="spellEnd"/>
      <w:r w:rsidRPr="00106EAB">
        <w:rPr>
          <w:i/>
          <w:iCs/>
          <w:sz w:val="24"/>
          <w:lang w:val="lv-LV"/>
        </w:rPr>
        <w:t xml:space="preserve"> </w:t>
      </w:r>
      <w:proofErr w:type="spellStart"/>
      <w:r w:rsidRPr="00106EAB">
        <w:rPr>
          <w:i/>
          <w:iCs/>
          <w:sz w:val="24"/>
          <w:lang w:val="lv-LV"/>
        </w:rPr>
        <w:t>pesticide</w:t>
      </w:r>
      <w:proofErr w:type="spellEnd"/>
      <w:r w:rsidRPr="00106EAB">
        <w:rPr>
          <w:i/>
          <w:iCs/>
          <w:sz w:val="24"/>
          <w:lang w:val="lv-LV"/>
        </w:rPr>
        <w:t xml:space="preserve"> </w:t>
      </w:r>
      <w:proofErr w:type="spellStart"/>
      <w:r w:rsidRPr="00106EAB">
        <w:rPr>
          <w:i/>
          <w:iCs/>
          <w:sz w:val="24"/>
          <w:lang w:val="lv-LV"/>
        </w:rPr>
        <w:t>use</w:t>
      </w:r>
      <w:proofErr w:type="spellEnd"/>
      <w:r w:rsidRPr="00106EAB">
        <w:rPr>
          <w:i/>
          <w:iCs/>
          <w:sz w:val="24"/>
          <w:lang w:val="lv-LV"/>
        </w:rPr>
        <w:t xml:space="preserve"> </w:t>
      </w:r>
      <w:proofErr w:type="spellStart"/>
      <w:r w:rsidRPr="00106EAB">
        <w:rPr>
          <w:i/>
          <w:iCs/>
          <w:sz w:val="24"/>
          <w:lang w:val="lv-LV"/>
        </w:rPr>
        <w:t>in</w:t>
      </w:r>
      <w:proofErr w:type="spellEnd"/>
      <w:r w:rsidRPr="00106EAB">
        <w:rPr>
          <w:i/>
          <w:iCs/>
          <w:sz w:val="24"/>
          <w:lang w:val="lv-LV"/>
        </w:rPr>
        <w:t xml:space="preserve"> </w:t>
      </w:r>
      <w:proofErr w:type="spellStart"/>
      <w:r w:rsidRPr="00106EAB">
        <w:rPr>
          <w:i/>
          <w:iCs/>
          <w:sz w:val="24"/>
          <w:lang w:val="lv-LV"/>
        </w:rPr>
        <w:t>the</w:t>
      </w:r>
      <w:proofErr w:type="spellEnd"/>
      <w:r w:rsidRPr="00106EAB">
        <w:rPr>
          <w:i/>
          <w:iCs/>
          <w:sz w:val="24"/>
          <w:lang w:val="lv-LV"/>
        </w:rPr>
        <w:t xml:space="preserve"> U.S. – </w:t>
      </w:r>
      <w:proofErr w:type="spellStart"/>
      <w:r w:rsidRPr="00106EAB">
        <w:rPr>
          <w:i/>
          <w:iCs/>
          <w:sz w:val="24"/>
          <w:lang w:val="lv-LV"/>
        </w:rPr>
        <w:t>the</w:t>
      </w:r>
      <w:proofErr w:type="spellEnd"/>
      <w:r w:rsidRPr="00106EAB">
        <w:rPr>
          <w:i/>
          <w:iCs/>
          <w:sz w:val="24"/>
          <w:lang w:val="lv-LV"/>
        </w:rPr>
        <w:t xml:space="preserve"> first </w:t>
      </w:r>
      <w:proofErr w:type="spellStart"/>
      <w:r w:rsidRPr="00106EAB">
        <w:rPr>
          <w:i/>
          <w:iCs/>
          <w:sz w:val="24"/>
          <w:lang w:val="lv-LV"/>
        </w:rPr>
        <w:t>sixteen</w:t>
      </w:r>
      <w:proofErr w:type="spellEnd"/>
      <w:r w:rsidRPr="00106EAB">
        <w:rPr>
          <w:i/>
          <w:iCs/>
          <w:sz w:val="24"/>
          <w:lang w:val="lv-LV"/>
        </w:rPr>
        <w:t xml:space="preserve"> </w:t>
      </w:r>
      <w:proofErr w:type="spellStart"/>
      <w:r w:rsidRPr="00106EAB">
        <w:rPr>
          <w:i/>
          <w:iCs/>
          <w:sz w:val="24"/>
          <w:lang w:val="lv-LV"/>
        </w:rPr>
        <w:t>years</w:t>
      </w:r>
      <w:proofErr w:type="spellEnd"/>
      <w:r w:rsidRPr="00106EAB">
        <w:rPr>
          <w:sz w:val="24"/>
          <w:lang w:val="lv-LV"/>
        </w:rPr>
        <w:t xml:space="preserve">”, </w:t>
      </w:r>
      <w:proofErr w:type="spellStart"/>
      <w:r w:rsidRPr="00106EAB">
        <w:rPr>
          <w:i/>
          <w:iCs/>
          <w:sz w:val="24"/>
          <w:lang w:val="lv-LV"/>
        </w:rPr>
        <w:t>Environmental</w:t>
      </w:r>
      <w:proofErr w:type="spellEnd"/>
      <w:r w:rsidRPr="00106EAB">
        <w:rPr>
          <w:i/>
          <w:iCs/>
          <w:sz w:val="24"/>
          <w:lang w:val="lv-LV"/>
        </w:rPr>
        <w:t xml:space="preserve"> </w:t>
      </w:r>
      <w:proofErr w:type="spellStart"/>
      <w:r w:rsidRPr="00106EAB">
        <w:rPr>
          <w:i/>
          <w:iCs/>
          <w:sz w:val="24"/>
          <w:lang w:val="lv-LV"/>
        </w:rPr>
        <w:t>Sciences</w:t>
      </w:r>
      <w:proofErr w:type="spellEnd"/>
      <w:r w:rsidRPr="00106EAB">
        <w:rPr>
          <w:i/>
          <w:iCs/>
          <w:sz w:val="24"/>
          <w:lang w:val="lv-LV"/>
        </w:rPr>
        <w:t xml:space="preserve"> </w:t>
      </w:r>
      <w:proofErr w:type="spellStart"/>
      <w:r w:rsidRPr="00106EAB">
        <w:rPr>
          <w:i/>
          <w:iCs/>
          <w:sz w:val="24"/>
          <w:lang w:val="lv-LV"/>
        </w:rPr>
        <w:t>Europe</w:t>
      </w:r>
      <w:proofErr w:type="spellEnd"/>
      <w:r w:rsidRPr="00106EAB">
        <w:rPr>
          <w:sz w:val="24"/>
          <w:lang w:val="lv-LV"/>
        </w:rPr>
        <w:t>,</w:t>
      </w:r>
      <w:r w:rsidRPr="00106EAB">
        <w:rPr>
          <w:sz w:val="24"/>
          <w:shd w:val="clear" w:color="auto" w:fill="FFFFFF"/>
          <w:lang w:val="lv-LV"/>
        </w:rPr>
        <w:t xml:space="preserve"> 2012. gada 28. septembris, sēj. 24(1), </w:t>
      </w:r>
      <w:hyperlink r:id="rId15" w:history="1">
        <w:r w:rsidRPr="00106EAB">
          <w:rPr>
            <w:rStyle w:val="Hyperlink"/>
            <w:sz w:val="24"/>
            <w:lang w:val="lv-LV"/>
          </w:rPr>
          <w:t>https://doi.org/10.1186/2190-4715-24-24</w:t>
        </w:r>
      </w:hyperlink>
      <w:r w:rsidRPr="00106EAB">
        <w:rPr>
          <w:sz w:val="24"/>
          <w:lang w:val="lv-LV"/>
        </w:rPr>
        <w:t>.</w:t>
      </w:r>
    </w:p>
  </w:footnote>
  <w:footnote w:id="6">
    <w:p w14:paraId="06FC060D" w14:textId="36636358" w:rsidR="001C0F3F" w:rsidRPr="00106EAB" w:rsidRDefault="001C0F3F" w:rsidP="00106EAB">
      <w:pPr>
        <w:pStyle w:val="FootnoteText"/>
        <w:ind w:left="567" w:hanging="567"/>
        <w:rPr>
          <w:sz w:val="24"/>
          <w:vertAlign w:val="superscript"/>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 xml:space="preserve">Skat., piemēram: </w:t>
      </w:r>
      <w:hyperlink r:id="rId16" w:history="1">
        <w:r w:rsidRPr="00106EAB">
          <w:rPr>
            <w:rStyle w:val="Hyperlink"/>
            <w:sz w:val="24"/>
            <w:lang w:val="lv-LV"/>
          </w:rPr>
          <w:t>https://doi.org/10.1002/ps.8105</w:t>
        </w:r>
      </w:hyperlink>
      <w:r w:rsidRPr="00106EAB">
        <w:rPr>
          <w:sz w:val="24"/>
          <w:lang w:val="lv-LV"/>
        </w:rPr>
        <w:t>,</w:t>
      </w:r>
    </w:p>
    <w:p w14:paraId="0D80CA3D" w14:textId="1DE6E6CF" w:rsidR="001C0F3F" w:rsidRPr="00106EAB" w:rsidRDefault="00106EAB" w:rsidP="00106EAB">
      <w:pPr>
        <w:pStyle w:val="FootnoteText"/>
        <w:ind w:left="567" w:hanging="567"/>
        <w:rPr>
          <w:sz w:val="24"/>
          <w:lang w:val="lv-LV"/>
        </w:rPr>
      </w:pPr>
      <w:r w:rsidRPr="00106EAB">
        <w:rPr>
          <w:sz w:val="24"/>
          <w:lang w:val="lv-LV"/>
        </w:rPr>
        <w:t xml:space="preserve"> </w:t>
      </w:r>
      <w:r w:rsidRPr="00106EAB">
        <w:rPr>
          <w:sz w:val="24"/>
          <w:lang w:val="lv-LV"/>
        </w:rPr>
        <w:tab/>
      </w:r>
      <w:hyperlink r:id="rId17" w:tgtFrame="_blank" w:tooltip="Pastāvīgā saite – digitālo objektu identifikators" w:history="1">
        <w:r w:rsidR="001C0F3F" w:rsidRPr="00106EAB">
          <w:rPr>
            <w:rStyle w:val="Hyperlink"/>
            <w:sz w:val="24"/>
            <w:lang w:val="lv-LV"/>
          </w:rPr>
          <w:t>https://doi.org/10.1016/j.geoforum.2009.03.009</w:t>
        </w:r>
      </w:hyperlink>
      <w:r w:rsidR="001C0F3F" w:rsidRPr="00106EAB">
        <w:rPr>
          <w:sz w:val="24"/>
          <w:lang w:val="lv-LV"/>
        </w:rPr>
        <w:t>.</w:t>
      </w:r>
    </w:p>
  </w:footnote>
  <w:footnote w:id="7">
    <w:p w14:paraId="20DB4265" w14:textId="4A7E4148"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Skat., piemēram:</w:t>
      </w:r>
      <w:r w:rsidRPr="00106EAB">
        <w:rPr>
          <w:sz w:val="24"/>
          <w:lang w:val="lv-LV"/>
        </w:rPr>
        <w:br/>
      </w:r>
      <w:hyperlink r:id="rId18" w:tgtFrame="_blank" w:tooltip="Pastāvīgā saite – digitālo objektu identifikators" w:history="1">
        <w:r w:rsidRPr="00106EAB">
          <w:rPr>
            <w:rStyle w:val="Hyperlink"/>
            <w:sz w:val="24"/>
            <w:lang w:val="lv-LV"/>
          </w:rPr>
          <w:t>https://doi.org/10.1016/j.mrrev.2019.02.001</w:t>
        </w:r>
      </w:hyperlink>
      <w:r w:rsidRPr="00106EAB">
        <w:rPr>
          <w:sz w:val="24"/>
          <w:lang w:val="lv-LV"/>
        </w:rPr>
        <w:t>,</w:t>
      </w:r>
      <w:r w:rsidRPr="00106EAB">
        <w:rPr>
          <w:sz w:val="24"/>
          <w:lang w:val="lv-LV"/>
        </w:rPr>
        <w:br/>
      </w:r>
      <w:hyperlink r:id="rId19" w:history="1">
        <w:r w:rsidRPr="00106EAB">
          <w:rPr>
            <w:rStyle w:val="Hyperlink"/>
            <w:sz w:val="24"/>
            <w:lang w:val="lv-LV"/>
          </w:rPr>
          <w:t>https://doi.org/10.1093/ije/dyz017</w:t>
        </w:r>
      </w:hyperlink>
      <w:r w:rsidRPr="00106EAB">
        <w:rPr>
          <w:sz w:val="24"/>
          <w:lang w:val="lv-LV"/>
        </w:rPr>
        <w:t>,</w:t>
      </w:r>
      <w:r w:rsidRPr="00106EAB">
        <w:rPr>
          <w:sz w:val="24"/>
          <w:lang w:val="lv-LV"/>
        </w:rPr>
        <w:br/>
      </w:r>
      <w:hyperlink r:id="rId20" w:history="1">
        <w:r w:rsidRPr="00106EAB">
          <w:rPr>
            <w:rStyle w:val="Hyperlink"/>
            <w:sz w:val="24"/>
            <w:lang w:val="lv-LV"/>
          </w:rPr>
          <w:t>https://doi.org/10.1371/journal.pone.0219610</w:t>
        </w:r>
      </w:hyperlink>
      <w:r w:rsidRPr="00106EAB">
        <w:rPr>
          <w:sz w:val="24"/>
          <w:lang w:val="lv-LV"/>
        </w:rPr>
        <w:t xml:space="preserve"> un</w:t>
      </w:r>
      <w:r w:rsidRPr="00106EAB">
        <w:rPr>
          <w:sz w:val="24"/>
          <w:lang w:val="lv-LV"/>
        </w:rPr>
        <w:br/>
      </w:r>
      <w:hyperlink r:id="rId21" w:history="1">
        <w:r w:rsidRPr="00106EAB">
          <w:rPr>
            <w:rStyle w:val="Hyperlink"/>
            <w:sz w:val="24"/>
            <w:lang w:val="lv-LV"/>
          </w:rPr>
          <w:t>https://doi.org/10.1186/s13045-019-0767-9</w:t>
        </w:r>
      </w:hyperlink>
      <w:r w:rsidRPr="00106EAB">
        <w:rPr>
          <w:sz w:val="24"/>
          <w:lang w:val="lv-LV"/>
        </w:rPr>
        <w:t>.</w:t>
      </w:r>
    </w:p>
  </w:footnote>
  <w:footnote w:id="8">
    <w:p w14:paraId="168EE8C9" w14:textId="5274D6DD"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 xml:space="preserve">Eiropas Parlamenta un Padomes Regula (EK) Nr. 1107/2009 (2009. gada 21. oktobris ) par augu aizsardzības līdzekļu laišanu tirgū, ar ko atceļ Padomes Direktīvas 79/117/EEK un 91/414/EEK (OV L 309, 24.11.2009., 1. lpp., ELI: </w:t>
      </w:r>
      <w:hyperlink r:id="rId22" w:tooltip="Piekļuve dokumentam, izmantojot tā ELI URI." w:history="1">
        <w:r w:rsidRPr="00106EAB">
          <w:rPr>
            <w:rStyle w:val="Hyperlink"/>
            <w:sz w:val="24"/>
            <w:lang w:val="lv-LV"/>
          </w:rPr>
          <w:t>http://data.europa.eu/eli/reg/2009/1107/oj</w:t>
        </w:r>
      </w:hyperlink>
      <w:r w:rsidRPr="00106EAB">
        <w:rPr>
          <w:sz w:val="24"/>
          <w:lang w:val="lv-LV"/>
        </w:rPr>
        <w:t>).</w:t>
      </w:r>
    </w:p>
  </w:footnote>
  <w:footnote w:id="9">
    <w:p w14:paraId="038518D0" w14:textId="109B78C9"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 xml:space="preserve">2022. gada decembrī Apvienoto Nāciju Organizācijas </w:t>
      </w:r>
      <w:proofErr w:type="spellStart"/>
      <w:r w:rsidRPr="00106EAB">
        <w:rPr>
          <w:sz w:val="24"/>
          <w:lang w:val="lv-LV"/>
        </w:rPr>
        <w:t>Biodaudzveidības</w:t>
      </w:r>
      <w:proofErr w:type="spellEnd"/>
      <w:r w:rsidRPr="00106EAB">
        <w:rPr>
          <w:sz w:val="24"/>
          <w:lang w:val="lv-LV"/>
        </w:rPr>
        <w:t xml:space="preserve"> konvencijas Pušu konferences 15. sesijā tika panākta vienošanās par globālu </w:t>
      </w:r>
      <w:proofErr w:type="spellStart"/>
      <w:r w:rsidRPr="00106EAB">
        <w:rPr>
          <w:sz w:val="24"/>
          <w:lang w:val="lv-LV"/>
        </w:rPr>
        <w:t>biodaudzveidības</w:t>
      </w:r>
      <w:proofErr w:type="spellEnd"/>
      <w:r w:rsidRPr="00106EAB">
        <w:rPr>
          <w:sz w:val="24"/>
          <w:lang w:val="lv-LV"/>
        </w:rPr>
        <w:t xml:space="preserve"> satvaru, kas ietver globālu mērķi līdz 2030. gadam vismaz par 50 % samazināt pesticīdu radīto apdraudējumu (sk.:</w:t>
      </w:r>
      <w:r w:rsidRPr="00106EAB">
        <w:rPr>
          <w:color w:val="000000" w:themeColor="text1"/>
          <w:sz w:val="24"/>
          <w:lang w:val="lv-LV"/>
        </w:rPr>
        <w:t xml:space="preserve"> </w:t>
      </w:r>
      <w:hyperlink r:id="rId23" w:history="1">
        <w:r w:rsidRPr="00106EAB">
          <w:rPr>
            <w:rStyle w:val="Hyperlink"/>
            <w:sz w:val="24"/>
            <w:lang w:val="lv-LV"/>
          </w:rPr>
          <w:t>https://ec.europa.eu/commission/presscorner/detail/lv/ip_22_7834</w:t>
        </w:r>
      </w:hyperlink>
      <w:r w:rsidRPr="00106EAB">
        <w:rPr>
          <w:sz w:val="24"/>
          <w:lang w:val="lv-LV"/>
        </w:rPr>
        <w:t xml:space="preserve">). </w:t>
      </w:r>
    </w:p>
  </w:footnote>
  <w:footnote w:id="10">
    <w:p w14:paraId="24159EB8" w14:textId="50CEBA58"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hyperlink r:id="rId24" w:history="1">
        <w:r w:rsidRPr="00106EAB">
          <w:rPr>
            <w:rStyle w:val="Hyperlink"/>
            <w:sz w:val="24"/>
            <w:lang w:val="lv-LV"/>
          </w:rPr>
          <w:t>https://commission.europa.eu/topics/agriculture-and-rural-development/strategic-dialogue-future-eu-agriculture_lv</w:t>
        </w:r>
      </w:hyperlink>
      <w:r w:rsidRPr="00106EAB">
        <w:rPr>
          <w:sz w:val="24"/>
          <w:lang w:val="lv-LV"/>
        </w:rPr>
        <w:t xml:space="preserve">. </w:t>
      </w:r>
    </w:p>
  </w:footnote>
  <w:footnote w:id="11">
    <w:p w14:paraId="6C76CF0C" w14:textId="56E4D01D" w:rsidR="001C0F3F" w:rsidRPr="00106EAB" w:rsidRDefault="001C0F3F" w:rsidP="00106EAB">
      <w:pPr>
        <w:pStyle w:val="FootnoteText"/>
        <w:ind w:left="567" w:hanging="567"/>
        <w:rPr>
          <w:sz w:val="24"/>
          <w:lang w:val="lv-LV"/>
        </w:rPr>
      </w:pPr>
      <w:r w:rsidRPr="00106EAB">
        <w:rPr>
          <w:rStyle w:val="FootnoteReference"/>
          <w:sz w:val="24"/>
          <w:lang w:val="lv-LV"/>
        </w:rPr>
        <w:footnoteRef/>
      </w:r>
      <w:r w:rsidR="00106EAB" w:rsidRPr="00106EAB">
        <w:rPr>
          <w:sz w:val="24"/>
          <w:lang w:val="lv-LV"/>
        </w:rPr>
        <w:t xml:space="preserve"> </w:t>
      </w:r>
      <w:r w:rsidR="00106EAB" w:rsidRPr="00106EAB">
        <w:rPr>
          <w:sz w:val="24"/>
          <w:lang w:val="lv-LV"/>
        </w:rPr>
        <w:tab/>
      </w:r>
      <w:r w:rsidRPr="00106EAB">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25" w:tgtFrame="Gives%20access%20to%20this%20document%20through%20its%20ELI%20URI." w:history="1">
        <w:r w:rsidRPr="00106EAB">
          <w:rPr>
            <w:rStyle w:val="Hyperlink"/>
            <w:sz w:val="24"/>
            <w:lang w:val="lv-LV"/>
          </w:rPr>
          <w:t>http://data.europa.eu/eli/reg/2002/178/oj</w:t>
        </w:r>
      </w:hyperlink>
      <w:r w:rsidRPr="00106EA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2913" w14:textId="77777777" w:rsidR="00064002" w:rsidRPr="00106E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7DC2E" w14:textId="77777777" w:rsidR="00064002" w:rsidRPr="00106E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C50B" w14:textId="77777777" w:rsidR="00064002" w:rsidRPr="00106E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86684">
    <w:abstractNumId w:val="9"/>
  </w:num>
  <w:num w:numId="2" w16cid:durableId="578558603">
    <w:abstractNumId w:val="9"/>
  </w:num>
  <w:num w:numId="3" w16cid:durableId="140267803">
    <w:abstractNumId w:val="7"/>
  </w:num>
  <w:num w:numId="4" w16cid:durableId="1707103201">
    <w:abstractNumId w:val="7"/>
  </w:num>
  <w:num w:numId="5" w16cid:durableId="1792825682">
    <w:abstractNumId w:val="6"/>
  </w:num>
  <w:num w:numId="6" w16cid:durableId="1922060371">
    <w:abstractNumId w:val="6"/>
  </w:num>
  <w:num w:numId="7" w16cid:durableId="1204708921">
    <w:abstractNumId w:val="5"/>
  </w:num>
  <w:num w:numId="8" w16cid:durableId="61293485">
    <w:abstractNumId w:val="5"/>
  </w:num>
  <w:num w:numId="9" w16cid:durableId="1584148999">
    <w:abstractNumId w:val="4"/>
  </w:num>
  <w:num w:numId="10" w16cid:durableId="1261991177">
    <w:abstractNumId w:val="4"/>
  </w:num>
  <w:num w:numId="11" w16cid:durableId="1181581244">
    <w:abstractNumId w:val="8"/>
  </w:num>
  <w:num w:numId="12" w16cid:durableId="1192454918">
    <w:abstractNumId w:val="8"/>
  </w:num>
  <w:num w:numId="13" w16cid:durableId="1982346834">
    <w:abstractNumId w:val="3"/>
  </w:num>
  <w:num w:numId="14" w16cid:durableId="1048606369">
    <w:abstractNumId w:val="3"/>
  </w:num>
  <w:num w:numId="15" w16cid:durableId="1288780846">
    <w:abstractNumId w:val="2"/>
  </w:num>
  <w:num w:numId="16" w16cid:durableId="947393720">
    <w:abstractNumId w:val="2"/>
  </w:num>
  <w:num w:numId="17" w16cid:durableId="1229225373">
    <w:abstractNumId w:val="1"/>
  </w:num>
  <w:num w:numId="18" w16cid:durableId="994186442">
    <w:abstractNumId w:val="1"/>
  </w:num>
  <w:num w:numId="19" w16cid:durableId="1031301221">
    <w:abstractNumId w:val="0"/>
  </w:num>
  <w:num w:numId="20" w16cid:durableId="979455395">
    <w:abstractNumId w:val="0"/>
  </w:num>
  <w:num w:numId="21" w16cid:durableId="18237464">
    <w:abstractNumId w:val="9"/>
  </w:num>
  <w:num w:numId="22" w16cid:durableId="240142852">
    <w:abstractNumId w:val="7"/>
  </w:num>
  <w:num w:numId="23" w16cid:durableId="1895771941">
    <w:abstractNumId w:val="6"/>
  </w:num>
  <w:num w:numId="24" w16cid:durableId="1740517104">
    <w:abstractNumId w:val="5"/>
  </w:num>
  <w:num w:numId="25" w16cid:durableId="249581974">
    <w:abstractNumId w:val="4"/>
  </w:num>
  <w:num w:numId="26" w16cid:durableId="1808887671">
    <w:abstractNumId w:val="8"/>
  </w:num>
  <w:num w:numId="27" w16cid:durableId="1329214512">
    <w:abstractNumId w:val="3"/>
  </w:num>
  <w:num w:numId="28" w16cid:durableId="1526362926">
    <w:abstractNumId w:val="2"/>
  </w:num>
  <w:num w:numId="29" w16cid:durableId="1602227542">
    <w:abstractNumId w:val="1"/>
  </w:num>
  <w:num w:numId="30" w16cid:durableId="1706756422">
    <w:abstractNumId w:val="0"/>
  </w:num>
  <w:num w:numId="31" w16cid:durableId="1723360071">
    <w:abstractNumId w:val="9"/>
  </w:num>
  <w:num w:numId="32" w16cid:durableId="1720665636">
    <w:abstractNumId w:val="7"/>
  </w:num>
  <w:num w:numId="33" w16cid:durableId="1629511550">
    <w:abstractNumId w:val="6"/>
  </w:num>
  <w:num w:numId="34" w16cid:durableId="404180705">
    <w:abstractNumId w:val="5"/>
  </w:num>
  <w:num w:numId="35" w16cid:durableId="178004674">
    <w:abstractNumId w:val="4"/>
  </w:num>
  <w:num w:numId="36" w16cid:durableId="44528732">
    <w:abstractNumId w:val="8"/>
  </w:num>
  <w:num w:numId="37" w16cid:durableId="41251456">
    <w:abstractNumId w:val="3"/>
  </w:num>
  <w:num w:numId="38" w16cid:durableId="719279905">
    <w:abstractNumId w:val="2"/>
  </w:num>
  <w:num w:numId="39" w16cid:durableId="750126699">
    <w:abstractNumId w:val="1"/>
  </w:num>
  <w:num w:numId="40" w16cid:durableId="1255742705">
    <w:abstractNumId w:val="0"/>
  </w:num>
  <w:num w:numId="41" w16cid:durableId="644118460">
    <w:abstractNumId w:val="10"/>
  </w:num>
  <w:num w:numId="42" w16cid:durableId="1503085429">
    <w:abstractNumId w:val="10"/>
  </w:num>
  <w:num w:numId="43" w16cid:durableId="1959943321">
    <w:abstractNumId w:val="10"/>
  </w:num>
  <w:num w:numId="44" w16cid:durableId="1605381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LV"/>
    <w:docVar w:name="dvnumam" w:val="0"/>
    <w:docVar w:name="dvpe" w:val="779.398"/>
    <w:docVar w:name="dvtitre" w:val="Eiropas Parlamenta 2025. gada XX. XXX  rezolūcija par projektu Komisijas īstenošanas lēmumam, ar kuru atbilstoši Eiropas Parlamenta un Padomes Regulai (EK) Nr. 1829/2003 atļauj laist tirgū no ģenētiski modificētām cukurbietēm KWS20-1 ražotus pārtikas produktus, pārtikas sastāvdaļas un dzīvnieku barību(D110122/02 – 2025/2959(RSP))"/>
  </w:docVars>
  <w:rsids>
    <w:rsidRoot w:val="008B4F03"/>
    <w:rsid w:val="00002272"/>
    <w:rsid w:val="00064002"/>
    <w:rsid w:val="000677B9"/>
    <w:rsid w:val="000831BA"/>
    <w:rsid w:val="000A42CC"/>
    <w:rsid w:val="000E7DD9"/>
    <w:rsid w:val="0010095E"/>
    <w:rsid w:val="00106EAB"/>
    <w:rsid w:val="00125B37"/>
    <w:rsid w:val="00187494"/>
    <w:rsid w:val="001C0F3F"/>
    <w:rsid w:val="001F32AE"/>
    <w:rsid w:val="002767FF"/>
    <w:rsid w:val="002B18FE"/>
    <w:rsid w:val="002B5493"/>
    <w:rsid w:val="002D50AB"/>
    <w:rsid w:val="00343214"/>
    <w:rsid w:val="00361C00"/>
    <w:rsid w:val="00395FA1"/>
    <w:rsid w:val="003E15D4"/>
    <w:rsid w:val="00411CCE"/>
    <w:rsid w:val="0041666E"/>
    <w:rsid w:val="00421060"/>
    <w:rsid w:val="00471C19"/>
    <w:rsid w:val="004867E3"/>
    <w:rsid w:val="00494A28"/>
    <w:rsid w:val="004A5F8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F03"/>
    <w:rsid w:val="008C2AC6"/>
    <w:rsid w:val="00930C23"/>
    <w:rsid w:val="0093193B"/>
    <w:rsid w:val="009509D8"/>
    <w:rsid w:val="00950B64"/>
    <w:rsid w:val="00964AF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E2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52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4661B"/>
  <w15:chartTrackingRefBased/>
  <w15:docId w15:val="{B58C794A-7566-4F5E-8C6E-0B0D4B5A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C0F3F"/>
    <w:pPr>
      <w:spacing w:before="480" w:after="240"/>
    </w:pPr>
  </w:style>
  <w:style w:type="paragraph" w:customStyle="1" w:styleId="NormalHanging12a">
    <w:name w:val="NormalHanging12a"/>
    <w:basedOn w:val="Normal"/>
    <w:uiPriority w:val="99"/>
    <w:qFormat/>
    <w:rsid w:val="001C0F3F"/>
    <w:pPr>
      <w:spacing w:after="240"/>
      <w:ind w:left="567" w:hanging="567"/>
    </w:pPr>
  </w:style>
  <w:style w:type="paragraph" w:customStyle="1" w:styleId="NormalBold">
    <w:name w:val="NormalBold"/>
    <w:basedOn w:val="Normal"/>
    <w:uiPriority w:val="99"/>
    <w:rsid w:val="001C0F3F"/>
    <w:rPr>
      <w:b/>
    </w:rPr>
  </w:style>
  <w:style w:type="character" w:styleId="Hyperlink">
    <w:name w:val="Hyperlink"/>
    <w:basedOn w:val="DefaultParagraphFont"/>
    <w:uiPriority w:val="99"/>
    <w:rsid w:val="001C0F3F"/>
    <w:rPr>
      <w:color w:val="0563C1" w:themeColor="hyperlink"/>
      <w:u w:val="single"/>
    </w:rPr>
  </w:style>
  <w:style w:type="paragraph" w:styleId="NormalWeb">
    <w:name w:val="Normal (Web)"/>
    <w:basedOn w:val="Normal"/>
    <w:uiPriority w:val="99"/>
    <w:unhideWhenUsed/>
    <w:rsid w:val="001C0F3F"/>
    <w:pPr>
      <w:widowControl/>
      <w:spacing w:before="100" w:beforeAutospacing="1" w:after="100" w:afterAutospacing="1"/>
    </w:pPr>
    <w:rPr>
      <w:szCs w:val="24"/>
    </w:rPr>
  </w:style>
  <w:style w:type="paragraph" w:styleId="Revision">
    <w:name w:val="Revision"/>
    <w:hidden/>
    <w:uiPriority w:val="99"/>
    <w:semiHidden/>
    <w:rsid w:val="00FB752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lv"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lv/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1360</Words>
  <Characters>9007</Characters>
  <Application>Microsoft Office Word</Application>
  <DocSecurity>0</DocSecurity>
  <Lines>152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2025-12-16T13:31:00Z</dcterms:created>
  <dcterms:modified xsi:type="dcterms:W3CDTF">2025-12-16T13:31:00Z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B10-0559/2025</vt:lpwstr>
  </property>
  <property fmtid="{D5CDD505-2E9C-101B-9397-08002B2CF9AE}" pid="4" name="&lt;Type&gt;">
    <vt:lpwstr>RR</vt:lpwstr>
  </property>
</Properties>
</file>